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BE" w:rsidRPr="002F6072" w:rsidRDefault="001906BE">
      <w:pPr>
        <w:pStyle w:val="NormalWeb"/>
        <w:jc w:val="center"/>
      </w:pPr>
      <w:r w:rsidRPr="002F6072">
        <w:rPr>
          <w:rStyle w:val="Strong"/>
        </w:rPr>
        <w:t>General Guidelines for</w:t>
      </w:r>
      <w:r w:rsidRPr="002F6072">
        <w:rPr>
          <w:b/>
          <w:bCs/>
        </w:rPr>
        <w:br/>
      </w:r>
      <w:r w:rsidRPr="002F6072">
        <w:rPr>
          <w:rStyle w:val="Strong"/>
        </w:rPr>
        <w:t xml:space="preserve">Proposals to </w:t>
      </w:r>
      <w:r w:rsidR="00FA3E42">
        <w:rPr>
          <w:rStyle w:val="Strong"/>
        </w:rPr>
        <w:t>Discontinue Course Equivalencies</w:t>
      </w:r>
    </w:p>
    <w:p w:rsidR="008D181A" w:rsidRPr="00AB051E" w:rsidRDefault="00FA3E42" w:rsidP="002F6072">
      <w:pPr>
        <w:numPr>
          <w:ilvl w:val="0"/>
          <w:numId w:val="1"/>
        </w:numPr>
        <w:spacing w:before="100" w:beforeAutospacing="1" w:after="100" w:afterAutospacing="1" w:line="280" w:lineRule="exact"/>
        <w:rPr>
          <w:sz w:val="22"/>
          <w:szCs w:val="22"/>
        </w:rPr>
      </w:pPr>
      <w:r w:rsidRPr="00AB051E">
        <w:rPr>
          <w:sz w:val="22"/>
          <w:szCs w:val="22"/>
        </w:rPr>
        <w:t>This form is used to discontinue equivalency of two or more courses</w:t>
      </w:r>
      <w:r w:rsidR="008D181A" w:rsidRPr="00AB051E">
        <w:rPr>
          <w:sz w:val="22"/>
          <w:szCs w:val="22"/>
        </w:rPr>
        <w:t>.</w:t>
      </w:r>
      <w:r w:rsidR="00CF4AAF">
        <w:rPr>
          <w:sz w:val="22"/>
          <w:szCs w:val="22"/>
        </w:rPr>
        <w:t xml:space="preserve"> (See Academic Affairs policy 1.4090)</w:t>
      </w:r>
      <w:r w:rsidR="002F6072" w:rsidRPr="00AB051E">
        <w:rPr>
          <w:sz w:val="22"/>
          <w:szCs w:val="22"/>
        </w:rPr>
        <w:br/>
      </w:r>
    </w:p>
    <w:p w:rsidR="008D181A" w:rsidRPr="00AB051E" w:rsidRDefault="008D181A" w:rsidP="002F6072">
      <w:pPr>
        <w:numPr>
          <w:ilvl w:val="0"/>
          <w:numId w:val="1"/>
        </w:numPr>
        <w:spacing w:before="100" w:beforeAutospacing="1" w:after="100" w:afterAutospacing="1" w:line="280" w:lineRule="exact"/>
        <w:rPr>
          <w:sz w:val="22"/>
          <w:szCs w:val="22"/>
        </w:rPr>
      </w:pPr>
      <w:r w:rsidRPr="00AB051E">
        <w:rPr>
          <w:sz w:val="22"/>
          <w:szCs w:val="22"/>
        </w:rPr>
        <w:t xml:space="preserve">Proposals to </w:t>
      </w:r>
      <w:r w:rsidR="00FA3E42" w:rsidRPr="00AB051E">
        <w:rPr>
          <w:sz w:val="22"/>
          <w:szCs w:val="22"/>
        </w:rPr>
        <w:t xml:space="preserve">discontinue equivalency </w:t>
      </w:r>
      <w:r w:rsidR="00CF4AAF">
        <w:rPr>
          <w:sz w:val="22"/>
          <w:szCs w:val="22"/>
        </w:rPr>
        <w:t xml:space="preserve">of two or more courses </w:t>
      </w:r>
      <w:r w:rsidRPr="00AB051E">
        <w:rPr>
          <w:sz w:val="22"/>
          <w:szCs w:val="22"/>
        </w:rPr>
        <w:t xml:space="preserve">are </w:t>
      </w:r>
      <w:r w:rsidR="00CF4AAF">
        <w:rPr>
          <w:rStyle w:val="Strong"/>
          <w:sz w:val="22"/>
          <w:szCs w:val="22"/>
        </w:rPr>
        <w:t>action</w:t>
      </w:r>
      <w:r w:rsidR="00FA3E42" w:rsidRPr="00AB051E">
        <w:rPr>
          <w:rStyle w:val="Strong"/>
          <w:sz w:val="22"/>
          <w:szCs w:val="22"/>
        </w:rPr>
        <w:t xml:space="preserve"> </w:t>
      </w:r>
      <w:r w:rsidRPr="00AB051E">
        <w:rPr>
          <w:rStyle w:val="Strong"/>
          <w:sz w:val="22"/>
          <w:szCs w:val="22"/>
        </w:rPr>
        <w:t>items</w:t>
      </w:r>
      <w:bookmarkStart w:id="0" w:name="_GoBack"/>
      <w:bookmarkEnd w:id="0"/>
      <w:r w:rsidRPr="00AB051E">
        <w:rPr>
          <w:sz w:val="22"/>
          <w:szCs w:val="22"/>
        </w:rPr>
        <w:t>.</w:t>
      </w:r>
      <w:r w:rsidR="002F6072" w:rsidRPr="00AB051E">
        <w:rPr>
          <w:sz w:val="22"/>
          <w:szCs w:val="22"/>
        </w:rPr>
        <w:br/>
      </w:r>
    </w:p>
    <w:p w:rsidR="00E94A9A" w:rsidRDefault="00E94A9A" w:rsidP="002F6072">
      <w:pPr>
        <w:numPr>
          <w:ilvl w:val="0"/>
          <w:numId w:val="1"/>
        </w:numPr>
        <w:spacing w:before="100" w:beforeAutospacing="1" w:after="100" w:afterAutospacing="1" w:line="280" w:lineRule="exact"/>
        <w:rPr>
          <w:sz w:val="22"/>
          <w:szCs w:val="22"/>
        </w:rPr>
      </w:pPr>
      <w:r>
        <w:rPr>
          <w:sz w:val="22"/>
          <w:szCs w:val="22"/>
        </w:rPr>
        <w:t xml:space="preserve">In </w:t>
      </w:r>
      <w:r>
        <w:rPr>
          <w:b/>
          <w:sz w:val="22"/>
          <w:szCs w:val="22"/>
        </w:rPr>
        <w:t>item 2</w:t>
      </w:r>
      <w:r>
        <w:rPr>
          <w:sz w:val="22"/>
          <w:szCs w:val="22"/>
        </w:rPr>
        <w:t>, explain the rationale for discontinuing the equivalency of the courses. Has course content, credit hours or other aspects of one of the courses changed in such a manner that the two courses are no longer equivalent?</w:t>
      </w:r>
      <w:r>
        <w:rPr>
          <w:sz w:val="22"/>
          <w:szCs w:val="22"/>
        </w:rPr>
        <w:br/>
      </w:r>
    </w:p>
    <w:p w:rsidR="00E94A9A" w:rsidRPr="00AB051E" w:rsidRDefault="00E94A9A" w:rsidP="00E94A9A">
      <w:pPr>
        <w:numPr>
          <w:ilvl w:val="0"/>
          <w:numId w:val="1"/>
        </w:numPr>
        <w:spacing w:before="100" w:beforeAutospacing="1" w:after="100" w:afterAutospacing="1" w:line="280" w:lineRule="exact"/>
        <w:rPr>
          <w:sz w:val="22"/>
          <w:szCs w:val="22"/>
        </w:rPr>
      </w:pPr>
      <w:r>
        <w:rPr>
          <w:b/>
          <w:sz w:val="22"/>
          <w:szCs w:val="22"/>
        </w:rPr>
        <w:t>Item 4</w:t>
      </w:r>
      <w:r>
        <w:rPr>
          <w:sz w:val="22"/>
          <w:szCs w:val="22"/>
        </w:rPr>
        <w:t xml:space="preserve"> is to be used to discontinue equivalency between a main campus course and a University College “C” course (e.g., GEOL 102 and GE 102C). If these equivalencies are to be discontinued, </w:t>
      </w:r>
      <w:r w:rsidRPr="00E94A9A">
        <w:rPr>
          <w:sz w:val="22"/>
          <w:szCs w:val="22"/>
        </w:rPr>
        <w:t>one of the courses will be renumbered. Such course renumbering, including the decision about which of the affected courses will be renumbered, will be an action that takes place at the UCC level of the curricular process. If the renumbered course is a requirement in any program, a proposal must be submitted to revise that program to include the new course number.</w:t>
      </w:r>
    </w:p>
    <w:p w:rsidR="001906BE" w:rsidRDefault="001906BE"/>
    <w:p w:rsidR="00B3599E" w:rsidRDefault="001906BE" w:rsidP="00B3599E">
      <w:pPr>
        <w:pStyle w:val="NormalWeb"/>
      </w:pPr>
      <w:r>
        <w:t> </w:t>
      </w:r>
      <w:r w:rsidR="00B3599E">
        <w:br w:type="page"/>
      </w:r>
    </w:p>
    <w:p w:rsidR="00B3599E" w:rsidRDefault="00B3599E" w:rsidP="00B3599E">
      <w:pPr>
        <w:jc w:val="right"/>
      </w:pPr>
      <w:r>
        <w:lastRenderedPageBreak/>
        <w:t>Proposal Date:</w:t>
      </w:r>
    </w:p>
    <w:p w:rsidR="00B3599E" w:rsidRDefault="00B3599E" w:rsidP="00B3599E">
      <w:pPr>
        <w:jc w:val="center"/>
      </w:pPr>
    </w:p>
    <w:p w:rsidR="00B3599E" w:rsidRDefault="00B3599E" w:rsidP="00B3599E">
      <w:pPr>
        <w:jc w:val="center"/>
        <w:rPr>
          <w:b/>
        </w:rPr>
      </w:pPr>
      <w:r>
        <w:rPr>
          <w:b/>
        </w:rPr>
        <w:t xml:space="preserve">College Name </w:t>
      </w:r>
    </w:p>
    <w:p w:rsidR="00B3599E" w:rsidRDefault="00B3599E" w:rsidP="00B3599E">
      <w:pPr>
        <w:jc w:val="center"/>
        <w:rPr>
          <w:b/>
        </w:rPr>
      </w:pPr>
      <w:r>
        <w:rPr>
          <w:b/>
        </w:rPr>
        <w:t>Department Name</w:t>
      </w:r>
    </w:p>
    <w:p w:rsidR="00B3599E" w:rsidRDefault="00B3599E" w:rsidP="00B3599E">
      <w:pPr>
        <w:jc w:val="center"/>
        <w:rPr>
          <w:b/>
        </w:rPr>
      </w:pPr>
      <w:r>
        <w:rPr>
          <w:b/>
        </w:rPr>
        <w:t xml:space="preserve">Proposal to </w:t>
      </w:r>
      <w:r w:rsidR="00FA3E42">
        <w:rPr>
          <w:b/>
        </w:rPr>
        <w:t>Discontinue Course Equivalencies</w:t>
      </w:r>
    </w:p>
    <w:p w:rsidR="00B3599E" w:rsidRDefault="00CF4AAF" w:rsidP="00CF4AAF">
      <w:pPr>
        <w:jc w:val="center"/>
        <w:rPr>
          <w:b/>
        </w:rPr>
      </w:pPr>
      <w:r>
        <w:rPr>
          <w:b/>
        </w:rPr>
        <w:t>(Action Item)</w:t>
      </w:r>
    </w:p>
    <w:p w:rsidR="00CF4AAF" w:rsidRDefault="00CF4AAF" w:rsidP="00CF4AAF">
      <w:pPr>
        <w:jc w:val="center"/>
        <w:rPr>
          <w:b/>
        </w:rPr>
      </w:pPr>
    </w:p>
    <w:p w:rsidR="00B3599E" w:rsidRPr="00B3599E" w:rsidRDefault="00B3599E" w:rsidP="00B3599E">
      <w:pPr>
        <w:spacing w:line="280" w:lineRule="exact"/>
        <w:rPr>
          <w:sz w:val="22"/>
          <w:szCs w:val="22"/>
        </w:rPr>
      </w:pPr>
      <w:r w:rsidRPr="00B3599E">
        <w:rPr>
          <w:sz w:val="22"/>
          <w:szCs w:val="22"/>
        </w:rPr>
        <w:t>Contact Person:  Name, email, phone</w:t>
      </w:r>
    </w:p>
    <w:p w:rsidR="00B3599E" w:rsidRDefault="00B3599E" w:rsidP="00B3599E">
      <w:pPr>
        <w:tabs>
          <w:tab w:val="left" w:pos="360"/>
        </w:tabs>
        <w:spacing w:line="280" w:lineRule="exact"/>
        <w:rPr>
          <w:b/>
          <w:sz w:val="22"/>
          <w:szCs w:val="22"/>
        </w:rPr>
      </w:pPr>
    </w:p>
    <w:p w:rsidR="00FA3E42" w:rsidRPr="00FA3E42" w:rsidRDefault="00FA3E42" w:rsidP="00FA3E42">
      <w:pPr>
        <w:pStyle w:val="ListParagraph"/>
        <w:numPr>
          <w:ilvl w:val="0"/>
          <w:numId w:val="3"/>
        </w:numPr>
        <w:tabs>
          <w:tab w:val="left" w:pos="360"/>
        </w:tabs>
        <w:spacing w:line="280" w:lineRule="exact"/>
        <w:rPr>
          <w:sz w:val="22"/>
          <w:szCs w:val="22"/>
        </w:rPr>
      </w:pPr>
      <w:r>
        <w:rPr>
          <w:b/>
          <w:sz w:val="22"/>
          <w:szCs w:val="22"/>
        </w:rPr>
        <w:t>Identification of the equivalent courses:</w:t>
      </w:r>
    </w:p>
    <w:p w:rsidR="00FA3E42" w:rsidRDefault="00FA3E42" w:rsidP="00FA3E42">
      <w:pPr>
        <w:pStyle w:val="ListParagraph"/>
        <w:tabs>
          <w:tab w:val="left" w:pos="360"/>
        </w:tabs>
        <w:spacing w:line="280" w:lineRule="exact"/>
        <w:rPr>
          <w:sz w:val="22"/>
          <w:szCs w:val="22"/>
        </w:rPr>
      </w:pPr>
      <w:r>
        <w:rPr>
          <w:sz w:val="22"/>
          <w:szCs w:val="22"/>
        </w:rPr>
        <w:t>1.1</w:t>
      </w:r>
      <w:r>
        <w:rPr>
          <w:sz w:val="22"/>
          <w:szCs w:val="22"/>
        </w:rPr>
        <w:tab/>
        <w:t>Course prefixes (subject areas) and numbers</w:t>
      </w:r>
    </w:p>
    <w:p w:rsidR="00FA3E42" w:rsidRDefault="00FA3E42" w:rsidP="00FA3E42">
      <w:pPr>
        <w:pStyle w:val="ListParagraph"/>
        <w:tabs>
          <w:tab w:val="left" w:pos="360"/>
        </w:tabs>
        <w:spacing w:line="280" w:lineRule="exact"/>
        <w:rPr>
          <w:sz w:val="22"/>
          <w:szCs w:val="22"/>
        </w:rPr>
      </w:pPr>
      <w:r>
        <w:rPr>
          <w:sz w:val="22"/>
          <w:szCs w:val="22"/>
        </w:rPr>
        <w:t>1.2</w:t>
      </w:r>
      <w:r>
        <w:rPr>
          <w:sz w:val="22"/>
          <w:szCs w:val="22"/>
        </w:rPr>
        <w:tab/>
        <w:t>Course Title</w:t>
      </w:r>
    </w:p>
    <w:p w:rsidR="00FA3E42" w:rsidRDefault="00FA3E42" w:rsidP="00FA3E42">
      <w:pPr>
        <w:tabs>
          <w:tab w:val="left" w:pos="360"/>
        </w:tabs>
        <w:spacing w:line="280" w:lineRule="exact"/>
        <w:rPr>
          <w:sz w:val="22"/>
          <w:szCs w:val="22"/>
        </w:rPr>
      </w:pPr>
    </w:p>
    <w:p w:rsidR="00FA3E42" w:rsidRDefault="00FA3E42" w:rsidP="00FA3E42">
      <w:pPr>
        <w:tabs>
          <w:tab w:val="left" w:pos="360"/>
        </w:tabs>
        <w:spacing w:line="280" w:lineRule="exact"/>
        <w:rPr>
          <w:b/>
          <w:sz w:val="22"/>
          <w:szCs w:val="22"/>
        </w:rPr>
      </w:pPr>
      <w:r>
        <w:rPr>
          <w:sz w:val="22"/>
          <w:szCs w:val="22"/>
        </w:rPr>
        <w:tab/>
      </w:r>
      <w:r>
        <w:rPr>
          <w:b/>
          <w:sz w:val="22"/>
          <w:szCs w:val="22"/>
        </w:rPr>
        <w:t>2.</w:t>
      </w:r>
      <w:r>
        <w:rPr>
          <w:b/>
          <w:sz w:val="22"/>
          <w:szCs w:val="22"/>
        </w:rPr>
        <w:tab/>
        <w:t>Rational for discontinuing equivalency:</w:t>
      </w:r>
    </w:p>
    <w:p w:rsidR="00FA3E42" w:rsidRDefault="00FA3E42" w:rsidP="00FA3E42">
      <w:pPr>
        <w:tabs>
          <w:tab w:val="left" w:pos="360"/>
        </w:tabs>
        <w:spacing w:line="280" w:lineRule="exact"/>
        <w:rPr>
          <w:b/>
          <w:sz w:val="22"/>
          <w:szCs w:val="22"/>
        </w:rPr>
      </w:pPr>
    </w:p>
    <w:p w:rsidR="00FA3E42" w:rsidRDefault="00FA3E42" w:rsidP="00FA3E42">
      <w:pPr>
        <w:tabs>
          <w:tab w:val="left" w:pos="360"/>
        </w:tabs>
        <w:spacing w:line="280" w:lineRule="exact"/>
        <w:rPr>
          <w:b/>
          <w:sz w:val="22"/>
          <w:szCs w:val="22"/>
        </w:rPr>
      </w:pPr>
      <w:r>
        <w:rPr>
          <w:b/>
          <w:sz w:val="22"/>
          <w:szCs w:val="22"/>
        </w:rPr>
        <w:tab/>
        <w:t>3.</w:t>
      </w:r>
      <w:r>
        <w:rPr>
          <w:b/>
          <w:sz w:val="22"/>
          <w:szCs w:val="22"/>
        </w:rPr>
        <w:tab/>
        <w:t>Effect of discontinuing equivalency on programs or other departments, if known:</w:t>
      </w:r>
    </w:p>
    <w:p w:rsidR="00FA3E42" w:rsidRDefault="00FA3E42" w:rsidP="00FA3E42">
      <w:pPr>
        <w:tabs>
          <w:tab w:val="left" w:pos="360"/>
        </w:tabs>
        <w:spacing w:line="280" w:lineRule="exact"/>
        <w:rPr>
          <w:b/>
          <w:sz w:val="22"/>
          <w:szCs w:val="22"/>
        </w:rPr>
      </w:pPr>
    </w:p>
    <w:p w:rsidR="00FA3E42" w:rsidRDefault="00FA3E42" w:rsidP="00FA3E42">
      <w:pPr>
        <w:tabs>
          <w:tab w:val="left" w:pos="360"/>
        </w:tabs>
        <w:spacing w:line="280" w:lineRule="exact"/>
        <w:ind w:left="720" w:hanging="720"/>
        <w:rPr>
          <w:b/>
          <w:sz w:val="22"/>
          <w:szCs w:val="22"/>
        </w:rPr>
      </w:pPr>
      <w:r>
        <w:rPr>
          <w:b/>
          <w:sz w:val="22"/>
          <w:szCs w:val="22"/>
        </w:rPr>
        <w:tab/>
        <w:t>4.</w:t>
      </w:r>
      <w:r>
        <w:rPr>
          <w:b/>
          <w:sz w:val="22"/>
          <w:szCs w:val="22"/>
        </w:rPr>
        <w:tab/>
        <w:t>Proposed new course number (for main cam</w:t>
      </w:r>
      <w:r w:rsidR="000E1D28">
        <w:rPr>
          <w:b/>
          <w:sz w:val="22"/>
          <w:szCs w:val="22"/>
        </w:rPr>
        <w:t>p</w:t>
      </w:r>
      <w:r>
        <w:rPr>
          <w:b/>
          <w:sz w:val="22"/>
          <w:szCs w:val="22"/>
        </w:rPr>
        <w:t>us or “C” course discontinued equivalencies only)</w:t>
      </w:r>
    </w:p>
    <w:p w:rsidR="00FA3E42" w:rsidRDefault="00FA3E42" w:rsidP="00FA3E42">
      <w:pPr>
        <w:tabs>
          <w:tab w:val="left" w:pos="360"/>
        </w:tabs>
        <w:spacing w:line="280" w:lineRule="exact"/>
        <w:ind w:left="720" w:hanging="720"/>
        <w:rPr>
          <w:b/>
          <w:sz w:val="22"/>
          <w:szCs w:val="22"/>
        </w:rPr>
      </w:pPr>
    </w:p>
    <w:p w:rsidR="00FA3E42" w:rsidRDefault="00FA3E42" w:rsidP="00FA3E42">
      <w:pPr>
        <w:tabs>
          <w:tab w:val="left" w:pos="360"/>
        </w:tabs>
        <w:spacing w:line="280" w:lineRule="exact"/>
        <w:ind w:left="720" w:hanging="720"/>
        <w:rPr>
          <w:b/>
          <w:sz w:val="22"/>
          <w:szCs w:val="22"/>
        </w:rPr>
      </w:pPr>
      <w:r>
        <w:rPr>
          <w:b/>
          <w:sz w:val="22"/>
          <w:szCs w:val="22"/>
        </w:rPr>
        <w:tab/>
        <w:t>5.</w:t>
      </w:r>
      <w:r>
        <w:rPr>
          <w:b/>
          <w:sz w:val="22"/>
          <w:szCs w:val="22"/>
        </w:rPr>
        <w:tab/>
        <w:t>Proposed term for implementation:</w:t>
      </w:r>
    </w:p>
    <w:p w:rsidR="00FA3E42" w:rsidRDefault="00FA3E42" w:rsidP="00FA3E42">
      <w:pPr>
        <w:tabs>
          <w:tab w:val="left" w:pos="360"/>
        </w:tabs>
        <w:spacing w:line="280" w:lineRule="exact"/>
        <w:ind w:left="720" w:hanging="720"/>
        <w:rPr>
          <w:b/>
          <w:sz w:val="22"/>
          <w:szCs w:val="22"/>
        </w:rPr>
      </w:pPr>
    </w:p>
    <w:p w:rsidR="00FA3E42" w:rsidRDefault="00FA3E42" w:rsidP="00FA3E42">
      <w:pPr>
        <w:tabs>
          <w:tab w:val="left" w:pos="360"/>
        </w:tabs>
        <w:spacing w:line="280" w:lineRule="exact"/>
        <w:ind w:left="720" w:hanging="720"/>
        <w:rPr>
          <w:sz w:val="22"/>
          <w:szCs w:val="22"/>
        </w:rPr>
      </w:pPr>
      <w:r>
        <w:rPr>
          <w:b/>
          <w:sz w:val="22"/>
          <w:szCs w:val="22"/>
        </w:rPr>
        <w:tab/>
        <w:t>6.</w:t>
      </w:r>
      <w:r>
        <w:rPr>
          <w:b/>
          <w:sz w:val="22"/>
          <w:szCs w:val="22"/>
        </w:rPr>
        <w:tab/>
        <w:t>Dates of prior committee approvals:</w:t>
      </w:r>
    </w:p>
    <w:p w:rsidR="00B3599E" w:rsidRPr="00FA3E42" w:rsidRDefault="00B3599E" w:rsidP="00FA3E42">
      <w:pPr>
        <w:rPr>
          <w:b/>
        </w:rPr>
      </w:pPr>
    </w:p>
    <w:tbl>
      <w:tblPr>
        <w:tblStyle w:val="TableGrid"/>
        <w:tblW w:w="8860" w:type="dxa"/>
        <w:tblInd w:w="720" w:type="dxa"/>
        <w:tblCellMar>
          <w:left w:w="0" w:type="dxa"/>
          <w:right w:w="115" w:type="dxa"/>
        </w:tblCellMar>
        <w:tblLook w:val="04A0" w:firstRow="1" w:lastRow="0" w:firstColumn="1" w:lastColumn="0" w:noHBand="0" w:noVBand="1"/>
      </w:tblPr>
      <w:tblGrid>
        <w:gridCol w:w="5919"/>
        <w:gridCol w:w="2941"/>
      </w:tblGrid>
      <w:tr w:rsidR="000D2A2A" w:rsidRPr="00027F01" w:rsidTr="000D2A2A">
        <w:trPr>
          <w:trHeight w:val="374"/>
        </w:trPr>
        <w:tc>
          <w:tcPr>
            <w:tcW w:w="5919" w:type="dxa"/>
            <w:tcBorders>
              <w:top w:val="nil"/>
              <w:left w:val="nil"/>
              <w:bottom w:val="nil"/>
              <w:right w:val="nil"/>
            </w:tcBorders>
            <w:vAlign w:val="bottom"/>
          </w:tcPr>
          <w:p w:rsidR="000D2A2A" w:rsidRPr="00027F01" w:rsidRDefault="000D2A2A" w:rsidP="005F46E8">
            <w:pPr>
              <w:rPr>
                <w:sz w:val="22"/>
                <w:szCs w:val="22"/>
              </w:rPr>
            </w:pPr>
            <w:r w:rsidRPr="00027F01">
              <w:rPr>
                <w:sz w:val="22"/>
                <w:szCs w:val="22"/>
              </w:rPr>
              <w:t>Department</w:t>
            </w:r>
            <w:r>
              <w:rPr>
                <w:sz w:val="22"/>
                <w:szCs w:val="22"/>
              </w:rPr>
              <w:t xml:space="preserve">/Unit   </w:t>
            </w:r>
            <w:r w:rsidRPr="00027F01">
              <w:rPr>
                <w:sz w:val="22"/>
                <w:szCs w:val="22"/>
              </w:rPr>
              <w:t>_________________________</w:t>
            </w:r>
          </w:p>
        </w:tc>
        <w:tc>
          <w:tcPr>
            <w:tcW w:w="2941" w:type="dxa"/>
            <w:tcBorders>
              <w:top w:val="nil"/>
              <w:left w:val="nil"/>
              <w:bottom w:val="single" w:sz="4" w:space="0" w:color="auto"/>
              <w:right w:val="nil"/>
            </w:tcBorders>
          </w:tcPr>
          <w:p w:rsidR="000D2A2A" w:rsidRPr="00027F01" w:rsidRDefault="000D2A2A" w:rsidP="005F46E8">
            <w:pPr>
              <w:rPr>
                <w:b/>
                <w:sz w:val="22"/>
                <w:szCs w:val="22"/>
                <w:u w:val="single"/>
              </w:rPr>
            </w:pPr>
          </w:p>
        </w:tc>
      </w:tr>
      <w:tr w:rsidR="000D2A2A" w:rsidRPr="00027F01" w:rsidTr="000D2A2A">
        <w:trPr>
          <w:trHeight w:val="374"/>
        </w:trPr>
        <w:tc>
          <w:tcPr>
            <w:tcW w:w="5919" w:type="dxa"/>
            <w:tcBorders>
              <w:top w:val="nil"/>
              <w:left w:val="nil"/>
              <w:bottom w:val="nil"/>
              <w:right w:val="nil"/>
            </w:tcBorders>
            <w:vAlign w:val="bottom"/>
          </w:tcPr>
          <w:p w:rsidR="000D2A2A" w:rsidRPr="00027F01" w:rsidRDefault="000D2A2A" w:rsidP="005F46E8">
            <w:pPr>
              <w:rPr>
                <w:sz w:val="22"/>
                <w:szCs w:val="22"/>
              </w:rPr>
            </w:pPr>
            <w:r w:rsidRPr="00027F01">
              <w:rPr>
                <w:sz w:val="22"/>
                <w:szCs w:val="22"/>
              </w:rPr>
              <w:t xml:space="preserve">______________________College Curriculum Committee </w:t>
            </w:r>
          </w:p>
        </w:tc>
        <w:tc>
          <w:tcPr>
            <w:tcW w:w="2941" w:type="dxa"/>
            <w:tcBorders>
              <w:top w:val="single" w:sz="4" w:space="0" w:color="auto"/>
              <w:left w:val="nil"/>
              <w:bottom w:val="single" w:sz="4" w:space="0" w:color="auto"/>
              <w:right w:val="nil"/>
            </w:tcBorders>
          </w:tcPr>
          <w:p w:rsidR="000D2A2A" w:rsidRPr="00027F01" w:rsidRDefault="000D2A2A" w:rsidP="005F46E8">
            <w:pPr>
              <w:rPr>
                <w:b/>
                <w:sz w:val="22"/>
                <w:szCs w:val="22"/>
                <w:u w:val="single"/>
              </w:rPr>
            </w:pPr>
          </w:p>
        </w:tc>
      </w:tr>
      <w:tr w:rsidR="000D2A2A" w:rsidRPr="00027F01" w:rsidTr="000D2A2A">
        <w:trPr>
          <w:trHeight w:val="374"/>
        </w:trPr>
        <w:tc>
          <w:tcPr>
            <w:tcW w:w="5919" w:type="dxa"/>
            <w:tcBorders>
              <w:top w:val="nil"/>
              <w:left w:val="nil"/>
              <w:bottom w:val="nil"/>
              <w:right w:val="nil"/>
            </w:tcBorders>
            <w:vAlign w:val="bottom"/>
          </w:tcPr>
          <w:p w:rsidR="000D2A2A" w:rsidRPr="00027F01" w:rsidRDefault="000D2A2A" w:rsidP="005F46E8">
            <w:pPr>
              <w:rPr>
                <w:sz w:val="22"/>
                <w:szCs w:val="22"/>
              </w:rPr>
            </w:pPr>
            <w:r w:rsidRPr="00027F01">
              <w:rPr>
                <w:sz w:val="22"/>
                <w:szCs w:val="22"/>
              </w:rPr>
              <w:t>Professional Education Council (if applicable)</w:t>
            </w:r>
          </w:p>
        </w:tc>
        <w:tc>
          <w:tcPr>
            <w:tcW w:w="2941" w:type="dxa"/>
            <w:tcBorders>
              <w:top w:val="single" w:sz="4" w:space="0" w:color="auto"/>
              <w:left w:val="nil"/>
              <w:bottom w:val="single" w:sz="4" w:space="0" w:color="auto"/>
              <w:right w:val="nil"/>
            </w:tcBorders>
          </w:tcPr>
          <w:p w:rsidR="000D2A2A" w:rsidRPr="00027F01" w:rsidRDefault="000D2A2A" w:rsidP="005F46E8">
            <w:pPr>
              <w:rPr>
                <w:b/>
                <w:sz w:val="22"/>
                <w:szCs w:val="22"/>
                <w:u w:val="single"/>
              </w:rPr>
            </w:pPr>
          </w:p>
        </w:tc>
      </w:tr>
      <w:tr w:rsidR="000D2A2A" w:rsidRPr="00027F01" w:rsidTr="000D2A2A">
        <w:trPr>
          <w:trHeight w:val="374"/>
        </w:trPr>
        <w:tc>
          <w:tcPr>
            <w:tcW w:w="5919" w:type="dxa"/>
            <w:tcBorders>
              <w:top w:val="nil"/>
              <w:left w:val="nil"/>
              <w:bottom w:val="nil"/>
              <w:right w:val="nil"/>
            </w:tcBorders>
            <w:vAlign w:val="bottom"/>
          </w:tcPr>
          <w:p w:rsidR="000D2A2A" w:rsidRPr="00027F01" w:rsidRDefault="000D2A2A" w:rsidP="005F46E8">
            <w:pPr>
              <w:rPr>
                <w:rFonts w:ascii="Calibri" w:eastAsia="Calibri" w:hAnsi="Calibri"/>
                <w:sz w:val="22"/>
                <w:szCs w:val="22"/>
              </w:rPr>
            </w:pPr>
            <w:r w:rsidRPr="00027F01">
              <w:rPr>
                <w:sz w:val="22"/>
                <w:szCs w:val="22"/>
              </w:rPr>
              <w:t>General Education Committee (if applicable)</w:t>
            </w:r>
          </w:p>
        </w:tc>
        <w:tc>
          <w:tcPr>
            <w:tcW w:w="2941" w:type="dxa"/>
            <w:tcBorders>
              <w:top w:val="single" w:sz="4" w:space="0" w:color="auto"/>
              <w:left w:val="nil"/>
              <w:bottom w:val="single" w:sz="4" w:space="0" w:color="auto"/>
              <w:right w:val="nil"/>
            </w:tcBorders>
            <w:vAlign w:val="bottom"/>
          </w:tcPr>
          <w:p w:rsidR="000D2A2A" w:rsidRPr="00027F01" w:rsidRDefault="000D2A2A" w:rsidP="005F46E8">
            <w:pPr>
              <w:rPr>
                <w:rFonts w:ascii="Calibri" w:eastAsia="Calibri" w:hAnsi="Calibri"/>
                <w:b/>
                <w:sz w:val="22"/>
                <w:szCs w:val="22"/>
                <w:u w:val="single"/>
              </w:rPr>
            </w:pPr>
          </w:p>
        </w:tc>
      </w:tr>
      <w:tr w:rsidR="000D2A2A" w:rsidRPr="00027F01" w:rsidTr="000D2A2A">
        <w:trPr>
          <w:trHeight w:val="374"/>
        </w:trPr>
        <w:tc>
          <w:tcPr>
            <w:tcW w:w="5919" w:type="dxa"/>
            <w:tcBorders>
              <w:top w:val="nil"/>
              <w:left w:val="nil"/>
              <w:bottom w:val="nil"/>
              <w:right w:val="nil"/>
            </w:tcBorders>
            <w:vAlign w:val="bottom"/>
          </w:tcPr>
          <w:p w:rsidR="000D2A2A" w:rsidRPr="00027F01" w:rsidRDefault="000D2A2A" w:rsidP="005F46E8">
            <w:pPr>
              <w:rPr>
                <w:sz w:val="22"/>
                <w:szCs w:val="22"/>
              </w:rPr>
            </w:pPr>
            <w:r w:rsidRPr="00027F01">
              <w:rPr>
                <w:sz w:val="22"/>
                <w:szCs w:val="22"/>
              </w:rPr>
              <w:t>Undergraduate Curriculum Committee (if applicable)</w:t>
            </w:r>
          </w:p>
        </w:tc>
        <w:tc>
          <w:tcPr>
            <w:tcW w:w="2941" w:type="dxa"/>
            <w:tcBorders>
              <w:top w:val="single" w:sz="4" w:space="0" w:color="auto"/>
              <w:left w:val="nil"/>
              <w:bottom w:val="single" w:sz="4" w:space="0" w:color="auto"/>
              <w:right w:val="nil"/>
            </w:tcBorders>
          </w:tcPr>
          <w:p w:rsidR="000D2A2A" w:rsidRPr="00027F01" w:rsidRDefault="000D2A2A" w:rsidP="005F46E8">
            <w:pPr>
              <w:rPr>
                <w:b/>
                <w:sz w:val="22"/>
                <w:szCs w:val="22"/>
                <w:u w:val="single"/>
              </w:rPr>
            </w:pPr>
          </w:p>
        </w:tc>
      </w:tr>
      <w:tr w:rsidR="000D2A2A" w:rsidRPr="00027F01" w:rsidTr="000D2A2A">
        <w:trPr>
          <w:trHeight w:val="374"/>
        </w:trPr>
        <w:tc>
          <w:tcPr>
            <w:tcW w:w="5919" w:type="dxa"/>
            <w:tcBorders>
              <w:top w:val="nil"/>
              <w:left w:val="nil"/>
              <w:bottom w:val="nil"/>
              <w:right w:val="nil"/>
            </w:tcBorders>
            <w:vAlign w:val="bottom"/>
          </w:tcPr>
          <w:p w:rsidR="000D2A2A" w:rsidRPr="00027F01" w:rsidRDefault="000D2A2A" w:rsidP="005F46E8">
            <w:pPr>
              <w:rPr>
                <w:sz w:val="22"/>
                <w:szCs w:val="22"/>
              </w:rPr>
            </w:pPr>
            <w:r w:rsidRPr="00027F01">
              <w:rPr>
                <w:sz w:val="22"/>
                <w:szCs w:val="22"/>
              </w:rPr>
              <w:t>Graduate Council (if applicable)</w:t>
            </w:r>
          </w:p>
        </w:tc>
        <w:tc>
          <w:tcPr>
            <w:tcW w:w="2941" w:type="dxa"/>
            <w:tcBorders>
              <w:top w:val="single" w:sz="4" w:space="0" w:color="auto"/>
              <w:left w:val="nil"/>
              <w:bottom w:val="single" w:sz="4" w:space="0" w:color="auto"/>
              <w:right w:val="nil"/>
            </w:tcBorders>
          </w:tcPr>
          <w:p w:rsidR="000D2A2A" w:rsidRPr="00027F01" w:rsidRDefault="000D2A2A" w:rsidP="005F46E8">
            <w:pPr>
              <w:rPr>
                <w:b/>
                <w:sz w:val="22"/>
                <w:szCs w:val="22"/>
                <w:u w:val="single"/>
              </w:rPr>
            </w:pPr>
          </w:p>
        </w:tc>
      </w:tr>
      <w:tr w:rsidR="000D2A2A" w:rsidRPr="00027F01" w:rsidTr="000D2A2A">
        <w:trPr>
          <w:trHeight w:val="374"/>
        </w:trPr>
        <w:tc>
          <w:tcPr>
            <w:tcW w:w="5919" w:type="dxa"/>
            <w:tcBorders>
              <w:top w:val="nil"/>
              <w:left w:val="nil"/>
              <w:bottom w:val="nil"/>
              <w:right w:val="nil"/>
            </w:tcBorders>
            <w:vAlign w:val="bottom"/>
          </w:tcPr>
          <w:p w:rsidR="000D2A2A" w:rsidRPr="00027F01" w:rsidRDefault="000D2A2A" w:rsidP="005F46E8">
            <w:pPr>
              <w:rPr>
                <w:sz w:val="22"/>
                <w:szCs w:val="22"/>
              </w:rPr>
            </w:pPr>
            <w:r w:rsidRPr="00027F01">
              <w:rPr>
                <w:sz w:val="22"/>
                <w:szCs w:val="22"/>
              </w:rPr>
              <w:t>University Senate</w:t>
            </w:r>
          </w:p>
        </w:tc>
        <w:tc>
          <w:tcPr>
            <w:tcW w:w="2941" w:type="dxa"/>
            <w:tcBorders>
              <w:top w:val="single" w:sz="4" w:space="0" w:color="auto"/>
              <w:left w:val="nil"/>
              <w:bottom w:val="single" w:sz="4" w:space="0" w:color="auto"/>
              <w:right w:val="nil"/>
            </w:tcBorders>
          </w:tcPr>
          <w:p w:rsidR="000D2A2A" w:rsidRPr="00027F01" w:rsidRDefault="000D2A2A" w:rsidP="005F46E8">
            <w:pPr>
              <w:rPr>
                <w:b/>
                <w:sz w:val="22"/>
                <w:szCs w:val="22"/>
                <w:u w:val="single"/>
              </w:rPr>
            </w:pPr>
          </w:p>
        </w:tc>
      </w:tr>
    </w:tbl>
    <w:p w:rsidR="001906BE" w:rsidRDefault="001906BE" w:rsidP="000D2A2A">
      <w:pPr>
        <w:pStyle w:val="NormalWeb"/>
        <w:ind w:left="720"/>
      </w:pPr>
    </w:p>
    <w:sectPr w:rsidR="001906BE" w:rsidSect="002F6072">
      <w:footerReference w:type="default" r:id="rId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17" w:rsidRDefault="003D5817" w:rsidP="002F6072">
      <w:r>
        <w:separator/>
      </w:r>
    </w:p>
  </w:endnote>
  <w:endnote w:type="continuationSeparator" w:id="0">
    <w:p w:rsidR="003D5817" w:rsidRDefault="003D5817" w:rsidP="002F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72" w:rsidRPr="002F6072" w:rsidRDefault="002F6072" w:rsidP="002F6072">
    <w:pPr>
      <w:pStyle w:val="Footer"/>
      <w:jc w:val="right"/>
      <w:rPr>
        <w:sz w:val="18"/>
        <w:szCs w:val="18"/>
      </w:rPr>
    </w:pPr>
    <w:r w:rsidRPr="002F6072">
      <w:rPr>
        <w:sz w:val="18"/>
        <w:szCs w:val="18"/>
      </w:rPr>
      <w:t>Format effective April 2013</w:t>
    </w:r>
  </w:p>
  <w:p w:rsidR="002F6072" w:rsidRDefault="002F6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17" w:rsidRDefault="003D5817" w:rsidP="002F6072">
      <w:r>
        <w:separator/>
      </w:r>
    </w:p>
  </w:footnote>
  <w:footnote w:type="continuationSeparator" w:id="0">
    <w:p w:rsidR="003D5817" w:rsidRDefault="003D5817" w:rsidP="002F6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262"/>
    <w:multiLevelType w:val="hybridMultilevel"/>
    <w:tmpl w:val="28468082"/>
    <w:lvl w:ilvl="0" w:tplc="8E085B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A14FE2"/>
    <w:multiLevelType w:val="multilevel"/>
    <w:tmpl w:val="D162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052E"/>
    <w:rsid w:val="0000299F"/>
    <w:rsid w:val="0005052E"/>
    <w:rsid w:val="000C632F"/>
    <w:rsid w:val="000D2A2A"/>
    <w:rsid w:val="000E1D28"/>
    <w:rsid w:val="001906BE"/>
    <w:rsid w:val="001D591E"/>
    <w:rsid w:val="001F5205"/>
    <w:rsid w:val="002F6072"/>
    <w:rsid w:val="003D41C6"/>
    <w:rsid w:val="003D5817"/>
    <w:rsid w:val="00576F1A"/>
    <w:rsid w:val="005E22B4"/>
    <w:rsid w:val="00862B2D"/>
    <w:rsid w:val="008D181A"/>
    <w:rsid w:val="008E4BCB"/>
    <w:rsid w:val="00954887"/>
    <w:rsid w:val="009B08B1"/>
    <w:rsid w:val="00A84BB9"/>
    <w:rsid w:val="00AB051E"/>
    <w:rsid w:val="00B3599E"/>
    <w:rsid w:val="00CF4AAF"/>
    <w:rsid w:val="00D427F7"/>
    <w:rsid w:val="00E94A9A"/>
    <w:rsid w:val="00FA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7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27F7"/>
    <w:pPr>
      <w:spacing w:before="100" w:beforeAutospacing="1" w:after="100" w:afterAutospacing="1"/>
    </w:pPr>
  </w:style>
  <w:style w:type="character" w:styleId="Strong">
    <w:name w:val="Strong"/>
    <w:basedOn w:val="DefaultParagraphFont"/>
    <w:qFormat/>
    <w:rsid w:val="00D427F7"/>
    <w:rPr>
      <w:b/>
      <w:bCs/>
    </w:rPr>
  </w:style>
  <w:style w:type="paragraph" w:styleId="BalloonText">
    <w:name w:val="Balloon Text"/>
    <w:basedOn w:val="Normal"/>
    <w:link w:val="BalloonTextChar"/>
    <w:rsid w:val="008D181A"/>
    <w:rPr>
      <w:rFonts w:ascii="Tahoma" w:hAnsi="Tahoma" w:cs="Tahoma"/>
      <w:sz w:val="16"/>
      <w:szCs w:val="16"/>
    </w:rPr>
  </w:style>
  <w:style w:type="character" w:customStyle="1" w:styleId="BalloonTextChar">
    <w:name w:val="Balloon Text Char"/>
    <w:basedOn w:val="DefaultParagraphFont"/>
    <w:link w:val="BalloonText"/>
    <w:rsid w:val="008D181A"/>
    <w:rPr>
      <w:rFonts w:ascii="Tahoma" w:hAnsi="Tahoma" w:cs="Tahoma"/>
      <w:sz w:val="16"/>
      <w:szCs w:val="16"/>
    </w:rPr>
  </w:style>
  <w:style w:type="paragraph" w:styleId="Header">
    <w:name w:val="header"/>
    <w:basedOn w:val="Normal"/>
    <w:link w:val="HeaderChar"/>
    <w:rsid w:val="002F6072"/>
    <w:pPr>
      <w:tabs>
        <w:tab w:val="center" w:pos="4680"/>
        <w:tab w:val="right" w:pos="9360"/>
      </w:tabs>
    </w:pPr>
  </w:style>
  <w:style w:type="character" w:customStyle="1" w:styleId="HeaderChar">
    <w:name w:val="Header Char"/>
    <w:basedOn w:val="DefaultParagraphFont"/>
    <w:link w:val="Header"/>
    <w:rsid w:val="002F6072"/>
    <w:rPr>
      <w:sz w:val="24"/>
      <w:szCs w:val="24"/>
    </w:rPr>
  </w:style>
  <w:style w:type="paragraph" w:styleId="Footer">
    <w:name w:val="footer"/>
    <w:basedOn w:val="Normal"/>
    <w:link w:val="FooterChar"/>
    <w:uiPriority w:val="99"/>
    <w:rsid w:val="002F6072"/>
    <w:pPr>
      <w:tabs>
        <w:tab w:val="center" w:pos="4680"/>
        <w:tab w:val="right" w:pos="9360"/>
      </w:tabs>
    </w:pPr>
  </w:style>
  <w:style w:type="character" w:customStyle="1" w:styleId="FooterChar">
    <w:name w:val="Footer Char"/>
    <w:basedOn w:val="DefaultParagraphFont"/>
    <w:link w:val="Footer"/>
    <w:uiPriority w:val="99"/>
    <w:rsid w:val="002F6072"/>
    <w:rPr>
      <w:sz w:val="24"/>
      <w:szCs w:val="24"/>
    </w:rPr>
  </w:style>
  <w:style w:type="table" w:styleId="TableGrid">
    <w:name w:val="Table Grid"/>
    <w:basedOn w:val="TableNormal"/>
    <w:uiPriority w:val="59"/>
    <w:rsid w:val="00B35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3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Strong">
    <w:name w:val="Strong"/>
    <w:basedOn w:val="DefaultParagraphFont"/>
    <w:qFormat/>
    <w:rPr>
      <w:b/>
      <w:bCs/>
    </w:rPr>
  </w:style>
  <w:style w:type="paragraph" w:styleId="BalloonText">
    <w:name w:val="Balloon Text"/>
    <w:basedOn w:val="Normal"/>
    <w:link w:val="BalloonTextChar"/>
    <w:rsid w:val="008D181A"/>
    <w:rPr>
      <w:rFonts w:ascii="Tahoma" w:hAnsi="Tahoma" w:cs="Tahoma"/>
      <w:sz w:val="16"/>
      <w:szCs w:val="16"/>
    </w:rPr>
  </w:style>
  <w:style w:type="character" w:customStyle="1" w:styleId="BalloonTextChar">
    <w:name w:val="Balloon Text Char"/>
    <w:basedOn w:val="DefaultParagraphFont"/>
    <w:link w:val="BalloonText"/>
    <w:rsid w:val="008D181A"/>
    <w:rPr>
      <w:rFonts w:ascii="Tahoma" w:hAnsi="Tahoma" w:cs="Tahoma"/>
      <w:sz w:val="16"/>
      <w:szCs w:val="16"/>
    </w:rPr>
  </w:style>
  <w:style w:type="paragraph" w:styleId="Header">
    <w:name w:val="header"/>
    <w:basedOn w:val="Normal"/>
    <w:link w:val="HeaderChar"/>
    <w:rsid w:val="002F6072"/>
    <w:pPr>
      <w:tabs>
        <w:tab w:val="center" w:pos="4680"/>
        <w:tab w:val="right" w:pos="9360"/>
      </w:tabs>
    </w:pPr>
  </w:style>
  <w:style w:type="character" w:customStyle="1" w:styleId="HeaderChar">
    <w:name w:val="Header Char"/>
    <w:basedOn w:val="DefaultParagraphFont"/>
    <w:link w:val="Header"/>
    <w:rsid w:val="002F6072"/>
    <w:rPr>
      <w:sz w:val="24"/>
      <w:szCs w:val="24"/>
    </w:rPr>
  </w:style>
  <w:style w:type="paragraph" w:styleId="Footer">
    <w:name w:val="footer"/>
    <w:basedOn w:val="Normal"/>
    <w:link w:val="FooterChar"/>
    <w:uiPriority w:val="99"/>
    <w:rsid w:val="002F6072"/>
    <w:pPr>
      <w:tabs>
        <w:tab w:val="center" w:pos="4680"/>
        <w:tab w:val="right" w:pos="9360"/>
      </w:tabs>
    </w:pPr>
  </w:style>
  <w:style w:type="character" w:customStyle="1" w:styleId="FooterChar">
    <w:name w:val="Footer Char"/>
    <w:basedOn w:val="DefaultParagraphFont"/>
    <w:link w:val="Footer"/>
    <w:uiPriority w:val="99"/>
    <w:rsid w:val="002F6072"/>
    <w:rPr>
      <w:sz w:val="24"/>
      <w:szCs w:val="24"/>
    </w:rPr>
  </w:style>
  <w:style w:type="table" w:styleId="TableGrid">
    <w:name w:val="Table Grid"/>
    <w:basedOn w:val="TableNormal"/>
    <w:uiPriority w:val="59"/>
    <w:rsid w:val="00B35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3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273</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General Guidelines for Proposals to Revise Course Credit Hours</vt:lpstr>
    </vt:vector>
  </TitlesOfParts>
  <Company>Western Kentucky University</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 Proposals to Revise Course Credit Hours</dc:title>
  <dc:creator>Bowling Green Community College</dc:creator>
  <cp:lastModifiedBy>Wilson, Melna</cp:lastModifiedBy>
  <cp:revision>6</cp:revision>
  <dcterms:created xsi:type="dcterms:W3CDTF">2013-04-03T15:22:00Z</dcterms:created>
  <dcterms:modified xsi:type="dcterms:W3CDTF">2013-04-19T16:26:00Z</dcterms:modified>
</cp:coreProperties>
</file>