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0D" w:rsidRPr="004C715B" w:rsidRDefault="0092560D" w:rsidP="0092560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74573" w:rsidRPr="004C715B" w:rsidRDefault="00A74573" w:rsidP="004C715B">
      <w:pPr>
        <w:jc w:val="right"/>
      </w:pPr>
      <w:r w:rsidRPr="004C715B">
        <w:t>Proposal Date:</w:t>
      </w:r>
      <w:r w:rsidR="00A11E7F">
        <w:t xml:space="preserve"> </w:t>
      </w:r>
      <w:r w:rsidR="005351F3">
        <w:t>August 25, 2015</w:t>
      </w:r>
    </w:p>
    <w:p w:rsidR="00A74573" w:rsidRDefault="00A74573" w:rsidP="004C715B">
      <w:pPr>
        <w:jc w:val="center"/>
        <w:rPr>
          <w:b/>
        </w:rPr>
      </w:pPr>
    </w:p>
    <w:p w:rsidR="00AE2132" w:rsidRDefault="00347262" w:rsidP="004C715B">
      <w:pPr>
        <w:jc w:val="center"/>
        <w:rPr>
          <w:b/>
        </w:rPr>
      </w:pPr>
      <w:r>
        <w:rPr>
          <w:b/>
        </w:rPr>
        <w:t>Office of the Registrar</w:t>
      </w:r>
    </w:p>
    <w:p w:rsidR="00AE2132" w:rsidRDefault="00AE2132" w:rsidP="004C715B">
      <w:pPr>
        <w:jc w:val="center"/>
        <w:rPr>
          <w:b/>
        </w:rPr>
      </w:pPr>
      <w:r>
        <w:rPr>
          <w:b/>
        </w:rPr>
        <w:t xml:space="preserve">Proposal to </w:t>
      </w:r>
      <w:r w:rsidR="001E3639">
        <w:rPr>
          <w:b/>
        </w:rPr>
        <w:t>Create a New</w:t>
      </w:r>
      <w:r>
        <w:rPr>
          <w:b/>
        </w:rPr>
        <w:t xml:space="preserve"> Academic Policy</w:t>
      </w:r>
    </w:p>
    <w:p w:rsidR="00AE2132" w:rsidRDefault="00AE2132" w:rsidP="004C715B">
      <w:pPr>
        <w:jc w:val="center"/>
        <w:rPr>
          <w:b/>
        </w:rPr>
      </w:pPr>
      <w:r>
        <w:rPr>
          <w:b/>
        </w:rPr>
        <w:t>(Action Item)</w:t>
      </w:r>
    </w:p>
    <w:p w:rsidR="00AE2132" w:rsidRDefault="00AE2132" w:rsidP="004C715B">
      <w:pPr>
        <w:jc w:val="center"/>
        <w:rPr>
          <w:b/>
        </w:rPr>
      </w:pPr>
    </w:p>
    <w:p w:rsidR="00AE2132" w:rsidRPr="004C715B" w:rsidRDefault="00AE2132">
      <w:pPr>
        <w:rPr>
          <w:sz w:val="22"/>
          <w:szCs w:val="22"/>
        </w:rPr>
      </w:pPr>
      <w:r w:rsidRPr="004C715B">
        <w:rPr>
          <w:sz w:val="22"/>
          <w:szCs w:val="22"/>
        </w:rPr>
        <w:t>Co</w:t>
      </w:r>
      <w:r w:rsidR="00347262">
        <w:rPr>
          <w:sz w:val="22"/>
          <w:szCs w:val="22"/>
        </w:rPr>
        <w:t xml:space="preserve">ntact Person: Tiffany Robinson, Registrar, </w:t>
      </w:r>
      <w:hyperlink r:id="rId8" w:history="1">
        <w:r w:rsidR="00347262" w:rsidRPr="00D8281D">
          <w:rPr>
            <w:rStyle w:val="Hyperlink"/>
            <w:sz w:val="22"/>
            <w:szCs w:val="22"/>
          </w:rPr>
          <w:t>tiffany.robinson@wku.edu</w:t>
        </w:r>
      </w:hyperlink>
      <w:r w:rsidR="00347262">
        <w:rPr>
          <w:sz w:val="22"/>
          <w:szCs w:val="22"/>
        </w:rPr>
        <w:t>, 745-5432</w:t>
      </w:r>
    </w:p>
    <w:p w:rsidR="00AE2132" w:rsidRPr="004C715B" w:rsidRDefault="00AE2132">
      <w:pPr>
        <w:rPr>
          <w:sz w:val="22"/>
          <w:szCs w:val="22"/>
        </w:rPr>
      </w:pPr>
    </w:p>
    <w:p w:rsidR="00AE2132" w:rsidRPr="00BC69C4" w:rsidRDefault="00AE2132" w:rsidP="00BC69C4">
      <w:pPr>
        <w:pStyle w:val="ListParagraph"/>
        <w:numPr>
          <w:ilvl w:val="0"/>
          <w:numId w:val="2"/>
        </w:numPr>
        <w:ind w:hanging="720"/>
        <w:rPr>
          <w:b/>
          <w:sz w:val="22"/>
          <w:szCs w:val="22"/>
          <w:u w:val="single"/>
        </w:rPr>
      </w:pPr>
      <w:r w:rsidRPr="004C715B">
        <w:rPr>
          <w:b/>
          <w:sz w:val="22"/>
          <w:szCs w:val="22"/>
        </w:rPr>
        <w:t>I</w:t>
      </w:r>
      <w:r w:rsidR="001E3639" w:rsidRPr="004C715B">
        <w:rPr>
          <w:b/>
          <w:sz w:val="22"/>
          <w:szCs w:val="22"/>
        </w:rPr>
        <w:t>dentification of proposed policy</w:t>
      </w:r>
      <w:r w:rsidRPr="004C715B">
        <w:rPr>
          <w:b/>
          <w:sz w:val="22"/>
          <w:szCs w:val="22"/>
        </w:rPr>
        <w:t>:</w:t>
      </w:r>
      <w:r w:rsidR="00BC69C4">
        <w:rPr>
          <w:b/>
          <w:sz w:val="22"/>
          <w:szCs w:val="22"/>
        </w:rPr>
        <w:t xml:space="preserve">  </w:t>
      </w:r>
      <w:r w:rsidR="00BC69C4">
        <w:rPr>
          <w:sz w:val="22"/>
          <w:szCs w:val="22"/>
        </w:rPr>
        <w:t xml:space="preserve">Creation of a policy that would extend the </w:t>
      </w:r>
      <w:r w:rsidR="00D378EC">
        <w:rPr>
          <w:sz w:val="22"/>
          <w:szCs w:val="22"/>
        </w:rPr>
        <w:t xml:space="preserve">“Fully Certified” category of the </w:t>
      </w:r>
      <w:r w:rsidR="00BC69C4">
        <w:rPr>
          <w:sz w:val="22"/>
          <w:szCs w:val="22"/>
        </w:rPr>
        <w:t>Kentucky General Education Transfer Policy</w:t>
      </w:r>
      <w:r w:rsidR="003B4334">
        <w:rPr>
          <w:sz w:val="22"/>
          <w:szCs w:val="22"/>
        </w:rPr>
        <w:t xml:space="preserve"> to </w:t>
      </w:r>
      <w:r w:rsidR="00D378EC">
        <w:rPr>
          <w:sz w:val="22"/>
          <w:szCs w:val="22"/>
        </w:rPr>
        <w:t xml:space="preserve">transfer students </w:t>
      </w:r>
      <w:r w:rsidR="007A4E68">
        <w:rPr>
          <w:sz w:val="22"/>
          <w:szCs w:val="22"/>
        </w:rPr>
        <w:t xml:space="preserve">who complete </w:t>
      </w:r>
      <w:r w:rsidR="00D378EC">
        <w:rPr>
          <w:sz w:val="22"/>
          <w:szCs w:val="22"/>
        </w:rPr>
        <w:t>associate</w:t>
      </w:r>
      <w:r w:rsidR="000B14F8">
        <w:rPr>
          <w:sz w:val="22"/>
          <w:szCs w:val="22"/>
        </w:rPr>
        <w:t>s</w:t>
      </w:r>
      <w:r w:rsidR="00D378EC">
        <w:rPr>
          <w:sz w:val="22"/>
          <w:szCs w:val="22"/>
        </w:rPr>
        <w:t xml:space="preserve"> degrees</w:t>
      </w:r>
      <w:r w:rsidR="007F7156">
        <w:rPr>
          <w:sz w:val="22"/>
          <w:szCs w:val="22"/>
        </w:rPr>
        <w:t xml:space="preserve"> </w:t>
      </w:r>
      <w:r w:rsidR="007323D7">
        <w:rPr>
          <w:sz w:val="22"/>
          <w:szCs w:val="22"/>
        </w:rPr>
        <w:t>containing 30 unduplicated semester credit hours of general education courses</w:t>
      </w:r>
      <w:r w:rsidR="00A43498" w:rsidRPr="00A43498">
        <w:rPr>
          <w:sz w:val="22"/>
          <w:szCs w:val="22"/>
        </w:rPr>
        <w:t xml:space="preserve"> </w:t>
      </w:r>
      <w:r w:rsidR="003B4334">
        <w:rPr>
          <w:sz w:val="22"/>
          <w:szCs w:val="22"/>
        </w:rPr>
        <w:t>from regionally accredited insti</w:t>
      </w:r>
      <w:r w:rsidR="007323D7">
        <w:rPr>
          <w:sz w:val="22"/>
          <w:szCs w:val="22"/>
        </w:rPr>
        <w:t xml:space="preserve">tutions outside the state of </w:t>
      </w:r>
      <w:r w:rsidR="003B4334">
        <w:rPr>
          <w:sz w:val="22"/>
          <w:szCs w:val="22"/>
        </w:rPr>
        <w:t>Kentucky.</w:t>
      </w:r>
    </w:p>
    <w:p w:rsidR="00BC69C4" w:rsidRPr="00BC69C4" w:rsidRDefault="00BC69C4" w:rsidP="00BC69C4">
      <w:pPr>
        <w:rPr>
          <w:b/>
          <w:sz w:val="22"/>
          <w:szCs w:val="22"/>
          <w:u w:val="single"/>
        </w:rPr>
      </w:pPr>
    </w:p>
    <w:p w:rsidR="00AE2132" w:rsidRPr="00520C08" w:rsidRDefault="00AE2132" w:rsidP="0066047A">
      <w:pPr>
        <w:pStyle w:val="ListParagraph"/>
        <w:numPr>
          <w:ilvl w:val="0"/>
          <w:numId w:val="2"/>
        </w:numPr>
        <w:ind w:hanging="720"/>
        <w:rPr>
          <w:b/>
          <w:sz w:val="22"/>
          <w:szCs w:val="22"/>
          <w:u w:val="single"/>
        </w:rPr>
      </w:pPr>
      <w:r w:rsidRPr="004C715B">
        <w:rPr>
          <w:b/>
          <w:sz w:val="22"/>
          <w:szCs w:val="22"/>
        </w:rPr>
        <w:t xml:space="preserve">Catalog statement of </w:t>
      </w:r>
      <w:r w:rsidR="001E3639" w:rsidRPr="004C715B">
        <w:rPr>
          <w:b/>
          <w:sz w:val="22"/>
          <w:szCs w:val="22"/>
        </w:rPr>
        <w:t>proposed</w:t>
      </w:r>
      <w:r w:rsidRPr="004C715B">
        <w:rPr>
          <w:b/>
          <w:sz w:val="22"/>
          <w:szCs w:val="22"/>
        </w:rPr>
        <w:t xml:space="preserve"> policy:</w:t>
      </w:r>
    </w:p>
    <w:p w:rsidR="00520C08" w:rsidRPr="003C0615" w:rsidRDefault="00520C08" w:rsidP="0066047A">
      <w:pPr>
        <w:pStyle w:val="ListParagraph"/>
        <w:numPr>
          <w:ilvl w:val="1"/>
          <w:numId w:val="2"/>
        </w:numPr>
        <w:ind w:hanging="720"/>
        <w:rPr>
          <w:sz w:val="22"/>
          <w:szCs w:val="22"/>
          <w:u w:val="single"/>
        </w:rPr>
      </w:pPr>
      <w:r w:rsidRPr="0066047A">
        <w:rPr>
          <w:sz w:val="22"/>
          <w:szCs w:val="22"/>
        </w:rPr>
        <w:t xml:space="preserve">Proposed </w:t>
      </w:r>
      <w:r w:rsidR="004E4650" w:rsidRPr="0066047A">
        <w:rPr>
          <w:sz w:val="22"/>
          <w:szCs w:val="22"/>
        </w:rPr>
        <w:t>c</w:t>
      </w:r>
      <w:r w:rsidRPr="0066047A">
        <w:rPr>
          <w:sz w:val="22"/>
          <w:szCs w:val="22"/>
        </w:rPr>
        <w:t xml:space="preserve">atalog </w:t>
      </w:r>
      <w:r w:rsidR="000A6065">
        <w:rPr>
          <w:sz w:val="22"/>
          <w:szCs w:val="22"/>
        </w:rPr>
        <w:t>policy</w:t>
      </w:r>
      <w:r w:rsidRPr="0066047A">
        <w:rPr>
          <w:sz w:val="22"/>
          <w:szCs w:val="22"/>
        </w:rPr>
        <w:t>:</w:t>
      </w:r>
      <w:r w:rsidR="003C0615">
        <w:rPr>
          <w:sz w:val="22"/>
          <w:szCs w:val="22"/>
        </w:rPr>
        <w:t xml:space="preserve">  </w:t>
      </w:r>
    </w:p>
    <w:p w:rsidR="003C0615" w:rsidRPr="003C0615" w:rsidRDefault="003C0615" w:rsidP="003C0615">
      <w:pPr>
        <w:ind w:left="1440"/>
        <w:rPr>
          <w:b/>
          <w:sz w:val="22"/>
          <w:szCs w:val="22"/>
        </w:rPr>
      </w:pPr>
      <w:r w:rsidRPr="003C0615">
        <w:rPr>
          <w:b/>
          <w:sz w:val="22"/>
          <w:szCs w:val="22"/>
        </w:rPr>
        <w:t>General Education Transfer Policy from States other than Kentucky</w:t>
      </w:r>
    </w:p>
    <w:p w:rsidR="003C0615" w:rsidRPr="003C0615" w:rsidRDefault="003C0615" w:rsidP="003C0615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Students who </w:t>
      </w:r>
      <w:r w:rsidR="007A4E68">
        <w:rPr>
          <w:sz w:val="22"/>
          <w:szCs w:val="22"/>
        </w:rPr>
        <w:t xml:space="preserve">complete </w:t>
      </w:r>
      <w:r w:rsidR="007323D7">
        <w:rPr>
          <w:sz w:val="22"/>
          <w:szCs w:val="22"/>
        </w:rPr>
        <w:t>an associate</w:t>
      </w:r>
      <w:r w:rsidR="00AB2890">
        <w:rPr>
          <w:sz w:val="22"/>
          <w:szCs w:val="22"/>
        </w:rPr>
        <w:t xml:space="preserve"> degree</w:t>
      </w:r>
      <w:r w:rsidR="007323D7">
        <w:rPr>
          <w:sz w:val="22"/>
          <w:szCs w:val="22"/>
        </w:rPr>
        <w:t xml:space="preserve"> containing 30 unduplicated semester credit hours of General Education</w:t>
      </w:r>
      <w:r w:rsidR="00AB2890">
        <w:rPr>
          <w:sz w:val="22"/>
          <w:szCs w:val="22"/>
        </w:rPr>
        <w:t xml:space="preserve"> (typically </w:t>
      </w:r>
      <w:r w:rsidR="00392E31">
        <w:rPr>
          <w:sz w:val="22"/>
          <w:szCs w:val="22"/>
        </w:rPr>
        <w:t>an Associate</w:t>
      </w:r>
      <w:r>
        <w:rPr>
          <w:sz w:val="22"/>
          <w:szCs w:val="22"/>
        </w:rPr>
        <w:t xml:space="preserve"> of Arts </w:t>
      </w:r>
      <w:r w:rsidR="00392E31">
        <w:rPr>
          <w:sz w:val="22"/>
          <w:szCs w:val="22"/>
        </w:rPr>
        <w:t>[</w:t>
      </w:r>
      <w:r w:rsidR="00A47E1D">
        <w:rPr>
          <w:sz w:val="22"/>
          <w:szCs w:val="22"/>
        </w:rPr>
        <w:t>AA</w:t>
      </w:r>
      <w:r w:rsidR="00392E31">
        <w:rPr>
          <w:sz w:val="22"/>
          <w:szCs w:val="22"/>
        </w:rPr>
        <w:t>] or an Associate</w:t>
      </w:r>
      <w:r w:rsidR="00A47E1D">
        <w:rPr>
          <w:sz w:val="22"/>
          <w:szCs w:val="22"/>
        </w:rPr>
        <w:t xml:space="preserve"> of Science</w:t>
      </w:r>
      <w:r>
        <w:rPr>
          <w:sz w:val="22"/>
          <w:szCs w:val="22"/>
        </w:rPr>
        <w:t xml:space="preserve"> </w:t>
      </w:r>
      <w:r w:rsidR="00392E31">
        <w:rPr>
          <w:sz w:val="22"/>
          <w:szCs w:val="22"/>
        </w:rPr>
        <w:t>[</w:t>
      </w:r>
      <w:r>
        <w:rPr>
          <w:sz w:val="22"/>
          <w:szCs w:val="22"/>
        </w:rPr>
        <w:t>AS</w:t>
      </w:r>
      <w:r w:rsidR="00392E31">
        <w:rPr>
          <w:sz w:val="22"/>
          <w:szCs w:val="22"/>
        </w:rPr>
        <w:t>]</w:t>
      </w:r>
      <w:r w:rsidR="00AB2890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from a regionally accredited </w:t>
      </w:r>
      <w:r w:rsidRPr="009B06D6">
        <w:rPr>
          <w:sz w:val="22"/>
          <w:szCs w:val="22"/>
        </w:rPr>
        <w:t xml:space="preserve">institution </w:t>
      </w:r>
      <w:r w:rsidR="00392E31" w:rsidRPr="009B06D6">
        <w:rPr>
          <w:sz w:val="22"/>
          <w:szCs w:val="22"/>
        </w:rPr>
        <w:t xml:space="preserve">outside Kentucky </w:t>
      </w:r>
      <w:r w:rsidR="009D5F9D" w:rsidRPr="009B06D6">
        <w:rPr>
          <w:sz w:val="22"/>
          <w:szCs w:val="22"/>
        </w:rPr>
        <w:t xml:space="preserve">are </w:t>
      </w:r>
      <w:r w:rsidR="009D5F9D">
        <w:rPr>
          <w:sz w:val="22"/>
          <w:szCs w:val="22"/>
        </w:rPr>
        <w:t>considered to</w:t>
      </w:r>
      <w:r w:rsidR="00273207">
        <w:rPr>
          <w:sz w:val="22"/>
          <w:szCs w:val="22"/>
        </w:rPr>
        <w:t xml:space="preserve"> have fulfilled</w:t>
      </w:r>
      <w:r>
        <w:rPr>
          <w:sz w:val="22"/>
          <w:szCs w:val="22"/>
        </w:rPr>
        <w:t xml:space="preserve"> all WKU</w:t>
      </w:r>
      <w:r w:rsidR="00FB6752">
        <w:rPr>
          <w:sz w:val="22"/>
          <w:szCs w:val="22"/>
        </w:rPr>
        <w:t xml:space="preserve"> Colonnade General E</w:t>
      </w:r>
      <w:r>
        <w:rPr>
          <w:sz w:val="22"/>
          <w:szCs w:val="22"/>
        </w:rPr>
        <w:t xml:space="preserve">ducation requirements.  </w:t>
      </w:r>
    </w:p>
    <w:p w:rsidR="003C0615" w:rsidRPr="003C0615" w:rsidRDefault="003C0615" w:rsidP="003C0615">
      <w:pPr>
        <w:rPr>
          <w:sz w:val="22"/>
          <w:szCs w:val="22"/>
          <w:u w:val="single"/>
        </w:rPr>
      </w:pPr>
    </w:p>
    <w:p w:rsidR="00520C08" w:rsidRPr="0066047A" w:rsidRDefault="00520C08" w:rsidP="0066047A">
      <w:pPr>
        <w:pStyle w:val="ListParagraph"/>
        <w:numPr>
          <w:ilvl w:val="1"/>
          <w:numId w:val="2"/>
        </w:numPr>
        <w:ind w:hanging="720"/>
        <w:rPr>
          <w:sz w:val="22"/>
          <w:szCs w:val="22"/>
          <w:u w:val="single"/>
        </w:rPr>
      </w:pPr>
      <w:r w:rsidRPr="0066047A">
        <w:rPr>
          <w:sz w:val="22"/>
          <w:szCs w:val="22"/>
        </w:rPr>
        <w:t>Proposed</w:t>
      </w:r>
      <w:r w:rsidR="003E3E84">
        <w:rPr>
          <w:sz w:val="22"/>
          <w:szCs w:val="22"/>
        </w:rPr>
        <w:t xml:space="preserve"> catalog </w:t>
      </w:r>
      <w:r w:rsidR="000A6065">
        <w:rPr>
          <w:sz w:val="22"/>
          <w:szCs w:val="22"/>
        </w:rPr>
        <w:t>section</w:t>
      </w:r>
      <w:r w:rsidR="003E3E84">
        <w:rPr>
          <w:sz w:val="22"/>
          <w:szCs w:val="22"/>
        </w:rPr>
        <w:t>:</w:t>
      </w:r>
    </w:p>
    <w:p w:rsidR="0066047A" w:rsidRDefault="00A45601" w:rsidP="0066047A">
      <w:pPr>
        <w:pStyle w:val="ListParagraph"/>
        <w:ind w:left="1440"/>
        <w:rPr>
          <w:sz w:val="22"/>
          <w:szCs w:val="22"/>
        </w:rPr>
      </w:pPr>
      <w:r w:rsidRPr="00A45601">
        <w:rPr>
          <w:sz w:val="22"/>
          <w:szCs w:val="22"/>
        </w:rPr>
        <w:t>It is p</w:t>
      </w:r>
      <w:r>
        <w:rPr>
          <w:sz w:val="22"/>
          <w:szCs w:val="22"/>
        </w:rPr>
        <w:t>roposed that this policy</w:t>
      </w:r>
      <w:r w:rsidR="0042626D">
        <w:rPr>
          <w:sz w:val="22"/>
          <w:szCs w:val="22"/>
        </w:rPr>
        <w:t xml:space="preserve"> appear in the</w:t>
      </w:r>
      <w:r>
        <w:rPr>
          <w:sz w:val="22"/>
          <w:szCs w:val="22"/>
        </w:rPr>
        <w:t xml:space="preserve"> “</w:t>
      </w:r>
      <w:r w:rsidRPr="00A45601">
        <w:rPr>
          <w:b/>
          <w:sz w:val="22"/>
          <w:szCs w:val="22"/>
        </w:rPr>
        <w:t>Transfer of Credits</w:t>
      </w:r>
      <w:r>
        <w:rPr>
          <w:sz w:val="22"/>
          <w:szCs w:val="22"/>
        </w:rPr>
        <w:t>”</w:t>
      </w:r>
      <w:r w:rsidR="0042626D">
        <w:rPr>
          <w:sz w:val="22"/>
          <w:szCs w:val="22"/>
        </w:rPr>
        <w:t xml:space="preserve"> section</w:t>
      </w:r>
      <w:r>
        <w:rPr>
          <w:sz w:val="22"/>
          <w:szCs w:val="22"/>
        </w:rPr>
        <w:t xml:space="preserve"> immediat</w:t>
      </w:r>
      <w:r w:rsidR="0042626D">
        <w:rPr>
          <w:sz w:val="22"/>
          <w:szCs w:val="22"/>
        </w:rPr>
        <w:t>ely following the</w:t>
      </w:r>
      <w:r>
        <w:rPr>
          <w:sz w:val="22"/>
          <w:szCs w:val="22"/>
        </w:rPr>
        <w:t xml:space="preserve"> “</w:t>
      </w:r>
      <w:r w:rsidRPr="00A45601">
        <w:rPr>
          <w:b/>
          <w:sz w:val="22"/>
          <w:szCs w:val="22"/>
        </w:rPr>
        <w:t>Kentucky General Education Transfer Policy</w:t>
      </w:r>
      <w:r>
        <w:rPr>
          <w:sz w:val="22"/>
          <w:szCs w:val="22"/>
        </w:rPr>
        <w:t>.”</w:t>
      </w:r>
    </w:p>
    <w:p w:rsidR="00A45601" w:rsidRPr="00A45601" w:rsidRDefault="00A45601" w:rsidP="0066047A">
      <w:pPr>
        <w:pStyle w:val="ListParagraph"/>
        <w:ind w:left="1440"/>
        <w:rPr>
          <w:sz w:val="22"/>
          <w:szCs w:val="22"/>
        </w:rPr>
      </w:pPr>
    </w:p>
    <w:p w:rsidR="00AE2132" w:rsidRPr="00492507" w:rsidRDefault="00AE2132" w:rsidP="00492507">
      <w:pPr>
        <w:pStyle w:val="ListParagraph"/>
        <w:numPr>
          <w:ilvl w:val="0"/>
          <w:numId w:val="2"/>
        </w:numPr>
        <w:ind w:hanging="720"/>
        <w:rPr>
          <w:b/>
          <w:sz w:val="22"/>
          <w:szCs w:val="22"/>
          <w:u w:val="single"/>
        </w:rPr>
      </w:pPr>
      <w:r w:rsidRPr="004C715B">
        <w:rPr>
          <w:b/>
          <w:sz w:val="22"/>
          <w:szCs w:val="22"/>
        </w:rPr>
        <w:t>Rationale for proposed policy:</w:t>
      </w:r>
    </w:p>
    <w:p w:rsidR="00C01FED" w:rsidRDefault="00F171A9" w:rsidP="00E4726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Currently, in accordance with the Kentucky General Education Transfer Policy, </w:t>
      </w:r>
      <w:r w:rsidR="00C01FED">
        <w:rPr>
          <w:sz w:val="22"/>
          <w:szCs w:val="22"/>
        </w:rPr>
        <w:t>a student with an AA or AS degree from</w:t>
      </w:r>
      <w:r w:rsidR="00960E42">
        <w:rPr>
          <w:sz w:val="22"/>
          <w:szCs w:val="22"/>
        </w:rPr>
        <w:t xml:space="preserve"> a Kentucky Community and Technical College System (KCTCS) college is considered “Fully Certified” with respect to general education requirements (i.e. all general education requirements are completed)</w:t>
      </w:r>
      <w:r w:rsidR="00A7139A">
        <w:rPr>
          <w:sz w:val="22"/>
          <w:szCs w:val="22"/>
        </w:rPr>
        <w:t xml:space="preserve"> </w:t>
      </w:r>
      <w:r w:rsidR="007A4E68">
        <w:rPr>
          <w:sz w:val="22"/>
          <w:szCs w:val="22"/>
        </w:rPr>
        <w:t xml:space="preserve">at </w:t>
      </w:r>
      <w:r w:rsidR="00A7139A">
        <w:rPr>
          <w:sz w:val="22"/>
          <w:szCs w:val="22"/>
        </w:rPr>
        <w:t>any Kentucky public institution</w:t>
      </w:r>
      <w:r w:rsidR="00960E42" w:rsidRPr="009B06D6">
        <w:rPr>
          <w:sz w:val="22"/>
          <w:szCs w:val="22"/>
        </w:rPr>
        <w:t xml:space="preserve">. </w:t>
      </w:r>
      <w:r w:rsidR="00392E31" w:rsidRPr="009B06D6">
        <w:rPr>
          <w:sz w:val="22"/>
          <w:szCs w:val="22"/>
        </w:rPr>
        <w:t>These degrees require at least 30 hours of general education.</w:t>
      </w:r>
      <w:r w:rsidR="00960E42" w:rsidRPr="009B06D6">
        <w:rPr>
          <w:sz w:val="22"/>
          <w:szCs w:val="22"/>
        </w:rPr>
        <w:t xml:space="preserve"> </w:t>
      </w:r>
      <w:r w:rsidR="00C01FED" w:rsidRPr="009B06D6">
        <w:rPr>
          <w:sz w:val="22"/>
          <w:szCs w:val="22"/>
        </w:rPr>
        <w:t xml:space="preserve">The purpose of the proposed policy is </w:t>
      </w:r>
      <w:r w:rsidR="00C01FED">
        <w:rPr>
          <w:sz w:val="22"/>
          <w:szCs w:val="22"/>
        </w:rPr>
        <w:t xml:space="preserve">to extend the “Fully Certified” classification to students who </w:t>
      </w:r>
      <w:r w:rsidR="007A4E68">
        <w:rPr>
          <w:sz w:val="22"/>
          <w:szCs w:val="22"/>
        </w:rPr>
        <w:t xml:space="preserve">complete </w:t>
      </w:r>
      <w:r w:rsidR="00C01FED">
        <w:rPr>
          <w:sz w:val="22"/>
          <w:szCs w:val="22"/>
        </w:rPr>
        <w:t>a general education-focused associate degree (typically an AA or AS) at a regionally accredited institution outside of the state of Kentucky.</w:t>
      </w:r>
    </w:p>
    <w:p w:rsidR="00C01FED" w:rsidRDefault="00C01FED" w:rsidP="00E4726E">
      <w:pPr>
        <w:ind w:left="720"/>
        <w:rPr>
          <w:sz w:val="22"/>
          <w:szCs w:val="22"/>
        </w:rPr>
      </w:pPr>
    </w:p>
    <w:p w:rsidR="001F571D" w:rsidRDefault="00E44E3D" w:rsidP="00E4726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This policy is consistent with </w:t>
      </w:r>
      <w:r w:rsidR="00492507">
        <w:rPr>
          <w:sz w:val="22"/>
          <w:szCs w:val="22"/>
        </w:rPr>
        <w:t xml:space="preserve">the </w:t>
      </w:r>
      <w:r w:rsidR="00684E4F">
        <w:rPr>
          <w:sz w:val="22"/>
          <w:szCs w:val="22"/>
        </w:rPr>
        <w:t xml:space="preserve">WKU </w:t>
      </w:r>
      <w:r w:rsidR="00492507">
        <w:rPr>
          <w:sz w:val="22"/>
          <w:szCs w:val="22"/>
        </w:rPr>
        <w:t>Challenging the Spirit Act</w:t>
      </w:r>
      <w:r>
        <w:rPr>
          <w:sz w:val="22"/>
          <w:szCs w:val="22"/>
        </w:rPr>
        <w:t>ion Plan (2012-13 to 2017-18)</w:t>
      </w:r>
      <w:r w:rsidR="00392E31">
        <w:rPr>
          <w:sz w:val="22"/>
          <w:szCs w:val="22"/>
        </w:rPr>
        <w:t>,</w:t>
      </w:r>
      <w:r>
        <w:rPr>
          <w:sz w:val="22"/>
          <w:szCs w:val="22"/>
        </w:rPr>
        <w:t xml:space="preserve"> which lists as one of its strategies</w:t>
      </w:r>
      <w:r w:rsidR="00492507">
        <w:rPr>
          <w:sz w:val="22"/>
          <w:szCs w:val="22"/>
        </w:rPr>
        <w:t xml:space="preserve"> to “Continue involvement and leadership in statewide initiatives to make transfer more seamless.”  </w:t>
      </w:r>
      <w:r w:rsidR="00E4726E">
        <w:rPr>
          <w:sz w:val="22"/>
          <w:szCs w:val="22"/>
        </w:rPr>
        <w:t>The proposed</w:t>
      </w:r>
      <w:r w:rsidR="001F571D">
        <w:rPr>
          <w:sz w:val="22"/>
          <w:szCs w:val="22"/>
        </w:rPr>
        <w:t xml:space="preserve"> policy provides a more seamless transfer pathway</w:t>
      </w:r>
      <w:r w:rsidR="00E4726E">
        <w:rPr>
          <w:sz w:val="22"/>
          <w:szCs w:val="22"/>
        </w:rPr>
        <w:t xml:space="preserve"> and a more efficient transcript evaluation</w:t>
      </w:r>
      <w:r w:rsidR="001F571D">
        <w:rPr>
          <w:sz w:val="22"/>
          <w:szCs w:val="22"/>
        </w:rPr>
        <w:t xml:space="preserve"> for students who </w:t>
      </w:r>
      <w:r w:rsidR="00C2722B">
        <w:rPr>
          <w:sz w:val="22"/>
          <w:szCs w:val="22"/>
        </w:rPr>
        <w:t>complete</w:t>
      </w:r>
      <w:r w:rsidR="001F571D">
        <w:rPr>
          <w:sz w:val="22"/>
          <w:szCs w:val="22"/>
        </w:rPr>
        <w:t xml:space="preserve"> a general education</w:t>
      </w:r>
      <w:r w:rsidR="00392E31">
        <w:rPr>
          <w:sz w:val="22"/>
          <w:szCs w:val="22"/>
        </w:rPr>
        <w:t>-focused associate</w:t>
      </w:r>
      <w:r w:rsidR="001F571D">
        <w:rPr>
          <w:sz w:val="22"/>
          <w:szCs w:val="22"/>
        </w:rPr>
        <w:t xml:space="preserve"> degree (</w:t>
      </w:r>
      <w:r w:rsidR="00E4726E">
        <w:rPr>
          <w:sz w:val="22"/>
          <w:szCs w:val="22"/>
        </w:rPr>
        <w:t>typically an AA or AS)</w:t>
      </w:r>
      <w:r w:rsidR="00C2722B">
        <w:rPr>
          <w:sz w:val="22"/>
          <w:szCs w:val="22"/>
        </w:rPr>
        <w:t xml:space="preserve"> outside of Kentucky</w:t>
      </w:r>
      <w:r w:rsidR="00392E31">
        <w:rPr>
          <w:sz w:val="22"/>
          <w:szCs w:val="22"/>
        </w:rPr>
        <w:t>.</w:t>
      </w:r>
      <w:r w:rsidR="00C2722B">
        <w:rPr>
          <w:sz w:val="22"/>
          <w:szCs w:val="22"/>
        </w:rPr>
        <w:t xml:space="preserve">  The timing of this policy will facilitate WKU’s efforts to increase its non-traditional student population.  WKU is becoming a more </w:t>
      </w:r>
      <w:r w:rsidR="009B06D6">
        <w:rPr>
          <w:sz w:val="22"/>
          <w:szCs w:val="22"/>
        </w:rPr>
        <w:t>popular</w:t>
      </w:r>
      <w:r w:rsidR="00C2722B">
        <w:rPr>
          <w:sz w:val="22"/>
          <w:szCs w:val="22"/>
        </w:rPr>
        <w:t xml:space="preserve"> destination for transfer students from adjacent states and such a policy would help strengthen joint admissions, 2+2 programs and related transfer initiatives.</w:t>
      </w:r>
    </w:p>
    <w:p w:rsidR="001F571D" w:rsidRDefault="001F571D" w:rsidP="00492507">
      <w:pPr>
        <w:ind w:left="720"/>
        <w:rPr>
          <w:sz w:val="22"/>
          <w:szCs w:val="22"/>
        </w:rPr>
      </w:pPr>
    </w:p>
    <w:p w:rsidR="00294D06" w:rsidRDefault="00294D06" w:rsidP="00492507">
      <w:pPr>
        <w:ind w:left="720"/>
        <w:rPr>
          <w:sz w:val="22"/>
          <w:szCs w:val="22"/>
        </w:rPr>
      </w:pPr>
      <w:r w:rsidRPr="00294D06">
        <w:rPr>
          <w:sz w:val="22"/>
          <w:szCs w:val="22"/>
        </w:rPr>
        <w:t>Note that this policy does NOT apply to associate degrees that do not contain a significant (at least 30 hours) general education component. </w:t>
      </w:r>
    </w:p>
    <w:p w:rsidR="00294D06" w:rsidRDefault="00294D06" w:rsidP="00492507">
      <w:pPr>
        <w:ind w:left="720"/>
        <w:rPr>
          <w:sz w:val="22"/>
          <w:szCs w:val="22"/>
        </w:rPr>
      </w:pPr>
    </w:p>
    <w:p w:rsidR="001F571D" w:rsidRDefault="001F571D" w:rsidP="00492507">
      <w:pPr>
        <w:ind w:left="720"/>
        <w:rPr>
          <w:sz w:val="22"/>
          <w:szCs w:val="22"/>
        </w:rPr>
      </w:pPr>
      <w:r>
        <w:rPr>
          <w:sz w:val="22"/>
          <w:szCs w:val="22"/>
        </w:rPr>
        <w:t>Other institutions with similar general education transfer policies include the University of Kentucky and benchmark institutions Illinois State University and Appalachian State University.</w:t>
      </w:r>
    </w:p>
    <w:p w:rsidR="009B06D6" w:rsidRDefault="009B06D6" w:rsidP="00492507">
      <w:pPr>
        <w:ind w:left="720"/>
        <w:rPr>
          <w:sz w:val="22"/>
          <w:szCs w:val="22"/>
        </w:rPr>
      </w:pPr>
    </w:p>
    <w:p w:rsidR="00062440" w:rsidRPr="00062440" w:rsidRDefault="00AE2132" w:rsidP="00062440">
      <w:pPr>
        <w:pStyle w:val="ListParagraph"/>
        <w:numPr>
          <w:ilvl w:val="0"/>
          <w:numId w:val="2"/>
        </w:numPr>
        <w:tabs>
          <w:tab w:val="left" w:pos="1440"/>
        </w:tabs>
        <w:ind w:left="1440" w:hanging="720"/>
        <w:rPr>
          <w:b/>
          <w:sz w:val="22"/>
          <w:szCs w:val="22"/>
          <w:u w:val="single"/>
        </w:rPr>
      </w:pPr>
      <w:r w:rsidRPr="004C715B">
        <w:rPr>
          <w:b/>
          <w:sz w:val="22"/>
          <w:szCs w:val="22"/>
        </w:rPr>
        <w:lastRenderedPageBreak/>
        <w:t>Impact of proposed policy on existing academic or non-academic policies:</w:t>
      </w:r>
    </w:p>
    <w:p w:rsidR="001F571D" w:rsidRPr="00062440" w:rsidRDefault="00194C87" w:rsidP="00062440">
      <w:pPr>
        <w:tabs>
          <w:tab w:val="left" w:pos="1440"/>
        </w:tabs>
        <w:ind w:left="72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</w:t>
      </w:r>
      <w:r w:rsidR="00520C08" w:rsidRPr="00062440">
        <w:rPr>
          <w:sz w:val="22"/>
          <w:szCs w:val="22"/>
        </w:rPr>
        <w:t>4.1</w:t>
      </w:r>
      <w:r>
        <w:rPr>
          <w:sz w:val="22"/>
          <w:szCs w:val="22"/>
        </w:rPr>
        <w:tab/>
      </w:r>
      <w:r w:rsidR="00520C08" w:rsidRPr="00062440">
        <w:rPr>
          <w:sz w:val="22"/>
          <w:szCs w:val="22"/>
        </w:rPr>
        <w:tab/>
        <w:t>Impact on policies</w:t>
      </w:r>
      <w:r w:rsidR="0066047A" w:rsidRPr="00062440">
        <w:rPr>
          <w:sz w:val="22"/>
          <w:szCs w:val="22"/>
        </w:rPr>
        <w:t>:</w:t>
      </w:r>
    </w:p>
    <w:p w:rsidR="001F571D" w:rsidRPr="009B06D6" w:rsidRDefault="00C441F5" w:rsidP="00627D4E">
      <w:pPr>
        <w:ind w:left="2016"/>
        <w:rPr>
          <w:sz w:val="22"/>
          <w:szCs w:val="22"/>
        </w:rPr>
      </w:pPr>
      <w:r>
        <w:rPr>
          <w:sz w:val="22"/>
          <w:szCs w:val="22"/>
        </w:rPr>
        <w:t>The proposed policy extends the existing Kentucky General Education Transfer Policy to regionally accredited institutions from other states.</w:t>
      </w:r>
      <w:r w:rsidR="00392E31">
        <w:rPr>
          <w:sz w:val="22"/>
          <w:szCs w:val="22"/>
        </w:rPr>
        <w:t xml:space="preserve"> </w:t>
      </w:r>
      <w:r w:rsidR="00392E31" w:rsidRPr="009B06D6">
        <w:rPr>
          <w:sz w:val="22"/>
          <w:szCs w:val="22"/>
        </w:rPr>
        <w:t>It does not affect other policies.</w:t>
      </w:r>
    </w:p>
    <w:p w:rsidR="00C441F5" w:rsidRDefault="00C441F5" w:rsidP="00C441F5">
      <w:pPr>
        <w:rPr>
          <w:sz w:val="22"/>
          <w:szCs w:val="22"/>
        </w:rPr>
      </w:pPr>
    </w:p>
    <w:p w:rsidR="00C2722B" w:rsidRDefault="00520C08" w:rsidP="000B14F8">
      <w:pPr>
        <w:ind w:left="1152" w:firstLine="288"/>
        <w:rPr>
          <w:sz w:val="22"/>
          <w:szCs w:val="22"/>
        </w:rPr>
      </w:pPr>
      <w:r w:rsidRPr="001F571D">
        <w:rPr>
          <w:sz w:val="22"/>
          <w:szCs w:val="22"/>
        </w:rPr>
        <w:t>4.2</w:t>
      </w:r>
      <w:r w:rsidRPr="001F571D">
        <w:rPr>
          <w:sz w:val="22"/>
          <w:szCs w:val="22"/>
        </w:rPr>
        <w:tab/>
      </w:r>
      <w:r w:rsidR="00C441F5">
        <w:rPr>
          <w:sz w:val="22"/>
          <w:szCs w:val="22"/>
        </w:rPr>
        <w:tab/>
      </w:r>
      <w:r w:rsidRPr="001F571D">
        <w:rPr>
          <w:sz w:val="22"/>
          <w:szCs w:val="22"/>
        </w:rPr>
        <w:t>Impact on populations that may be affected</w:t>
      </w:r>
      <w:r w:rsidR="0066047A" w:rsidRPr="001F571D">
        <w:rPr>
          <w:sz w:val="22"/>
          <w:szCs w:val="22"/>
        </w:rPr>
        <w:t>:</w:t>
      </w:r>
      <w:r w:rsidR="0066047A" w:rsidRPr="001F571D">
        <w:rPr>
          <w:sz w:val="22"/>
          <w:szCs w:val="22"/>
        </w:rPr>
        <w:br/>
      </w:r>
      <w:r w:rsidR="00627D4E">
        <w:rPr>
          <w:sz w:val="22"/>
          <w:szCs w:val="22"/>
        </w:rPr>
        <w:t xml:space="preserve">     </w:t>
      </w:r>
      <w:r w:rsidR="00627D4E">
        <w:rPr>
          <w:sz w:val="22"/>
          <w:szCs w:val="22"/>
        </w:rPr>
        <w:tab/>
      </w:r>
      <w:r w:rsidR="00627D4E">
        <w:rPr>
          <w:sz w:val="22"/>
          <w:szCs w:val="22"/>
        </w:rPr>
        <w:tab/>
      </w:r>
      <w:r w:rsidR="00627D4E">
        <w:rPr>
          <w:sz w:val="22"/>
          <w:szCs w:val="22"/>
        </w:rPr>
        <w:tab/>
        <w:t>This policy i</w:t>
      </w:r>
      <w:r w:rsidR="007A4596">
        <w:rPr>
          <w:sz w:val="22"/>
          <w:szCs w:val="22"/>
        </w:rPr>
        <w:t>mpacts only th</w:t>
      </w:r>
      <w:r w:rsidR="00627D4E">
        <w:rPr>
          <w:sz w:val="22"/>
          <w:szCs w:val="22"/>
        </w:rPr>
        <w:t xml:space="preserve">ose </w:t>
      </w:r>
      <w:r w:rsidR="00C2722B">
        <w:rPr>
          <w:sz w:val="22"/>
          <w:szCs w:val="22"/>
        </w:rPr>
        <w:t xml:space="preserve">transfer </w:t>
      </w:r>
      <w:r w:rsidR="00627D4E">
        <w:rPr>
          <w:sz w:val="22"/>
          <w:szCs w:val="22"/>
        </w:rPr>
        <w:t xml:space="preserve">students </w:t>
      </w:r>
      <w:r w:rsidR="00C2722B">
        <w:rPr>
          <w:sz w:val="22"/>
          <w:szCs w:val="22"/>
        </w:rPr>
        <w:t xml:space="preserve">who complete an </w:t>
      </w:r>
      <w:r w:rsidR="00392E31">
        <w:rPr>
          <w:sz w:val="22"/>
          <w:szCs w:val="22"/>
        </w:rPr>
        <w:t>associate</w:t>
      </w:r>
      <w:r w:rsidR="00C2722B">
        <w:rPr>
          <w:sz w:val="22"/>
          <w:szCs w:val="22"/>
        </w:rPr>
        <w:t>s</w:t>
      </w:r>
      <w:r w:rsidR="00627D4E">
        <w:rPr>
          <w:sz w:val="22"/>
          <w:szCs w:val="22"/>
        </w:rPr>
        <w:t xml:space="preserve"> </w:t>
      </w:r>
      <w:r w:rsidR="007A4596">
        <w:rPr>
          <w:sz w:val="22"/>
          <w:szCs w:val="22"/>
        </w:rPr>
        <w:t>degree</w:t>
      </w:r>
      <w:r w:rsidR="00392E31">
        <w:rPr>
          <w:sz w:val="22"/>
          <w:szCs w:val="22"/>
        </w:rPr>
        <w:t xml:space="preserve"> </w:t>
      </w:r>
    </w:p>
    <w:p w:rsidR="00C2722B" w:rsidRDefault="00392E31" w:rsidP="000B14F8">
      <w:pPr>
        <w:ind w:left="1728" w:firstLine="288"/>
        <w:rPr>
          <w:sz w:val="22"/>
          <w:szCs w:val="22"/>
        </w:rPr>
      </w:pPr>
      <w:r w:rsidRPr="009B06D6">
        <w:rPr>
          <w:sz w:val="22"/>
          <w:szCs w:val="22"/>
        </w:rPr>
        <w:t>outside Kentucky</w:t>
      </w:r>
      <w:r w:rsidR="007A4596" w:rsidRPr="009B06D6">
        <w:rPr>
          <w:sz w:val="22"/>
          <w:szCs w:val="22"/>
        </w:rPr>
        <w:t xml:space="preserve">.  </w:t>
      </w:r>
      <w:r w:rsidR="00C61615">
        <w:rPr>
          <w:sz w:val="22"/>
          <w:szCs w:val="22"/>
        </w:rPr>
        <w:t xml:space="preserve">From </w:t>
      </w:r>
      <w:r w:rsidR="00C61615" w:rsidRPr="00C61615">
        <w:rPr>
          <w:sz w:val="22"/>
          <w:szCs w:val="22"/>
        </w:rPr>
        <w:t xml:space="preserve">2009 through </w:t>
      </w:r>
      <w:r w:rsidR="00C61615">
        <w:rPr>
          <w:sz w:val="22"/>
          <w:szCs w:val="22"/>
        </w:rPr>
        <w:t>the present, WKU has</w:t>
      </w:r>
      <w:r w:rsidR="00C61615" w:rsidRPr="00C61615">
        <w:rPr>
          <w:sz w:val="22"/>
          <w:szCs w:val="22"/>
        </w:rPr>
        <w:t xml:space="preserve"> average</w:t>
      </w:r>
      <w:r w:rsidR="00C61615">
        <w:rPr>
          <w:sz w:val="22"/>
          <w:szCs w:val="22"/>
        </w:rPr>
        <w:t xml:space="preserve">d </w:t>
      </w:r>
      <w:r w:rsidR="00C61615" w:rsidRPr="00C61615">
        <w:rPr>
          <w:sz w:val="22"/>
          <w:szCs w:val="22"/>
        </w:rPr>
        <w:t xml:space="preserve">30 transfer </w:t>
      </w:r>
    </w:p>
    <w:p w:rsidR="00C61615" w:rsidRPr="00C61615" w:rsidRDefault="00C61615" w:rsidP="00C2722B">
      <w:pPr>
        <w:ind w:left="2016"/>
        <w:rPr>
          <w:sz w:val="22"/>
          <w:szCs w:val="22"/>
        </w:rPr>
      </w:pPr>
      <w:r w:rsidRPr="00C61615">
        <w:rPr>
          <w:sz w:val="22"/>
          <w:szCs w:val="22"/>
        </w:rPr>
        <w:t xml:space="preserve">students </w:t>
      </w:r>
      <w:r>
        <w:rPr>
          <w:sz w:val="22"/>
          <w:szCs w:val="22"/>
        </w:rPr>
        <w:t>in the fall and 12 in the spring from out-of-state</w:t>
      </w:r>
      <w:r w:rsidRPr="00C61615">
        <w:rPr>
          <w:sz w:val="22"/>
          <w:szCs w:val="22"/>
        </w:rPr>
        <w:t xml:space="preserve"> (but within US) </w:t>
      </w:r>
      <w:r>
        <w:rPr>
          <w:sz w:val="22"/>
          <w:szCs w:val="22"/>
        </w:rPr>
        <w:t xml:space="preserve">schools </w:t>
      </w:r>
      <w:r w:rsidR="00392E31">
        <w:rPr>
          <w:sz w:val="22"/>
          <w:szCs w:val="22"/>
        </w:rPr>
        <w:t>with completed associate</w:t>
      </w:r>
      <w:r w:rsidRPr="00C61615">
        <w:rPr>
          <w:sz w:val="22"/>
          <w:szCs w:val="22"/>
        </w:rPr>
        <w:t xml:space="preserve"> degrees</w:t>
      </w:r>
      <w:r>
        <w:rPr>
          <w:sz w:val="22"/>
          <w:szCs w:val="22"/>
        </w:rPr>
        <w:t xml:space="preserve"> for a total of 42 students per year.  </w:t>
      </w:r>
    </w:p>
    <w:p w:rsidR="00C61615" w:rsidRPr="007A4596" w:rsidRDefault="00C61615" w:rsidP="001F571D">
      <w:pPr>
        <w:tabs>
          <w:tab w:val="left" w:pos="720"/>
        </w:tabs>
        <w:ind w:left="720"/>
        <w:rPr>
          <w:sz w:val="22"/>
          <w:szCs w:val="22"/>
        </w:rPr>
      </w:pPr>
    </w:p>
    <w:p w:rsidR="00AE2132" w:rsidRPr="004C715B" w:rsidRDefault="00AE2132" w:rsidP="0066047A">
      <w:pPr>
        <w:pStyle w:val="ListParagraph"/>
        <w:numPr>
          <w:ilvl w:val="0"/>
          <w:numId w:val="2"/>
        </w:numPr>
        <w:spacing w:line="480" w:lineRule="auto"/>
        <w:ind w:hanging="720"/>
        <w:rPr>
          <w:b/>
          <w:sz w:val="22"/>
          <w:szCs w:val="22"/>
          <w:u w:val="single"/>
        </w:rPr>
      </w:pPr>
      <w:r w:rsidRPr="004C715B">
        <w:rPr>
          <w:b/>
          <w:sz w:val="22"/>
          <w:szCs w:val="22"/>
        </w:rPr>
        <w:t>Proposed term for implementation:</w:t>
      </w:r>
      <w:r w:rsidR="001B32E1">
        <w:rPr>
          <w:b/>
          <w:sz w:val="22"/>
          <w:szCs w:val="22"/>
        </w:rPr>
        <w:tab/>
      </w:r>
      <w:r w:rsidR="001B32E1">
        <w:rPr>
          <w:sz w:val="22"/>
          <w:szCs w:val="22"/>
        </w:rPr>
        <w:t>Fall 2016</w:t>
      </w:r>
    </w:p>
    <w:p w:rsidR="00AE2132" w:rsidRPr="004C715B" w:rsidRDefault="00AE2132" w:rsidP="0066047A">
      <w:pPr>
        <w:pStyle w:val="ListParagraph"/>
        <w:numPr>
          <w:ilvl w:val="0"/>
          <w:numId w:val="2"/>
        </w:numPr>
        <w:spacing w:line="480" w:lineRule="auto"/>
        <w:ind w:hanging="720"/>
        <w:rPr>
          <w:b/>
          <w:sz w:val="22"/>
          <w:szCs w:val="22"/>
          <w:u w:val="single"/>
        </w:rPr>
      </w:pPr>
      <w:r w:rsidRPr="004C715B">
        <w:rPr>
          <w:b/>
          <w:sz w:val="22"/>
          <w:szCs w:val="22"/>
        </w:rPr>
        <w:t>Dates of prior committee approvals:</w:t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0"/>
        <w:gridCol w:w="3080"/>
      </w:tblGrid>
      <w:tr w:rsidR="00F00A9F" w:rsidRPr="001A4197" w:rsidTr="00F00A9F">
        <w:trPr>
          <w:gridAfter w:val="1"/>
          <w:wAfter w:w="3080" w:type="dxa"/>
          <w:trHeight w:val="432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9F" w:rsidRPr="001A4197" w:rsidRDefault="00F00A9F" w:rsidP="005F46E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3C4E" w:rsidRPr="001A4197" w:rsidTr="00F00A9F">
        <w:trPr>
          <w:trHeight w:val="432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C4E" w:rsidRPr="001A4197" w:rsidRDefault="00FD3C4E" w:rsidP="005F46E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3C4E" w:rsidRPr="001A4197" w:rsidRDefault="00FD3C4E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FD3C4E" w:rsidRPr="001A4197" w:rsidTr="00F00A9F">
        <w:trPr>
          <w:trHeight w:val="432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C4E" w:rsidRPr="001A4197" w:rsidRDefault="00FD3C4E" w:rsidP="005F46E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UCC Academic Policy Subcommittee (if applicable)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3C4E" w:rsidRPr="001A4197" w:rsidRDefault="00FD3C4E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FD3C4E" w:rsidRPr="001A4197" w:rsidTr="00F00A9F">
        <w:trPr>
          <w:trHeight w:val="432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C4E" w:rsidRPr="001A4197" w:rsidRDefault="00FD3C4E" w:rsidP="00C311B0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3C4E" w:rsidRPr="001A4197" w:rsidRDefault="00FD3C4E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FD3C4E" w:rsidRPr="001A4197" w:rsidTr="00F00A9F">
        <w:trPr>
          <w:trHeight w:val="432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C4E" w:rsidRPr="001A4197" w:rsidRDefault="00FD3C4E" w:rsidP="005F46E8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>University Senate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3C4E" w:rsidRPr="001A4197" w:rsidRDefault="00FD3C4E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</w:tbl>
    <w:p w:rsidR="004C715B" w:rsidRDefault="004C715B" w:rsidP="004C715B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p w:rsidR="00347262" w:rsidRDefault="00347262" w:rsidP="004C715B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p w:rsidR="00347262" w:rsidRDefault="00347262" w:rsidP="004C715B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p w:rsidR="00347262" w:rsidRDefault="00347262" w:rsidP="004C715B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p w:rsidR="00347262" w:rsidRDefault="00347262" w:rsidP="004C715B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p w:rsidR="00347262" w:rsidRDefault="00347262" w:rsidP="004C715B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p w:rsidR="00347262" w:rsidRDefault="00347262" w:rsidP="004C715B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sectPr w:rsidR="00347262" w:rsidSect="00674CF3"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F5" w:rsidRDefault="001772F5" w:rsidP="00AE2132">
      <w:r>
        <w:separator/>
      </w:r>
    </w:p>
  </w:endnote>
  <w:endnote w:type="continuationSeparator" w:id="0">
    <w:p w:rsidR="001772F5" w:rsidRDefault="001772F5" w:rsidP="00A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32" w:rsidRPr="004C715B" w:rsidRDefault="00AE2132" w:rsidP="006936C8">
    <w:pPr>
      <w:pStyle w:val="Footer"/>
      <w:rPr>
        <w:sz w:val="16"/>
        <w:szCs w:val="16"/>
      </w:rPr>
    </w:pPr>
  </w:p>
  <w:p w:rsidR="00AE2132" w:rsidRDefault="00AE2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F5" w:rsidRDefault="001772F5" w:rsidP="00AE2132">
      <w:r>
        <w:separator/>
      </w:r>
    </w:p>
  </w:footnote>
  <w:footnote w:type="continuationSeparator" w:id="0">
    <w:p w:rsidR="001772F5" w:rsidRDefault="001772F5" w:rsidP="00AE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4CF4"/>
    <w:multiLevelType w:val="hybridMultilevel"/>
    <w:tmpl w:val="44388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BA01A4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9D1"/>
    <w:multiLevelType w:val="hybridMultilevel"/>
    <w:tmpl w:val="506E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E"/>
    <w:rsid w:val="000278EF"/>
    <w:rsid w:val="00062440"/>
    <w:rsid w:val="000A6065"/>
    <w:rsid w:val="000B14F8"/>
    <w:rsid w:val="001772F5"/>
    <w:rsid w:val="00183231"/>
    <w:rsid w:val="00194C87"/>
    <w:rsid w:val="001B32E1"/>
    <w:rsid w:val="001E1EAB"/>
    <w:rsid w:val="001E3639"/>
    <w:rsid w:val="001F571D"/>
    <w:rsid w:val="00264830"/>
    <w:rsid w:val="002731BE"/>
    <w:rsid w:val="00273207"/>
    <w:rsid w:val="00294D06"/>
    <w:rsid w:val="002B2741"/>
    <w:rsid w:val="002E5A5E"/>
    <w:rsid w:val="00336F50"/>
    <w:rsid w:val="00347262"/>
    <w:rsid w:val="00392E31"/>
    <w:rsid w:val="003B4334"/>
    <w:rsid w:val="003C0615"/>
    <w:rsid w:val="003E3E84"/>
    <w:rsid w:val="00414151"/>
    <w:rsid w:val="0042626D"/>
    <w:rsid w:val="00492507"/>
    <w:rsid w:val="00495750"/>
    <w:rsid w:val="004C715B"/>
    <w:rsid w:val="004E4650"/>
    <w:rsid w:val="004F081D"/>
    <w:rsid w:val="005123AA"/>
    <w:rsid w:val="00520C08"/>
    <w:rsid w:val="005351F3"/>
    <w:rsid w:val="00567A64"/>
    <w:rsid w:val="0059620B"/>
    <w:rsid w:val="005B1ED2"/>
    <w:rsid w:val="005C4584"/>
    <w:rsid w:val="00622A4D"/>
    <w:rsid w:val="00627D4E"/>
    <w:rsid w:val="00633545"/>
    <w:rsid w:val="00645AFC"/>
    <w:rsid w:val="0066047A"/>
    <w:rsid w:val="00674CF3"/>
    <w:rsid w:val="00684E4F"/>
    <w:rsid w:val="006936C8"/>
    <w:rsid w:val="006A70C5"/>
    <w:rsid w:val="007323D7"/>
    <w:rsid w:val="00764212"/>
    <w:rsid w:val="007A4596"/>
    <w:rsid w:val="007A4E68"/>
    <w:rsid w:val="007A62F7"/>
    <w:rsid w:val="007F7156"/>
    <w:rsid w:val="00836EAB"/>
    <w:rsid w:val="00871CEF"/>
    <w:rsid w:val="008B6541"/>
    <w:rsid w:val="00904448"/>
    <w:rsid w:val="0092560D"/>
    <w:rsid w:val="00960E42"/>
    <w:rsid w:val="00964ABC"/>
    <w:rsid w:val="00982C0B"/>
    <w:rsid w:val="009B06D6"/>
    <w:rsid w:val="009D5F9D"/>
    <w:rsid w:val="009D6B96"/>
    <w:rsid w:val="009D6EB7"/>
    <w:rsid w:val="00A11E7F"/>
    <w:rsid w:val="00A43498"/>
    <w:rsid w:val="00A45601"/>
    <w:rsid w:val="00A47982"/>
    <w:rsid w:val="00A47E1D"/>
    <w:rsid w:val="00A7139A"/>
    <w:rsid w:val="00A74573"/>
    <w:rsid w:val="00AA6371"/>
    <w:rsid w:val="00AB2890"/>
    <w:rsid w:val="00AE2132"/>
    <w:rsid w:val="00B2566E"/>
    <w:rsid w:val="00B5782C"/>
    <w:rsid w:val="00BC594D"/>
    <w:rsid w:val="00BC69C4"/>
    <w:rsid w:val="00C01FED"/>
    <w:rsid w:val="00C2722B"/>
    <w:rsid w:val="00C311B0"/>
    <w:rsid w:val="00C418B0"/>
    <w:rsid w:val="00C441F5"/>
    <w:rsid w:val="00C61615"/>
    <w:rsid w:val="00D378EC"/>
    <w:rsid w:val="00D63808"/>
    <w:rsid w:val="00D76DEF"/>
    <w:rsid w:val="00D83AB7"/>
    <w:rsid w:val="00E44E3D"/>
    <w:rsid w:val="00E4726E"/>
    <w:rsid w:val="00E6764B"/>
    <w:rsid w:val="00EA1426"/>
    <w:rsid w:val="00EF068F"/>
    <w:rsid w:val="00F00A9F"/>
    <w:rsid w:val="00F06957"/>
    <w:rsid w:val="00F171A9"/>
    <w:rsid w:val="00FB6752"/>
    <w:rsid w:val="00FD3C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5CE33F-DDAA-40C0-A88A-5FDE9316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4C7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72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E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E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ffany.robinson@wk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27FA-6FBA-43CE-A270-C64DB8DC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NCC</dc:creator>
  <cp:lastModifiedBy>Jones, Shirley W.</cp:lastModifiedBy>
  <cp:revision>2</cp:revision>
  <cp:lastPrinted>2015-04-16T15:17:00Z</cp:lastPrinted>
  <dcterms:created xsi:type="dcterms:W3CDTF">2015-09-13T22:37:00Z</dcterms:created>
  <dcterms:modified xsi:type="dcterms:W3CDTF">2015-09-13T22:37:00Z</dcterms:modified>
</cp:coreProperties>
</file>