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640" w:rsidRPr="00E92617" w:rsidRDefault="00B81640" w:rsidP="00B81640">
      <w:pPr>
        <w:autoSpaceDE/>
        <w:autoSpaceDN/>
        <w:spacing w:before="100" w:beforeAutospacing="1" w:after="100" w:afterAutospacing="1" w:line="280" w:lineRule="exact"/>
        <w:ind w:left="1800" w:firstLine="360"/>
        <w:contextualSpacing/>
        <w:rPr>
          <w:rFonts w:ascii="Times New Roman" w:hAnsi="Times New Roman" w:cs="Times New Roman"/>
          <w:sz w:val="22"/>
          <w:szCs w:val="22"/>
        </w:rPr>
      </w:pPr>
      <w:r w:rsidRPr="00E92617">
        <w:rPr>
          <w:rFonts w:ascii="Times New Roman" w:hAnsi="Times New Roman" w:cs="Times New Roman"/>
          <w:b/>
        </w:rPr>
        <w:t>College of Education and Behavioral Sciences</w:t>
      </w:r>
    </w:p>
    <w:p w:rsidR="00B81640" w:rsidRPr="00E92617" w:rsidRDefault="00B81640" w:rsidP="00B81640">
      <w:pPr>
        <w:autoSpaceDE/>
        <w:autoSpaceDN/>
        <w:jc w:val="center"/>
        <w:rPr>
          <w:rFonts w:ascii="Times New Roman" w:hAnsi="Times New Roman" w:cs="Times New Roman"/>
          <w:b/>
        </w:rPr>
      </w:pPr>
      <w:r w:rsidRPr="00E92617">
        <w:rPr>
          <w:rFonts w:ascii="Times New Roman" w:hAnsi="Times New Roman" w:cs="Times New Roman"/>
          <w:b/>
        </w:rPr>
        <w:t>School of Teacher Education</w:t>
      </w:r>
    </w:p>
    <w:p w:rsidR="00B81640" w:rsidRPr="00E92617" w:rsidRDefault="00B81640" w:rsidP="00B81640">
      <w:pPr>
        <w:autoSpaceDE/>
        <w:autoSpaceDN/>
        <w:jc w:val="center"/>
        <w:rPr>
          <w:rFonts w:ascii="Times New Roman" w:hAnsi="Times New Roman" w:cs="Times New Roman"/>
          <w:b/>
        </w:rPr>
      </w:pPr>
      <w:r w:rsidRPr="00E92617">
        <w:rPr>
          <w:rFonts w:ascii="Times New Roman" w:hAnsi="Times New Roman" w:cs="Times New Roman"/>
          <w:b/>
        </w:rPr>
        <w:t>Proposal to Delete a Course</w:t>
      </w:r>
    </w:p>
    <w:p w:rsidR="00B81640" w:rsidRPr="00E92617" w:rsidRDefault="00B81640" w:rsidP="00B81640">
      <w:pPr>
        <w:autoSpaceDE/>
        <w:autoSpaceDN/>
        <w:jc w:val="center"/>
        <w:rPr>
          <w:rFonts w:ascii="Times New Roman" w:hAnsi="Times New Roman" w:cs="Times New Roman"/>
          <w:b/>
        </w:rPr>
      </w:pPr>
      <w:r w:rsidRPr="00E92617">
        <w:rPr>
          <w:rFonts w:ascii="Times New Roman" w:hAnsi="Times New Roman" w:cs="Times New Roman"/>
          <w:b/>
        </w:rPr>
        <w:t>(Consent Item)</w:t>
      </w:r>
    </w:p>
    <w:p w:rsidR="00B81640" w:rsidRPr="00E92617" w:rsidRDefault="00B81640" w:rsidP="00B81640">
      <w:pPr>
        <w:autoSpaceDE/>
        <w:autoSpaceDN/>
        <w:rPr>
          <w:rFonts w:ascii="Times New Roman" w:hAnsi="Times New Roman" w:cs="Times New Roman"/>
          <w:b/>
        </w:rPr>
      </w:pPr>
    </w:p>
    <w:p w:rsidR="00B81640" w:rsidRPr="00E92617" w:rsidRDefault="00B81640" w:rsidP="00B81640">
      <w:pPr>
        <w:autoSpaceDE/>
        <w:autoSpaceDN/>
        <w:spacing w:line="280" w:lineRule="exact"/>
        <w:rPr>
          <w:rFonts w:ascii="Times New Roman" w:hAnsi="Times New Roman" w:cs="Times New Roman"/>
          <w:sz w:val="22"/>
          <w:szCs w:val="22"/>
        </w:rPr>
      </w:pPr>
      <w:r w:rsidRPr="00E92617">
        <w:rPr>
          <w:rFonts w:ascii="Times New Roman" w:hAnsi="Times New Roman" w:cs="Times New Roman"/>
          <w:sz w:val="22"/>
          <w:szCs w:val="22"/>
        </w:rPr>
        <w:t xml:space="preserve">Contact Person:  Martha M. Day, </w:t>
      </w:r>
      <w:hyperlink r:id="rId5" w:history="1">
        <w:r w:rsidRPr="00E92617">
          <w:rPr>
            <w:rFonts w:ascii="Times New Roman" w:hAnsi="Times New Roman" w:cs="Times New Roman"/>
            <w:color w:val="0000FF"/>
            <w:sz w:val="22"/>
            <w:szCs w:val="22"/>
            <w:u w:val="single"/>
          </w:rPr>
          <w:t>Martha.day@wku.edu</w:t>
        </w:r>
      </w:hyperlink>
      <w:r w:rsidRPr="00E92617">
        <w:rPr>
          <w:rFonts w:ascii="Times New Roman" w:hAnsi="Times New Roman" w:cs="Times New Roman"/>
          <w:sz w:val="22"/>
          <w:szCs w:val="22"/>
        </w:rPr>
        <w:t>, 270-745-4411</w:t>
      </w:r>
    </w:p>
    <w:p w:rsidR="00B81640" w:rsidRPr="00E92617" w:rsidRDefault="00B81640" w:rsidP="00B81640">
      <w:pPr>
        <w:autoSpaceDE/>
        <w:autoSpaceDN/>
        <w:spacing w:line="280" w:lineRule="exact"/>
        <w:rPr>
          <w:rFonts w:ascii="Times New Roman" w:hAnsi="Times New Roman" w:cs="Times New Roman"/>
          <w:sz w:val="22"/>
          <w:szCs w:val="22"/>
        </w:rPr>
      </w:pPr>
    </w:p>
    <w:p w:rsidR="00B81640" w:rsidRPr="00E92617" w:rsidRDefault="00B81640" w:rsidP="00B81640">
      <w:pPr>
        <w:numPr>
          <w:ilvl w:val="0"/>
          <w:numId w:val="2"/>
        </w:numPr>
        <w:autoSpaceDE/>
        <w:autoSpaceDN/>
        <w:spacing w:line="280" w:lineRule="exact"/>
        <w:rPr>
          <w:rFonts w:ascii="Times New Roman" w:hAnsi="Times New Roman" w:cs="Times New Roman"/>
          <w:b/>
          <w:sz w:val="22"/>
          <w:szCs w:val="22"/>
        </w:rPr>
      </w:pPr>
      <w:r w:rsidRPr="00E92617">
        <w:rPr>
          <w:rFonts w:ascii="Times New Roman" w:hAnsi="Times New Roman" w:cs="Times New Roman"/>
          <w:b/>
          <w:sz w:val="22"/>
          <w:szCs w:val="22"/>
        </w:rPr>
        <w:t>Identification of course:</w:t>
      </w:r>
    </w:p>
    <w:p w:rsidR="00B81640" w:rsidRPr="00E92617" w:rsidRDefault="00B81640" w:rsidP="00B81640">
      <w:pPr>
        <w:numPr>
          <w:ilvl w:val="1"/>
          <w:numId w:val="1"/>
        </w:numPr>
        <w:autoSpaceDE/>
        <w:autoSpaceDN/>
        <w:spacing w:line="280" w:lineRule="exact"/>
        <w:rPr>
          <w:rFonts w:ascii="Times New Roman" w:hAnsi="Times New Roman" w:cs="Times New Roman"/>
          <w:sz w:val="22"/>
          <w:szCs w:val="22"/>
        </w:rPr>
      </w:pPr>
      <w:r w:rsidRPr="00E92617">
        <w:rPr>
          <w:rFonts w:ascii="Times New Roman" w:hAnsi="Times New Roman" w:cs="Times New Roman"/>
          <w:sz w:val="22"/>
          <w:szCs w:val="22"/>
        </w:rPr>
        <w:t>Current course prefix (subject area) and number:  SMED 210</w:t>
      </w:r>
    </w:p>
    <w:p w:rsidR="00B81640" w:rsidRDefault="00B81640" w:rsidP="00B81640">
      <w:pPr>
        <w:numPr>
          <w:ilvl w:val="1"/>
          <w:numId w:val="1"/>
        </w:numPr>
        <w:autoSpaceDE/>
        <w:autoSpaceDN/>
        <w:spacing w:line="280" w:lineRule="exact"/>
        <w:rPr>
          <w:rFonts w:ascii="Times New Roman" w:hAnsi="Times New Roman" w:cs="Times New Roman"/>
          <w:sz w:val="22"/>
          <w:szCs w:val="22"/>
        </w:rPr>
      </w:pPr>
      <w:r w:rsidRPr="00E92617">
        <w:rPr>
          <w:rFonts w:ascii="Times New Roman" w:hAnsi="Times New Roman" w:cs="Times New Roman"/>
          <w:sz w:val="22"/>
          <w:szCs w:val="22"/>
        </w:rPr>
        <w:t>Course title: Knowing and Learning in Mathematics and Science</w:t>
      </w:r>
    </w:p>
    <w:p w:rsidR="00B81640" w:rsidRDefault="00B81640" w:rsidP="00B81640">
      <w:pPr>
        <w:autoSpaceDE/>
        <w:autoSpaceDN/>
        <w:spacing w:line="280" w:lineRule="exact"/>
        <w:ind w:left="1440"/>
        <w:rPr>
          <w:rFonts w:ascii="Times New Roman" w:hAnsi="Times New Roman" w:cs="Times New Roman"/>
          <w:sz w:val="22"/>
          <w:szCs w:val="22"/>
        </w:rPr>
      </w:pPr>
    </w:p>
    <w:p w:rsidR="00B81640" w:rsidRPr="00E92617" w:rsidRDefault="00B81640" w:rsidP="00B81640">
      <w:pPr>
        <w:numPr>
          <w:ilvl w:val="0"/>
          <w:numId w:val="2"/>
        </w:numPr>
        <w:autoSpaceDE/>
        <w:autoSpaceDN/>
        <w:spacing w:line="280" w:lineRule="exact"/>
        <w:rPr>
          <w:rFonts w:ascii="Times New Roman" w:hAnsi="Times New Roman" w:cs="Times New Roman"/>
          <w:sz w:val="22"/>
          <w:szCs w:val="22"/>
        </w:rPr>
      </w:pPr>
      <w:r w:rsidRPr="00E92617">
        <w:rPr>
          <w:rFonts w:ascii="Times New Roman PSMT" w:hAnsi="Times New Roman PSMT" w:cs="Times New Roman"/>
          <w:b/>
          <w:color w:val="000000"/>
          <w:sz w:val="22"/>
          <w:szCs w:val="22"/>
        </w:rPr>
        <w:t xml:space="preserve">Rationale for the course deletion:  </w:t>
      </w:r>
      <w:r w:rsidRPr="00E92617">
        <w:rPr>
          <w:rFonts w:ascii="Times New Roman" w:hAnsi="Times New Roman" w:cs="Times New Roman"/>
          <w:color w:val="000000"/>
        </w:rPr>
        <w:t xml:space="preserve">This course is part of </w:t>
      </w:r>
      <w:proofErr w:type="spellStart"/>
      <w:r w:rsidRPr="00E92617">
        <w:rPr>
          <w:rFonts w:ascii="Times New Roman" w:hAnsi="Times New Roman" w:cs="Times New Roman"/>
          <w:color w:val="000000"/>
        </w:rPr>
        <w:t>SKyTeach</w:t>
      </w:r>
      <w:proofErr w:type="spellEnd"/>
      <w:r w:rsidRPr="00E92617">
        <w:rPr>
          <w:rFonts w:ascii="Times New Roman" w:hAnsi="Times New Roman" w:cs="Times New Roman"/>
          <w:color w:val="000000"/>
        </w:rPr>
        <w:t xml:space="preserve">, a National Math and Science Initiative (NMSI) funded program to replicate the University of Texas at Austin’s </w:t>
      </w:r>
      <w:proofErr w:type="spellStart"/>
      <w:r w:rsidRPr="00E92617">
        <w:rPr>
          <w:rFonts w:ascii="Times New Roman" w:hAnsi="Times New Roman" w:cs="Times New Roman"/>
          <w:color w:val="000000"/>
        </w:rPr>
        <w:t>UTeach</w:t>
      </w:r>
      <w:proofErr w:type="spellEnd"/>
      <w:r w:rsidRPr="00E92617">
        <w:rPr>
          <w:rFonts w:ascii="Times New Roman" w:hAnsi="Times New Roman" w:cs="Times New Roman"/>
          <w:color w:val="000000"/>
        </w:rPr>
        <w:t xml:space="preserve"> curriculum for preparation of math and science teachers. Adopting this sequence meets NMSI’s requirement for replication of </w:t>
      </w:r>
      <w:proofErr w:type="spellStart"/>
      <w:r w:rsidRPr="00E92617">
        <w:rPr>
          <w:rFonts w:ascii="Times New Roman" w:hAnsi="Times New Roman" w:cs="Times New Roman"/>
          <w:color w:val="000000"/>
        </w:rPr>
        <w:t>UTeach</w:t>
      </w:r>
      <w:proofErr w:type="spellEnd"/>
      <w:r w:rsidRPr="00E92617">
        <w:rPr>
          <w:rFonts w:ascii="Times New Roman" w:hAnsi="Times New Roman" w:cs="Times New Roman"/>
          <w:color w:val="000000"/>
        </w:rPr>
        <w:t xml:space="preserve"> at WKU. This course replaces the usual education psychology course. It will be an introduction to the theories for knowing and learning in math and science, drawing on insights from cognition and learning sciences.  This course, as listed as a 200 level course does not meet the needs of our regional campus students due to non-compete agreements with KCTC campuses on the Elizabethtown and Owensboro sites.  A new course proposal, SMED 310, Knowing and Learning in Mathematics and Science is being sent forward at this time.  This course will replace SMED 210.</w:t>
      </w:r>
    </w:p>
    <w:p w:rsidR="00B81640" w:rsidRPr="00E92617" w:rsidRDefault="00B81640" w:rsidP="00B81640">
      <w:pPr>
        <w:autoSpaceDE/>
        <w:autoSpaceDN/>
        <w:spacing w:line="280" w:lineRule="exact"/>
        <w:rPr>
          <w:rFonts w:ascii="Times New Roman" w:hAnsi="Times New Roman" w:cs="Times New Roman"/>
          <w:b/>
          <w:sz w:val="22"/>
          <w:szCs w:val="22"/>
        </w:rPr>
      </w:pPr>
    </w:p>
    <w:p w:rsidR="00B81640" w:rsidRPr="00E92617" w:rsidRDefault="00B81640" w:rsidP="00B81640">
      <w:pPr>
        <w:autoSpaceDE/>
        <w:autoSpaceDN/>
        <w:spacing w:line="280" w:lineRule="exact"/>
        <w:rPr>
          <w:rFonts w:ascii="Times New Roman" w:hAnsi="Times New Roman" w:cs="Times New Roman"/>
          <w:b/>
          <w:sz w:val="22"/>
          <w:szCs w:val="22"/>
        </w:rPr>
      </w:pPr>
      <w:r w:rsidRPr="00E92617">
        <w:rPr>
          <w:rFonts w:ascii="Times New Roman" w:hAnsi="Times New Roman" w:cs="Times New Roman"/>
          <w:b/>
          <w:sz w:val="22"/>
          <w:szCs w:val="22"/>
        </w:rPr>
        <w:t>3.</w:t>
      </w:r>
      <w:r w:rsidRPr="00E92617">
        <w:rPr>
          <w:rFonts w:ascii="Times New Roman" w:hAnsi="Times New Roman" w:cs="Times New Roman"/>
          <w:b/>
          <w:sz w:val="22"/>
          <w:szCs w:val="22"/>
        </w:rPr>
        <w:tab/>
        <w:t>Effect of course deletion on programs or other departments, if known:</w:t>
      </w:r>
    </w:p>
    <w:p w:rsidR="00B81640" w:rsidRPr="00E92617" w:rsidRDefault="00B81640" w:rsidP="00B81640">
      <w:pPr>
        <w:autoSpaceDE/>
        <w:autoSpaceDN/>
        <w:spacing w:line="280" w:lineRule="exact"/>
        <w:ind w:left="1440" w:hanging="720"/>
        <w:rPr>
          <w:rFonts w:ascii="Times New Roman" w:hAnsi="Times New Roman" w:cs="Times New Roman"/>
          <w:sz w:val="22"/>
          <w:szCs w:val="22"/>
        </w:rPr>
      </w:pPr>
    </w:p>
    <w:p w:rsidR="00B81640" w:rsidRPr="00E92617" w:rsidRDefault="00B81640" w:rsidP="00B81640">
      <w:pPr>
        <w:autoSpaceDE/>
        <w:autoSpaceDN/>
        <w:spacing w:line="280" w:lineRule="exact"/>
        <w:rPr>
          <w:rFonts w:ascii="Times New Roman" w:hAnsi="Times New Roman" w:cs="Times New Roman"/>
          <w:b/>
          <w:sz w:val="22"/>
          <w:szCs w:val="22"/>
        </w:rPr>
      </w:pPr>
      <w:r w:rsidRPr="00E92617">
        <w:rPr>
          <w:rFonts w:ascii="Times New Roman" w:hAnsi="Times New Roman" w:cs="Times New Roman"/>
          <w:b/>
          <w:sz w:val="22"/>
          <w:szCs w:val="22"/>
        </w:rPr>
        <w:t>4.</w:t>
      </w:r>
      <w:r w:rsidRPr="00E92617">
        <w:rPr>
          <w:rFonts w:ascii="Times New Roman" w:hAnsi="Times New Roman" w:cs="Times New Roman"/>
          <w:b/>
          <w:sz w:val="22"/>
          <w:szCs w:val="22"/>
        </w:rPr>
        <w:tab/>
        <w:t xml:space="preserve">Proposed term for implementation: </w:t>
      </w:r>
      <w:r w:rsidRPr="00E92617">
        <w:rPr>
          <w:rFonts w:ascii="Times New Roman" w:hAnsi="Times New Roman" w:cs="Times New Roman"/>
          <w:sz w:val="22"/>
          <w:szCs w:val="22"/>
        </w:rPr>
        <w:t>Fall 2014</w:t>
      </w:r>
    </w:p>
    <w:p w:rsidR="00B81640" w:rsidRPr="00E92617" w:rsidRDefault="00B81640" w:rsidP="00B81640">
      <w:pPr>
        <w:autoSpaceDE/>
        <w:autoSpaceDN/>
        <w:spacing w:line="280" w:lineRule="exact"/>
        <w:rPr>
          <w:rFonts w:ascii="Times New Roman" w:hAnsi="Times New Roman" w:cs="Times New Roman"/>
          <w:b/>
          <w:sz w:val="22"/>
          <w:szCs w:val="22"/>
        </w:rPr>
      </w:pPr>
    </w:p>
    <w:p w:rsidR="00B81640" w:rsidRPr="00E92617" w:rsidRDefault="00B81640" w:rsidP="00B81640">
      <w:pPr>
        <w:autoSpaceDE/>
        <w:autoSpaceDN/>
        <w:spacing w:line="280" w:lineRule="exact"/>
        <w:rPr>
          <w:rFonts w:ascii="Times New Roman" w:hAnsi="Times New Roman" w:cs="Times New Roman"/>
          <w:b/>
          <w:sz w:val="22"/>
          <w:szCs w:val="22"/>
        </w:rPr>
      </w:pPr>
      <w:r w:rsidRPr="00E92617">
        <w:rPr>
          <w:rFonts w:ascii="Times New Roman" w:hAnsi="Times New Roman" w:cs="Times New Roman"/>
          <w:b/>
          <w:sz w:val="22"/>
          <w:szCs w:val="22"/>
        </w:rPr>
        <w:t>5.</w:t>
      </w:r>
      <w:r w:rsidRPr="00E92617">
        <w:rPr>
          <w:rFonts w:ascii="Times New Roman" w:hAnsi="Times New Roman" w:cs="Times New Roman"/>
          <w:b/>
          <w:sz w:val="22"/>
          <w:szCs w:val="22"/>
        </w:rPr>
        <w:tab/>
        <w:t>Dates of prior committee approvals: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tblPr>
      <w:tblGrid>
        <w:gridCol w:w="5627"/>
        <w:gridCol w:w="3128"/>
      </w:tblGrid>
      <w:tr w:rsidR="00B81640" w:rsidRPr="00E92617" w:rsidTr="00E13EEF">
        <w:trPr>
          <w:trHeight w:val="374"/>
        </w:trPr>
        <w:tc>
          <w:tcPr>
            <w:tcW w:w="5627" w:type="dxa"/>
            <w:tcBorders>
              <w:top w:val="nil"/>
              <w:left w:val="nil"/>
              <w:bottom w:val="nil"/>
              <w:right w:val="nil"/>
            </w:tcBorders>
            <w:shd w:val="clear" w:color="auto" w:fill="auto"/>
            <w:vAlign w:val="bottom"/>
          </w:tcPr>
          <w:p w:rsidR="00B81640" w:rsidRPr="00E92617" w:rsidRDefault="00B81640" w:rsidP="00E13EEF">
            <w:pPr>
              <w:autoSpaceDE/>
              <w:autoSpaceDN/>
              <w:rPr>
                <w:rFonts w:ascii="Times New Roman" w:hAnsi="Times New Roman" w:cs="Times New Roman"/>
                <w:sz w:val="22"/>
                <w:szCs w:val="22"/>
              </w:rPr>
            </w:pPr>
            <w:r w:rsidRPr="00E92617">
              <w:rPr>
                <w:rFonts w:ascii="Times New Roman" w:hAnsi="Times New Roman" w:cs="Times New Roman"/>
                <w:sz w:val="22"/>
                <w:szCs w:val="22"/>
              </w:rPr>
              <w:t xml:space="preserve">Department/ Unit   </w:t>
            </w:r>
          </w:p>
        </w:tc>
        <w:tc>
          <w:tcPr>
            <w:tcW w:w="3128" w:type="dxa"/>
            <w:tcBorders>
              <w:top w:val="nil"/>
              <w:left w:val="nil"/>
              <w:bottom w:val="single" w:sz="4" w:space="0" w:color="auto"/>
              <w:right w:val="nil"/>
            </w:tcBorders>
            <w:shd w:val="clear" w:color="auto" w:fill="auto"/>
          </w:tcPr>
          <w:p w:rsidR="00B81640" w:rsidRPr="00E92617" w:rsidRDefault="00B81640" w:rsidP="00E13EEF">
            <w:pPr>
              <w:autoSpaceDE/>
              <w:autoSpaceDN/>
              <w:rPr>
                <w:rFonts w:ascii="Times New Roman" w:hAnsi="Times New Roman" w:cs="Times New Roman"/>
                <w:b/>
                <w:sz w:val="22"/>
                <w:szCs w:val="22"/>
                <w:u w:val="single"/>
              </w:rPr>
            </w:pPr>
            <w:r w:rsidRPr="00E92617">
              <w:rPr>
                <w:rFonts w:ascii="Times New Roman" w:hAnsi="Times New Roman" w:cs="Times New Roman"/>
                <w:b/>
                <w:sz w:val="22"/>
                <w:szCs w:val="22"/>
                <w:u w:val="single"/>
              </w:rPr>
              <w:t>12-11-2013</w:t>
            </w:r>
          </w:p>
        </w:tc>
      </w:tr>
      <w:tr w:rsidR="00B81640" w:rsidRPr="00E92617" w:rsidTr="00E13EEF">
        <w:trPr>
          <w:trHeight w:val="374"/>
        </w:trPr>
        <w:tc>
          <w:tcPr>
            <w:tcW w:w="5627" w:type="dxa"/>
            <w:tcBorders>
              <w:top w:val="nil"/>
              <w:left w:val="nil"/>
              <w:bottom w:val="nil"/>
              <w:right w:val="nil"/>
            </w:tcBorders>
            <w:shd w:val="clear" w:color="auto" w:fill="auto"/>
            <w:vAlign w:val="bottom"/>
          </w:tcPr>
          <w:p w:rsidR="00B81640" w:rsidRPr="00E92617" w:rsidRDefault="00B81640" w:rsidP="00E13EEF">
            <w:pPr>
              <w:autoSpaceDE/>
              <w:autoSpaceDN/>
              <w:rPr>
                <w:rFonts w:ascii="Times New Roman" w:hAnsi="Times New Roman" w:cs="Times New Roman"/>
                <w:sz w:val="22"/>
                <w:szCs w:val="22"/>
              </w:rPr>
            </w:pPr>
            <w:r w:rsidRPr="00E92617">
              <w:rPr>
                <w:rFonts w:ascii="Times New Roman" w:hAnsi="Times New Roman" w:cs="Times New Roman"/>
                <w:sz w:val="22"/>
                <w:szCs w:val="22"/>
              </w:rPr>
              <w:t xml:space="preserve">College Curriculum Committee </w:t>
            </w:r>
          </w:p>
        </w:tc>
        <w:tc>
          <w:tcPr>
            <w:tcW w:w="3128" w:type="dxa"/>
            <w:tcBorders>
              <w:top w:val="single" w:sz="4" w:space="0" w:color="auto"/>
              <w:left w:val="nil"/>
              <w:bottom w:val="single" w:sz="4" w:space="0" w:color="auto"/>
              <w:right w:val="nil"/>
            </w:tcBorders>
            <w:shd w:val="clear" w:color="auto" w:fill="auto"/>
          </w:tcPr>
          <w:p w:rsidR="00B81640" w:rsidRPr="00E92617" w:rsidRDefault="00B81640" w:rsidP="00E13EEF">
            <w:pPr>
              <w:autoSpaceDE/>
              <w:autoSpaceDN/>
              <w:rPr>
                <w:rFonts w:ascii="Times New Roman" w:hAnsi="Times New Roman" w:cs="Times New Roman"/>
                <w:b/>
                <w:sz w:val="22"/>
                <w:szCs w:val="22"/>
                <w:u w:val="single"/>
              </w:rPr>
            </w:pPr>
            <w:r w:rsidRPr="00E92617">
              <w:rPr>
                <w:rFonts w:ascii="Times New Roman" w:hAnsi="Times New Roman" w:cs="Times New Roman"/>
                <w:b/>
                <w:sz w:val="22"/>
                <w:szCs w:val="22"/>
                <w:u w:val="single"/>
              </w:rPr>
              <w:t>02-04-2014</w:t>
            </w:r>
          </w:p>
        </w:tc>
      </w:tr>
      <w:tr w:rsidR="00B81640" w:rsidRPr="00E92617" w:rsidTr="00E13EEF">
        <w:trPr>
          <w:trHeight w:val="374"/>
        </w:trPr>
        <w:tc>
          <w:tcPr>
            <w:tcW w:w="5627" w:type="dxa"/>
            <w:tcBorders>
              <w:top w:val="nil"/>
              <w:left w:val="nil"/>
              <w:bottom w:val="nil"/>
              <w:right w:val="nil"/>
            </w:tcBorders>
            <w:shd w:val="clear" w:color="auto" w:fill="auto"/>
            <w:vAlign w:val="bottom"/>
          </w:tcPr>
          <w:p w:rsidR="00B81640" w:rsidRPr="00E92617" w:rsidRDefault="00B81640" w:rsidP="00E13EEF">
            <w:pPr>
              <w:autoSpaceDE/>
              <w:autoSpaceDN/>
              <w:rPr>
                <w:rFonts w:ascii="Times New Roman" w:hAnsi="Times New Roman" w:cs="Times New Roman"/>
                <w:sz w:val="22"/>
                <w:szCs w:val="22"/>
              </w:rPr>
            </w:pPr>
            <w:r w:rsidRPr="00E92617">
              <w:rPr>
                <w:rFonts w:ascii="Times New Roman" w:hAnsi="Times New Roman" w:cs="Times New Roman"/>
                <w:sz w:val="22"/>
                <w:szCs w:val="22"/>
              </w:rPr>
              <w:t>Professional Education Council (if applicable)</w:t>
            </w:r>
          </w:p>
        </w:tc>
        <w:tc>
          <w:tcPr>
            <w:tcW w:w="3128" w:type="dxa"/>
            <w:tcBorders>
              <w:top w:val="single" w:sz="4" w:space="0" w:color="auto"/>
              <w:left w:val="nil"/>
              <w:bottom w:val="single" w:sz="4" w:space="0" w:color="auto"/>
              <w:right w:val="nil"/>
            </w:tcBorders>
            <w:shd w:val="clear" w:color="auto" w:fill="auto"/>
          </w:tcPr>
          <w:p w:rsidR="00B81640" w:rsidRPr="00E92617" w:rsidRDefault="00B81640" w:rsidP="00E13EEF">
            <w:pPr>
              <w:autoSpaceDE/>
              <w:autoSpaceDN/>
              <w:rPr>
                <w:rFonts w:ascii="Times New Roman" w:hAnsi="Times New Roman" w:cs="Times New Roman"/>
                <w:b/>
                <w:sz w:val="22"/>
                <w:szCs w:val="22"/>
                <w:u w:val="single"/>
              </w:rPr>
            </w:pPr>
            <w:r w:rsidRPr="00E92617">
              <w:rPr>
                <w:rFonts w:ascii="Times New Roman" w:hAnsi="Times New Roman" w:cs="Times New Roman"/>
                <w:b/>
                <w:sz w:val="22"/>
                <w:szCs w:val="22"/>
                <w:u w:val="single"/>
              </w:rPr>
              <w:t>02-12-2014</w:t>
            </w:r>
          </w:p>
        </w:tc>
      </w:tr>
      <w:tr w:rsidR="00B81640" w:rsidRPr="00E92617" w:rsidTr="00E13EEF">
        <w:trPr>
          <w:trHeight w:val="374"/>
        </w:trPr>
        <w:tc>
          <w:tcPr>
            <w:tcW w:w="5627" w:type="dxa"/>
            <w:tcBorders>
              <w:top w:val="nil"/>
              <w:left w:val="nil"/>
              <w:bottom w:val="nil"/>
              <w:right w:val="nil"/>
            </w:tcBorders>
            <w:shd w:val="clear" w:color="auto" w:fill="auto"/>
            <w:vAlign w:val="bottom"/>
          </w:tcPr>
          <w:p w:rsidR="00B81640" w:rsidRPr="00E92617" w:rsidRDefault="00B81640" w:rsidP="00E13EEF">
            <w:pPr>
              <w:autoSpaceDE/>
              <w:autoSpaceDN/>
              <w:rPr>
                <w:rFonts w:ascii="Calibri" w:eastAsia="Calibri" w:hAnsi="Calibri" w:cs="Times New Roman"/>
                <w:sz w:val="22"/>
                <w:szCs w:val="22"/>
              </w:rPr>
            </w:pPr>
            <w:r w:rsidRPr="00E92617">
              <w:rPr>
                <w:rFonts w:ascii="Times New Roman" w:hAnsi="Times New Roman" w:cs="Times New Roman"/>
                <w:sz w:val="22"/>
                <w:szCs w:val="22"/>
              </w:rPr>
              <w:t>General Education Committee (if applicable)</w:t>
            </w:r>
          </w:p>
        </w:tc>
        <w:tc>
          <w:tcPr>
            <w:tcW w:w="3128" w:type="dxa"/>
            <w:tcBorders>
              <w:top w:val="single" w:sz="4" w:space="0" w:color="auto"/>
              <w:left w:val="nil"/>
              <w:bottom w:val="single" w:sz="4" w:space="0" w:color="auto"/>
              <w:right w:val="nil"/>
            </w:tcBorders>
            <w:shd w:val="clear" w:color="auto" w:fill="auto"/>
            <w:vAlign w:val="bottom"/>
          </w:tcPr>
          <w:p w:rsidR="00B81640" w:rsidRPr="00E92617" w:rsidRDefault="00B81640" w:rsidP="00E13EEF">
            <w:pPr>
              <w:autoSpaceDE/>
              <w:autoSpaceDN/>
              <w:rPr>
                <w:rFonts w:ascii="Calibri" w:eastAsia="Calibri" w:hAnsi="Calibri" w:cs="Times New Roman"/>
                <w:b/>
                <w:sz w:val="22"/>
                <w:szCs w:val="22"/>
                <w:u w:val="single"/>
              </w:rPr>
            </w:pPr>
          </w:p>
        </w:tc>
      </w:tr>
      <w:tr w:rsidR="00B81640" w:rsidRPr="00E92617" w:rsidTr="00E13EEF">
        <w:trPr>
          <w:trHeight w:val="374"/>
        </w:trPr>
        <w:tc>
          <w:tcPr>
            <w:tcW w:w="5627" w:type="dxa"/>
            <w:tcBorders>
              <w:top w:val="nil"/>
              <w:left w:val="nil"/>
              <w:bottom w:val="nil"/>
              <w:right w:val="nil"/>
            </w:tcBorders>
            <w:shd w:val="clear" w:color="auto" w:fill="auto"/>
            <w:vAlign w:val="bottom"/>
          </w:tcPr>
          <w:p w:rsidR="00B81640" w:rsidRPr="00E92617" w:rsidRDefault="00B81640" w:rsidP="00E13EEF">
            <w:pPr>
              <w:autoSpaceDE/>
              <w:autoSpaceDN/>
              <w:rPr>
                <w:rFonts w:ascii="Times New Roman" w:hAnsi="Times New Roman" w:cs="Times New Roman"/>
                <w:sz w:val="22"/>
                <w:szCs w:val="22"/>
              </w:rPr>
            </w:pPr>
            <w:r w:rsidRPr="00E92617">
              <w:rPr>
                <w:rFonts w:ascii="Times New Roman" w:hAnsi="Times New Roman" w:cs="Times New Roman"/>
                <w:sz w:val="22"/>
                <w:szCs w:val="22"/>
              </w:rPr>
              <w:t xml:space="preserve">Undergraduate Curriculum Committee </w:t>
            </w:r>
          </w:p>
        </w:tc>
        <w:tc>
          <w:tcPr>
            <w:tcW w:w="3128" w:type="dxa"/>
            <w:tcBorders>
              <w:top w:val="single" w:sz="4" w:space="0" w:color="auto"/>
              <w:left w:val="nil"/>
              <w:bottom w:val="single" w:sz="4" w:space="0" w:color="auto"/>
              <w:right w:val="nil"/>
            </w:tcBorders>
            <w:shd w:val="clear" w:color="auto" w:fill="auto"/>
          </w:tcPr>
          <w:p w:rsidR="00B81640" w:rsidRPr="00E92617" w:rsidRDefault="00B81640" w:rsidP="00E13EEF">
            <w:pPr>
              <w:autoSpaceDE/>
              <w:autoSpaceDN/>
              <w:rPr>
                <w:rFonts w:ascii="Times New Roman" w:hAnsi="Times New Roman" w:cs="Times New Roman"/>
                <w:b/>
                <w:sz w:val="22"/>
                <w:szCs w:val="22"/>
                <w:u w:val="single"/>
              </w:rPr>
            </w:pPr>
          </w:p>
        </w:tc>
      </w:tr>
      <w:tr w:rsidR="00B81640" w:rsidRPr="00E92617" w:rsidTr="00E13EEF">
        <w:trPr>
          <w:trHeight w:val="374"/>
        </w:trPr>
        <w:tc>
          <w:tcPr>
            <w:tcW w:w="5627" w:type="dxa"/>
            <w:tcBorders>
              <w:top w:val="nil"/>
              <w:left w:val="nil"/>
              <w:bottom w:val="nil"/>
              <w:right w:val="nil"/>
            </w:tcBorders>
            <w:shd w:val="clear" w:color="auto" w:fill="auto"/>
            <w:vAlign w:val="bottom"/>
          </w:tcPr>
          <w:p w:rsidR="00B81640" w:rsidRPr="00E92617" w:rsidRDefault="00B81640" w:rsidP="00E13EEF">
            <w:pPr>
              <w:autoSpaceDE/>
              <w:autoSpaceDN/>
              <w:rPr>
                <w:rFonts w:ascii="Times New Roman" w:hAnsi="Times New Roman" w:cs="Times New Roman"/>
                <w:sz w:val="22"/>
                <w:szCs w:val="22"/>
              </w:rPr>
            </w:pPr>
            <w:r w:rsidRPr="00E92617">
              <w:rPr>
                <w:rFonts w:ascii="Times New Roman" w:hAnsi="Times New Roman" w:cs="Times New Roman"/>
                <w:sz w:val="22"/>
                <w:szCs w:val="22"/>
              </w:rPr>
              <w:t>University Senate</w:t>
            </w:r>
          </w:p>
        </w:tc>
        <w:tc>
          <w:tcPr>
            <w:tcW w:w="3128" w:type="dxa"/>
            <w:tcBorders>
              <w:top w:val="single" w:sz="4" w:space="0" w:color="auto"/>
              <w:left w:val="nil"/>
              <w:bottom w:val="single" w:sz="4" w:space="0" w:color="auto"/>
              <w:right w:val="nil"/>
            </w:tcBorders>
            <w:shd w:val="clear" w:color="auto" w:fill="auto"/>
          </w:tcPr>
          <w:p w:rsidR="00B81640" w:rsidRPr="00E92617" w:rsidRDefault="00B81640" w:rsidP="00E13EEF">
            <w:pPr>
              <w:autoSpaceDE/>
              <w:autoSpaceDN/>
              <w:rPr>
                <w:rFonts w:ascii="Times New Roman" w:hAnsi="Times New Roman" w:cs="Times New Roman"/>
                <w:b/>
                <w:sz w:val="22"/>
                <w:szCs w:val="22"/>
                <w:u w:val="single"/>
              </w:rPr>
            </w:pPr>
          </w:p>
        </w:tc>
      </w:tr>
    </w:tbl>
    <w:p w:rsidR="00B81640" w:rsidRPr="00E92617" w:rsidRDefault="00B81640" w:rsidP="00B81640">
      <w:pPr>
        <w:autoSpaceDE/>
        <w:autoSpaceDN/>
        <w:rPr>
          <w:rFonts w:ascii="Times New Roman" w:hAnsi="Times New Roman" w:cs="Times New Roman"/>
        </w:rPr>
      </w:pPr>
    </w:p>
    <w:p w:rsidR="00F661AD" w:rsidRDefault="00F661AD" w:rsidP="00B81640"/>
    <w:sectPr w:rsidR="00F661AD" w:rsidSect="00F661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imes New Roman PSMT">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565E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7FC906FD"/>
    <w:multiLevelType w:val="hybridMultilevel"/>
    <w:tmpl w:val="7C72A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B81640"/>
    <w:rsid w:val="00B81640"/>
    <w:rsid w:val="00F661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640"/>
    <w:pPr>
      <w:autoSpaceDE w:val="0"/>
      <w:autoSpaceDN w:val="0"/>
      <w:spacing w:after="0" w:line="240" w:lineRule="auto"/>
    </w:pPr>
    <w:rPr>
      <w:rFonts w:ascii="Times" w:eastAsia="Times New Roman"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tha.day@wk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dc:creator>
  <cp:lastModifiedBy>raja</cp:lastModifiedBy>
  <cp:revision>1</cp:revision>
  <dcterms:created xsi:type="dcterms:W3CDTF">2014-04-22T15:07:00Z</dcterms:created>
  <dcterms:modified xsi:type="dcterms:W3CDTF">2014-04-22T15:08:00Z</dcterms:modified>
</cp:coreProperties>
</file>