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B2" w:rsidRPr="000850AD" w:rsidRDefault="00A52CB2" w:rsidP="00A52C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720" w:hanging="720"/>
        <w:jc w:val="center"/>
        <w:rPr>
          <w:rFonts w:ascii="Times New Roman" w:eastAsia="Times New Roman" w:hAnsi="Times New Roman" w:cs="Times New Roman"/>
          <w:b/>
          <w:sz w:val="24"/>
          <w:szCs w:val="24"/>
        </w:rPr>
      </w:pPr>
      <w:r w:rsidRPr="000850AD">
        <w:rPr>
          <w:rFonts w:ascii="Times New Roman" w:eastAsia="Times New Roman" w:hAnsi="Times New Roman" w:cs="Times New Roman"/>
          <w:b/>
          <w:sz w:val="24"/>
          <w:szCs w:val="24"/>
        </w:rPr>
        <w:t>Potter College of Arts &amp; Letters</w:t>
      </w:r>
    </w:p>
    <w:p w:rsidR="00A52CB2" w:rsidRPr="000850AD" w:rsidRDefault="00A52CB2" w:rsidP="00A52CB2">
      <w:pPr>
        <w:spacing w:after="0" w:line="240" w:lineRule="auto"/>
        <w:jc w:val="center"/>
        <w:rPr>
          <w:rFonts w:ascii="Times New Roman" w:eastAsia="Times New Roman" w:hAnsi="Times New Roman" w:cs="Times New Roman"/>
          <w:b/>
          <w:bCs/>
          <w:sz w:val="24"/>
          <w:szCs w:val="24"/>
        </w:rPr>
      </w:pPr>
      <w:r w:rsidRPr="000850AD">
        <w:rPr>
          <w:rFonts w:ascii="Times New Roman" w:eastAsia="Times New Roman" w:hAnsi="Times New Roman" w:cs="Times New Roman"/>
          <w:b/>
          <w:bCs/>
          <w:sz w:val="24"/>
          <w:szCs w:val="24"/>
        </w:rPr>
        <w:t>Western Kentucky University</w:t>
      </w:r>
    </w:p>
    <w:p w:rsidR="00A52CB2" w:rsidRPr="000850AD" w:rsidRDefault="00A52CB2" w:rsidP="00A52CB2">
      <w:pPr>
        <w:spacing w:after="0" w:line="240" w:lineRule="auto"/>
        <w:jc w:val="center"/>
        <w:rPr>
          <w:rFonts w:ascii="Times New Roman" w:eastAsia="Times New Roman" w:hAnsi="Times New Roman" w:cs="Times New Roman"/>
          <w:sz w:val="24"/>
          <w:szCs w:val="24"/>
        </w:rPr>
      </w:pPr>
      <w:r w:rsidRPr="000850AD">
        <w:rPr>
          <w:rFonts w:ascii="Times New Roman" w:eastAsia="Times New Roman" w:hAnsi="Times New Roman" w:cs="Times New Roman"/>
          <w:b/>
          <w:bCs/>
          <w:sz w:val="24"/>
          <w:szCs w:val="24"/>
        </w:rPr>
        <w:t>745-2345</w:t>
      </w:r>
    </w:p>
    <w:p w:rsidR="00A52CB2" w:rsidRPr="000850AD" w:rsidRDefault="00A52CB2" w:rsidP="00A52CB2">
      <w:pPr>
        <w:tabs>
          <w:tab w:val="left" w:pos="720"/>
          <w:tab w:val="center" w:pos="4320"/>
          <w:tab w:val="right" w:pos="8640"/>
        </w:tabs>
        <w:spacing w:after="0" w:line="240" w:lineRule="auto"/>
        <w:rPr>
          <w:rFonts w:ascii="Times New Roman" w:eastAsia="Times New Roman" w:hAnsi="Times New Roman" w:cs="Times New Roman"/>
          <w:sz w:val="24"/>
          <w:szCs w:val="24"/>
        </w:rPr>
      </w:pPr>
    </w:p>
    <w:p w:rsidR="00A52CB2" w:rsidRPr="000850AD" w:rsidRDefault="00A52CB2" w:rsidP="00A52CB2">
      <w:pPr>
        <w:keepNext/>
        <w:spacing w:after="0" w:line="240" w:lineRule="auto"/>
        <w:outlineLvl w:val="0"/>
        <w:rPr>
          <w:rFonts w:ascii="Times New Roman" w:eastAsia="Times New Roman" w:hAnsi="Times New Roman" w:cs="Times New Roman"/>
          <w:b/>
          <w:sz w:val="24"/>
          <w:szCs w:val="24"/>
        </w:rPr>
      </w:pPr>
      <w:r w:rsidRPr="000850AD">
        <w:rPr>
          <w:rFonts w:ascii="Times New Roman" w:eastAsia="Times New Roman" w:hAnsi="Times New Roman" w:cs="Times New Roman"/>
          <w:b/>
          <w:sz w:val="24"/>
          <w:szCs w:val="24"/>
        </w:rPr>
        <w:t>REPORT TO THE UNIVERSITY CURRICULUM COMMITTEE</w:t>
      </w:r>
    </w:p>
    <w:p w:rsidR="00A52CB2" w:rsidRPr="000850AD" w:rsidRDefault="00A52CB2" w:rsidP="00A52CB2">
      <w:pPr>
        <w:spacing w:after="0" w:line="240" w:lineRule="auto"/>
        <w:rPr>
          <w:rFonts w:ascii="Times New Roman" w:eastAsia="Times New Roman" w:hAnsi="Times New Roman" w:cs="Times New Roman"/>
          <w:sz w:val="24"/>
          <w:szCs w:val="24"/>
        </w:rPr>
      </w:pPr>
      <w:r w:rsidRPr="000850AD">
        <w:rPr>
          <w:rFonts w:ascii="Times New Roman" w:eastAsia="Times New Roman" w:hAnsi="Times New Roman" w:cs="Times New Roman"/>
          <w:sz w:val="24"/>
          <w:szCs w:val="24"/>
        </w:rPr>
        <w:t>Date:</w:t>
      </w:r>
      <w:r w:rsidRPr="000850AD">
        <w:rPr>
          <w:rFonts w:ascii="Times New Roman" w:eastAsia="Times New Roman" w:hAnsi="Times New Roman" w:cs="Times New Roman"/>
          <w:sz w:val="24"/>
          <w:szCs w:val="24"/>
        </w:rPr>
        <w:tab/>
      </w:r>
      <w:r w:rsidRPr="000850AD">
        <w:rPr>
          <w:rFonts w:ascii="Times New Roman" w:eastAsia="Times New Roman" w:hAnsi="Times New Roman" w:cs="Times New Roman"/>
          <w:sz w:val="24"/>
          <w:szCs w:val="24"/>
        </w:rPr>
        <w:t>April 24, 2014</w:t>
      </w:r>
    </w:p>
    <w:p w:rsidR="00A52CB2" w:rsidRPr="000850AD" w:rsidRDefault="00A52CB2" w:rsidP="00A52CB2">
      <w:pPr>
        <w:spacing w:after="0" w:line="240" w:lineRule="auto"/>
        <w:rPr>
          <w:rFonts w:ascii="Times New Roman" w:eastAsia="Times New Roman" w:hAnsi="Times New Roman" w:cs="Times New Roman"/>
          <w:sz w:val="24"/>
          <w:szCs w:val="24"/>
        </w:rPr>
      </w:pPr>
    </w:p>
    <w:p w:rsidR="00A52CB2" w:rsidRPr="000850AD" w:rsidRDefault="00A52CB2" w:rsidP="00A52CB2">
      <w:pPr>
        <w:spacing w:after="0" w:line="240" w:lineRule="auto"/>
        <w:rPr>
          <w:rFonts w:ascii="Times New Roman" w:eastAsia="Times New Roman" w:hAnsi="Times New Roman" w:cs="Times New Roman"/>
          <w:sz w:val="24"/>
          <w:szCs w:val="24"/>
        </w:rPr>
      </w:pPr>
      <w:r w:rsidRPr="000850AD">
        <w:rPr>
          <w:rFonts w:ascii="Times New Roman" w:eastAsia="Times New Roman" w:hAnsi="Times New Roman" w:cs="Times New Roman"/>
          <w:sz w:val="24"/>
          <w:szCs w:val="24"/>
        </w:rPr>
        <w:t>The Potter College of Arts &amp; Letters submits the following items for consideration:</w:t>
      </w:r>
    </w:p>
    <w:tbl>
      <w:tblPr>
        <w:tblStyle w:val="TableGrid"/>
        <w:tblW w:w="0" w:type="auto"/>
        <w:tblLook w:val="04A0" w:firstRow="1" w:lastRow="0" w:firstColumn="1" w:lastColumn="0" w:noHBand="0" w:noVBand="1"/>
      </w:tblPr>
      <w:tblGrid>
        <w:gridCol w:w="2268"/>
        <w:gridCol w:w="7308"/>
      </w:tblGrid>
      <w:tr w:rsidR="00A52CB2"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CB2" w:rsidRPr="000850AD" w:rsidRDefault="00A52CB2" w:rsidP="004F42B4">
            <w:pPr>
              <w:rPr>
                <w:rFonts w:ascii="Times New Roman" w:eastAsia="Times New Roman" w:hAnsi="Times New Roman"/>
                <w:b/>
                <w:sz w:val="24"/>
                <w:szCs w:val="24"/>
              </w:rPr>
            </w:pPr>
            <w:r w:rsidRPr="000850AD">
              <w:rPr>
                <w:rFonts w:ascii="Times New Roman" w:eastAsia="Times New Roman" w:hAnsi="Times New Roman"/>
                <w:b/>
                <w:sz w:val="24"/>
                <w:szCs w:val="24"/>
              </w:rPr>
              <w:t>Type of Item</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2CB2" w:rsidRPr="000850AD" w:rsidRDefault="00A52CB2" w:rsidP="004F42B4">
            <w:pPr>
              <w:rPr>
                <w:rFonts w:ascii="Times New Roman" w:eastAsia="Times New Roman" w:hAnsi="Times New Roman"/>
                <w:b/>
                <w:sz w:val="24"/>
                <w:szCs w:val="24"/>
              </w:rPr>
            </w:pPr>
            <w:r w:rsidRPr="000850AD">
              <w:rPr>
                <w:rFonts w:ascii="Times New Roman" w:eastAsia="Times New Roman" w:hAnsi="Times New Roman"/>
                <w:b/>
                <w:sz w:val="24"/>
                <w:szCs w:val="24"/>
              </w:rPr>
              <w:t>Description of Item &amp; Contact Information</w:t>
            </w:r>
          </w:p>
        </w:tc>
      </w:tr>
      <w:tr w:rsidR="008A6A77"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77" w:rsidRPr="000850AD" w:rsidRDefault="008A6A77"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A6A77" w:rsidRPr="000850AD" w:rsidRDefault="008A6A77"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a Course Title</w:t>
            </w:r>
          </w:p>
          <w:p w:rsidR="008A6A77" w:rsidRPr="000850AD" w:rsidRDefault="008A6A77" w:rsidP="004F42B4">
            <w:pPr>
              <w:rPr>
                <w:rFonts w:ascii="Times New Roman" w:eastAsia="Times New Roman" w:hAnsi="Times New Roman"/>
                <w:sz w:val="24"/>
                <w:szCs w:val="24"/>
              </w:rPr>
            </w:pPr>
            <w:r w:rsidRPr="000850AD">
              <w:rPr>
                <w:rFonts w:ascii="Times New Roman" w:eastAsia="Times New Roman" w:hAnsi="Times New Roman"/>
                <w:sz w:val="24"/>
                <w:szCs w:val="24"/>
              </w:rPr>
              <w:t>HIST 200 Introduction to Latin America</w:t>
            </w:r>
          </w:p>
          <w:p w:rsidR="008A6A77" w:rsidRPr="000850AD" w:rsidRDefault="008A6A77" w:rsidP="004F42B4">
            <w:pPr>
              <w:rPr>
                <w:rFonts w:ascii="Times New Roman" w:eastAsia="Times New Roman" w:hAnsi="Times New Roman"/>
                <w:sz w:val="24"/>
                <w:szCs w:val="24"/>
              </w:rPr>
            </w:pPr>
            <w:r w:rsidRPr="000850AD">
              <w:rPr>
                <w:rFonts w:ascii="Times New Roman" w:eastAsia="Times New Roman" w:hAnsi="Times New Roman"/>
                <w:sz w:val="24"/>
                <w:szCs w:val="24"/>
              </w:rPr>
              <w:t>Contact: Marc Eagle, marc.eagle@wku.edu, 5-5026</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CRIM 330 Criminology</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CRIM 332 Juvenile Delinquency</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CRIM 361 Race, Class, and Crime</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CRIM 432 Sociology of Criminal Law</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CRIM 434 Organized Crime</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CRIM 437 The Death Penalty In America</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CRIM 446 Gender, Crime and Justice</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SOCL 322 Religion in Society</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Holli Drummond, holli.drummond@wku.edu, 5-2259</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SOCL 350 Systems of Social Inequality</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 xml:space="preserve">Contact: Nicole </w:t>
            </w:r>
            <w:proofErr w:type="spellStart"/>
            <w:r w:rsidRPr="000850AD">
              <w:rPr>
                <w:rFonts w:ascii="Times New Roman" w:eastAsia="Times New Roman" w:hAnsi="Times New Roman"/>
                <w:sz w:val="24"/>
                <w:szCs w:val="24"/>
              </w:rPr>
              <w:t>Breazeale</w:t>
            </w:r>
            <w:proofErr w:type="spellEnd"/>
            <w:r w:rsidRPr="000850AD">
              <w:rPr>
                <w:rFonts w:ascii="Times New Roman" w:eastAsia="Times New Roman" w:hAnsi="Times New Roman"/>
                <w:sz w:val="24"/>
                <w:szCs w:val="24"/>
              </w:rPr>
              <w:t>, nicole.breazeale@wku.edu, 659-6982</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SOCL 362 Race, Class, and Gender</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Holli Drummond, holli.drummond@wku.edu, 5-2259</w:t>
            </w:r>
          </w:p>
        </w:tc>
      </w:tr>
      <w:tr w:rsidR="006D5115" w:rsidRPr="000850AD" w:rsidTr="004F42B4">
        <w:trPr>
          <w:trHeight w:val="44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jc w:val="center"/>
              <w:rPr>
                <w:rFonts w:ascii="Times New Roman" w:eastAsia="Times New Roman" w:hAnsi="Times New Roman"/>
                <w:sz w:val="24"/>
                <w:szCs w:val="24"/>
              </w:rPr>
            </w:pPr>
            <w:r w:rsidRPr="000850AD">
              <w:rPr>
                <w:rFonts w:ascii="Times New Roman" w:eastAsia="Times New Roman" w:hAnsi="Times New Roman"/>
                <w:sz w:val="24"/>
                <w:szCs w:val="24"/>
              </w:rPr>
              <w:t>Consent</w:t>
            </w:r>
          </w:p>
        </w:tc>
        <w:tc>
          <w:tcPr>
            <w:tcW w:w="73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115" w:rsidRPr="000850AD" w:rsidRDefault="006D5115" w:rsidP="004F42B4">
            <w:pPr>
              <w:rPr>
                <w:rFonts w:ascii="Times New Roman" w:eastAsia="Times New Roman" w:hAnsi="Times New Roman"/>
                <w:b/>
                <w:sz w:val="24"/>
                <w:szCs w:val="24"/>
              </w:rPr>
            </w:pPr>
            <w:r w:rsidRPr="000850AD">
              <w:rPr>
                <w:rFonts w:ascii="Times New Roman" w:eastAsia="Times New Roman" w:hAnsi="Times New Roman"/>
                <w:b/>
                <w:sz w:val="24"/>
                <w:szCs w:val="24"/>
              </w:rPr>
              <w:t>Proposal to Revise Course Prerequisites/</w:t>
            </w:r>
            <w:proofErr w:type="spellStart"/>
            <w:r w:rsidRPr="000850AD">
              <w:rPr>
                <w:rFonts w:ascii="Times New Roman" w:eastAsia="Times New Roman" w:hAnsi="Times New Roman"/>
                <w:b/>
                <w:sz w:val="24"/>
                <w:szCs w:val="24"/>
              </w:rPr>
              <w:t>Corequisites</w:t>
            </w:r>
            <w:proofErr w:type="spellEnd"/>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SOCL 435 Family Violence</w:t>
            </w:r>
          </w:p>
          <w:p w:rsidR="006D5115" w:rsidRPr="000850AD" w:rsidRDefault="006D5115" w:rsidP="004F42B4">
            <w:pPr>
              <w:rPr>
                <w:rFonts w:ascii="Times New Roman" w:eastAsia="Times New Roman" w:hAnsi="Times New Roman"/>
                <w:sz w:val="24"/>
                <w:szCs w:val="24"/>
              </w:rPr>
            </w:pPr>
            <w:r w:rsidRPr="000850AD">
              <w:rPr>
                <w:rFonts w:ascii="Times New Roman" w:eastAsia="Times New Roman" w:hAnsi="Times New Roman"/>
                <w:sz w:val="24"/>
                <w:szCs w:val="24"/>
              </w:rPr>
              <w:t>Contact: Carrie Trojan, carrie.trojan@wku.edu, 5-2645</w:t>
            </w:r>
          </w:p>
        </w:tc>
      </w:tr>
    </w:tbl>
    <w:p w:rsidR="006D5115" w:rsidRPr="006D5115" w:rsidRDefault="006D5115" w:rsidP="006D5115">
      <w:pPr>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3/19/2014</w:t>
      </w:r>
    </w:p>
    <w:p w:rsidR="006D5115" w:rsidRPr="006D5115" w:rsidRDefault="006D5115" w:rsidP="006D5115">
      <w:pPr>
        <w:spacing w:after="0" w:line="240" w:lineRule="auto"/>
        <w:jc w:val="center"/>
        <w:rPr>
          <w:rFonts w:ascii="Times New Roman" w:eastAsia="Times New Roman" w:hAnsi="Times New Roman" w:cs="Times New Roman"/>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Department of History</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Title</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Contact Person:  Marc Eagle, marc.eagle@wku.edu, 5-5026</w:t>
      </w: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numPr>
          <w:ilvl w:val="0"/>
          <w:numId w:val="6"/>
        </w:numPr>
        <w:tabs>
          <w:tab w:val="num" w:pos="720"/>
        </w:tabs>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 xml:space="preserve">      Identification of proposed course:</w:t>
      </w:r>
    </w:p>
    <w:p w:rsidR="006D5115" w:rsidRPr="006D5115" w:rsidRDefault="006D5115" w:rsidP="006D5115">
      <w:pPr>
        <w:numPr>
          <w:ilvl w:val="1"/>
          <w:numId w:val="5"/>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HIST 200</w:t>
      </w:r>
    </w:p>
    <w:p w:rsidR="006D5115" w:rsidRPr="006D5115" w:rsidRDefault="006D5115" w:rsidP="006D5115">
      <w:pPr>
        <w:numPr>
          <w:ilvl w:val="1"/>
          <w:numId w:val="5"/>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Introduction to Latin America</w:t>
      </w:r>
    </w:p>
    <w:p w:rsidR="006D5115" w:rsidRPr="006D5115" w:rsidRDefault="006D5115" w:rsidP="006D5115">
      <w:pPr>
        <w:numPr>
          <w:ilvl w:val="1"/>
          <w:numId w:val="5"/>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Credit Hours: 3</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Proposed course title: Latin American Society: Past and Present</w:t>
      </w:r>
      <w:r w:rsidRPr="006D5115">
        <w:rPr>
          <w:rFonts w:ascii="Times New Roman" w:eastAsia="Times New Roman" w:hAnsi="Times New Roman" w:cs="Times New Roman"/>
          <w:b/>
          <w:sz w:val="24"/>
          <w:szCs w:val="24"/>
        </w:rPr>
        <w:br/>
      </w:r>
    </w:p>
    <w:p w:rsidR="006D5115" w:rsidRPr="006D5115" w:rsidRDefault="006D5115" w:rsidP="006D5115">
      <w:pPr>
        <w:spacing w:after="0" w:line="280" w:lineRule="exact"/>
        <w:ind w:left="720" w:hanging="720"/>
        <w:contextualSpacing/>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 xml:space="preserve">Proposed abbreviated course title: Latin America Past and </w:t>
      </w:r>
      <w:proofErr w:type="gramStart"/>
      <w:r w:rsidRPr="006D5115">
        <w:rPr>
          <w:rFonts w:ascii="Times New Roman" w:eastAsia="Times New Roman" w:hAnsi="Times New Roman" w:cs="Times New Roman"/>
          <w:b/>
          <w:sz w:val="24"/>
          <w:szCs w:val="24"/>
        </w:rPr>
        <w:t>Present</w:t>
      </w:r>
      <w:proofErr w:type="gramEnd"/>
      <w:r w:rsidRPr="006D5115">
        <w:rPr>
          <w:rFonts w:ascii="Times New Roman" w:eastAsia="Times New Roman" w:hAnsi="Times New Roman" w:cs="Times New Roman"/>
          <w:b/>
          <w:sz w:val="24"/>
          <w:szCs w:val="24"/>
        </w:rPr>
        <w:br/>
      </w:r>
      <w:r w:rsidRPr="006D5115">
        <w:rPr>
          <w:rFonts w:ascii="Times New Roman" w:eastAsia="Times New Roman" w:hAnsi="Times New Roman" w:cs="Times New Roman"/>
          <w:sz w:val="24"/>
          <w:szCs w:val="24"/>
        </w:rPr>
        <w:t>(maximum of 30 characters/spaces)</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 xml:space="preserve">Rationale for the revision of course title: </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The course has been approved as a Connections (Society and Culture category) course for the new Colonnade program.  The title better reflects the nature and intent of the course. This course is cross-listed with GEOG 200 and SPAN 200</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Proposed term for implementation: Fall 2014</w:t>
      </w:r>
      <w:r w:rsidRPr="006D5115">
        <w:rPr>
          <w:rFonts w:ascii="Times New Roman" w:eastAsia="Times New Roman" w:hAnsi="Times New Roman" w:cs="Times New Roman"/>
          <w:b/>
          <w:sz w:val="24"/>
          <w:szCs w:val="24"/>
        </w:rPr>
        <w:br/>
      </w: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Dates of prior committee approvals:</w:t>
      </w:r>
    </w:p>
    <w:p w:rsidR="006D5115" w:rsidRPr="006D5115" w:rsidRDefault="006D5115" w:rsidP="006D5115">
      <w:pPr>
        <w:spacing w:after="0" w:line="240" w:lineRule="auto"/>
        <w:rPr>
          <w:rFonts w:ascii="Times New Roman" w:eastAsia="Times New Roman" w:hAnsi="Times New Roman" w:cs="Times New Roman"/>
          <w:b/>
          <w:sz w:val="24"/>
          <w:szCs w:val="24"/>
        </w:rPr>
      </w:pPr>
    </w:p>
    <w:tbl>
      <w:tblPr>
        <w:tblStyle w:val="TableGrid1"/>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rFonts w:eastAsia="Calibri"/>
                <w:sz w:val="24"/>
                <w:szCs w:val="24"/>
              </w:rPr>
              <w:t>Department of History</w:t>
            </w:r>
          </w:p>
        </w:tc>
        <w:tc>
          <w:tcPr>
            <w:tcW w:w="3128" w:type="dxa"/>
            <w:tcBorders>
              <w:top w:val="nil"/>
              <w:left w:val="nil"/>
              <w:bottom w:val="single" w:sz="4" w:space="0" w:color="auto"/>
              <w:right w:val="nil"/>
            </w:tcBorders>
            <w:vAlign w:val="center"/>
          </w:tcPr>
          <w:p w:rsidR="006D5115" w:rsidRPr="006D5115" w:rsidRDefault="006D5115" w:rsidP="006D5115">
            <w:pPr>
              <w:rPr>
                <w:rFonts w:eastAsia="Calibri"/>
                <w:sz w:val="24"/>
                <w:szCs w:val="24"/>
              </w:rPr>
            </w:pPr>
            <w:r w:rsidRPr="006D5115">
              <w:rPr>
                <w:rFonts w:eastAsia="Calibri"/>
                <w:sz w:val="24"/>
                <w:szCs w:val="24"/>
              </w:rPr>
              <w:t>March 19,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p>
          <w:p w:rsidR="006D5115" w:rsidRPr="006D5115" w:rsidRDefault="006D5115" w:rsidP="006D5115">
            <w:pPr>
              <w:rPr>
                <w:rFonts w:eastAsia="Calibri"/>
                <w:sz w:val="24"/>
                <w:szCs w:val="24"/>
              </w:rPr>
            </w:pPr>
            <w:r w:rsidRPr="006D5115">
              <w:rPr>
                <w:rFonts w:eastAsia="Calibri"/>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p>
          <w:p w:rsidR="006D5115" w:rsidRPr="006D5115" w:rsidRDefault="006D5115" w:rsidP="006D5115">
            <w:pPr>
              <w:rPr>
                <w:rFonts w:eastAsia="Calibri"/>
                <w:sz w:val="24"/>
                <w:szCs w:val="24"/>
              </w:rPr>
            </w:pPr>
            <w:r w:rsidRPr="006D5115">
              <w:rPr>
                <w:rFonts w:eastAsia="Calibri"/>
                <w:sz w:val="24"/>
                <w:szCs w:val="24"/>
              </w:rPr>
              <w:t>WKU Colonnade Committee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rFonts w:eastAsia="Calibri"/>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p>
          <w:p w:rsidR="006D5115" w:rsidRPr="006D5115" w:rsidRDefault="006D5115" w:rsidP="006D5115">
            <w:pPr>
              <w:rPr>
                <w:rFonts w:eastAsia="Calibri"/>
                <w:sz w:val="24"/>
                <w:szCs w:val="24"/>
              </w:rPr>
            </w:pPr>
            <w:r w:rsidRPr="006D5115">
              <w:rPr>
                <w:rFonts w:eastAsia="Calibri"/>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rFonts w:eastAsia="Calibri"/>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p>
          <w:p w:rsidR="006D5115" w:rsidRPr="006D5115" w:rsidRDefault="006D5115" w:rsidP="006D5115">
            <w:pPr>
              <w:rPr>
                <w:rFonts w:eastAsia="Calibri"/>
                <w:sz w:val="24"/>
                <w:szCs w:val="24"/>
              </w:rPr>
            </w:pPr>
            <w:r w:rsidRPr="006D5115">
              <w:rPr>
                <w:rFonts w:eastAsia="Calibri"/>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rFonts w:eastAsia="Calibri"/>
                <w:b/>
                <w:sz w:val="24"/>
                <w:szCs w:val="24"/>
                <w:u w:val="single"/>
              </w:rPr>
            </w:pPr>
          </w:p>
        </w:tc>
      </w:tr>
    </w:tbl>
    <w:p w:rsidR="006D5115" w:rsidRPr="006D5115" w:rsidRDefault="006D5115" w:rsidP="006D5115">
      <w:pPr>
        <w:spacing w:after="0"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ab/>
      </w:r>
    </w:p>
    <w:p w:rsidR="006D5115" w:rsidRPr="006D5115" w:rsidRDefault="006D5115" w:rsidP="006D5115">
      <w:pPr>
        <w:spacing w:after="0" w:line="240" w:lineRule="auto"/>
        <w:rPr>
          <w:rFonts w:ascii="Times New Roman" w:eastAsia="Calibri" w:hAnsi="Times New Roman" w:cs="Times New Roman"/>
          <w:sz w:val="24"/>
          <w:szCs w:val="24"/>
        </w:rPr>
      </w:pPr>
    </w:p>
    <w:p w:rsidR="006D5115" w:rsidRPr="006D5115" w:rsidRDefault="006D5115" w:rsidP="006D5115">
      <w:pPr>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br w:type="page"/>
      </w:r>
    </w:p>
    <w:p w:rsidR="006D5115" w:rsidRPr="006D5115" w:rsidRDefault="006D5115" w:rsidP="006D5115">
      <w:pPr>
        <w:spacing w:after="0" w:line="240" w:lineRule="auto"/>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21, 2014</w:t>
      </w:r>
    </w:p>
    <w:p w:rsidR="006D5115" w:rsidRPr="006D5115" w:rsidRDefault="006D5115" w:rsidP="006D5115">
      <w:pPr>
        <w:spacing w:after="0" w:line="240" w:lineRule="auto"/>
        <w:jc w:val="center"/>
        <w:rPr>
          <w:rFonts w:ascii="Times New Roman" w:eastAsia="Times New Roman" w:hAnsi="Times New Roman" w:cs="Times New Roman"/>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Department of Sociology</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roofErr w:type="spellStart"/>
      <w:r w:rsidRPr="006D5115">
        <w:rPr>
          <w:rFonts w:ascii="Times New Roman" w:eastAsia="Times New Roman" w:hAnsi="Times New Roman" w:cs="Times New Roman"/>
          <w:b/>
          <w:sz w:val="24"/>
          <w:szCs w:val="24"/>
        </w:rPr>
        <w:t>Corequisites</w:t>
      </w:r>
      <w:proofErr w:type="spellEnd"/>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6" w:history="1">
        <w:r w:rsidRPr="006D5115">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7"/>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CRIM 330</w:t>
      </w:r>
    </w:p>
    <w:p w:rsidR="006D5115" w:rsidRPr="006D5115" w:rsidRDefault="006D5115" w:rsidP="006D5115">
      <w:pPr>
        <w:numPr>
          <w:ilvl w:val="1"/>
          <w:numId w:val="7"/>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Criminology</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 SOCL 100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SOCL 100 OR CRIM 231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The Department of Sociology has recently created a new major in criminology. Therefore, the inclusion of the introductory course to the major (CRIM 231: Introduction to Criminal Justice) as a prerequisite for this course is deemed necessary by the department.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2"/>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rFonts w:eastAsia="Calibri"/>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p>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w:t>
      </w:r>
    </w:p>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w:t>
      </w:r>
    </w:p>
    <w:p w:rsidR="006D5115" w:rsidRPr="006D5115" w:rsidRDefault="006D5115" w:rsidP="006D5115">
      <w:pPr>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br w:type="page"/>
      </w:r>
    </w:p>
    <w:p w:rsidR="006D5115" w:rsidRPr="006D5115" w:rsidRDefault="006D5115" w:rsidP="006D5115">
      <w:pPr>
        <w:spacing w:after="0" w:line="240" w:lineRule="auto"/>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21, 2014</w:t>
      </w:r>
    </w:p>
    <w:p w:rsidR="006D5115" w:rsidRPr="006D5115" w:rsidRDefault="006D5115" w:rsidP="006D5115">
      <w:pPr>
        <w:spacing w:after="0" w:line="240" w:lineRule="auto"/>
        <w:jc w:val="right"/>
        <w:rPr>
          <w:rFonts w:ascii="Times New Roman" w:eastAsia="Times New Roman" w:hAnsi="Times New Roman" w:cs="Times New Roman"/>
          <w:b/>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Department of Sociology</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roofErr w:type="spellStart"/>
      <w:r w:rsidRPr="006D5115">
        <w:rPr>
          <w:rFonts w:ascii="Times New Roman" w:eastAsia="Times New Roman" w:hAnsi="Times New Roman" w:cs="Times New Roman"/>
          <w:b/>
          <w:sz w:val="24"/>
          <w:szCs w:val="24"/>
        </w:rPr>
        <w:t>Corequisites</w:t>
      </w:r>
      <w:proofErr w:type="spellEnd"/>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 xml:space="preserve"> (Consent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7" w:history="1">
        <w:r w:rsidRPr="006D5115">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8"/>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CRIM 332</w:t>
      </w:r>
    </w:p>
    <w:p w:rsidR="006D5115" w:rsidRPr="006D5115" w:rsidRDefault="006D5115" w:rsidP="006D5115">
      <w:pPr>
        <w:numPr>
          <w:ilvl w:val="1"/>
          <w:numId w:val="8"/>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Juvenile Delinquency</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 SOCL 100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SOCL 100 OR CRIM 231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The Department of Sociology has recently created a new major in criminology. Therefore, the inclusion of the introductory course to the major (CRIM 231: Introduction to Criminal Justice) as a prerequisite for this course is deemed necessary by the department.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3"/>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rFonts w:eastAsia="Calibri"/>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p>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w:t>
      </w:r>
    </w:p>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w:t>
      </w: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21, 2014</w:t>
      </w:r>
    </w:p>
    <w:p w:rsidR="006D5115" w:rsidRPr="006D5115" w:rsidRDefault="006D5115" w:rsidP="006D5115">
      <w:pPr>
        <w:spacing w:after="0" w:line="240" w:lineRule="auto"/>
        <w:jc w:val="right"/>
        <w:rPr>
          <w:rFonts w:ascii="Times New Roman" w:eastAsia="Times New Roman" w:hAnsi="Times New Roman" w:cs="Times New Roman"/>
          <w:b/>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Department of Sociology</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roofErr w:type="spellStart"/>
      <w:r w:rsidRPr="006D5115">
        <w:rPr>
          <w:rFonts w:ascii="Times New Roman" w:eastAsia="Times New Roman" w:hAnsi="Times New Roman" w:cs="Times New Roman"/>
          <w:b/>
          <w:sz w:val="24"/>
          <w:szCs w:val="24"/>
        </w:rPr>
        <w:t>Corequisites</w:t>
      </w:r>
      <w:proofErr w:type="spellEnd"/>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 xml:space="preserve"> (Consent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8" w:history="1">
        <w:r w:rsidRPr="006D5115">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9"/>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CRIM 361</w:t>
      </w:r>
    </w:p>
    <w:p w:rsidR="006D5115" w:rsidRPr="006D5115" w:rsidRDefault="006D5115" w:rsidP="006D5115">
      <w:pPr>
        <w:numPr>
          <w:ilvl w:val="1"/>
          <w:numId w:val="9"/>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Race, Class, and Crime</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 SOCL 100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SOCL 100 OR CRIM 231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The Department of Sociology has recently created a new major in criminology. Therefore, the inclusion of the introductory course to the major (CRIM 231: Introduction to Criminal Justice) as a prerequisite for this course is deemed necessary by the department.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4"/>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rFonts w:eastAsia="Calibri"/>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br w:type="page"/>
      </w:r>
    </w:p>
    <w:p w:rsidR="000850AD" w:rsidRDefault="000850AD" w:rsidP="000850AD">
      <w:pPr>
        <w:spacing w:after="0" w:line="240" w:lineRule="auto"/>
        <w:jc w:val="right"/>
        <w:rPr>
          <w:rFonts w:ascii="Times New Roman" w:eastAsia="Times New Roman" w:hAnsi="Times New Roman" w:cs="Times New Roman"/>
          <w:b/>
          <w:sz w:val="24"/>
          <w:szCs w:val="24"/>
        </w:rPr>
      </w:pPr>
      <w:r w:rsidRPr="006D5115">
        <w:rPr>
          <w:rFonts w:ascii="Times New Roman" w:eastAsia="Times New Roman" w:hAnsi="Times New Roman" w:cs="Times New Roman"/>
          <w:sz w:val="24"/>
          <w:szCs w:val="24"/>
        </w:rPr>
        <w:lastRenderedPageBreak/>
        <w:t>Proposal Date: March 21, 2014</w:t>
      </w:r>
    </w:p>
    <w:p w:rsidR="000850AD" w:rsidRDefault="000850AD" w:rsidP="006D5115">
      <w:pPr>
        <w:spacing w:after="0" w:line="240" w:lineRule="auto"/>
        <w:jc w:val="center"/>
        <w:rPr>
          <w:rFonts w:ascii="Times New Roman" w:eastAsia="Times New Roman" w:hAnsi="Times New Roman" w:cs="Times New Roman"/>
          <w:b/>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Sociology Department</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9" w:history="1">
        <w:r w:rsidRPr="000850AD">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0"/>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CRIM 432</w:t>
      </w:r>
    </w:p>
    <w:p w:rsidR="006D5115" w:rsidRPr="006D5115" w:rsidRDefault="006D5115" w:rsidP="006D5115">
      <w:pPr>
        <w:numPr>
          <w:ilvl w:val="1"/>
          <w:numId w:val="10"/>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Sociology of Criminal Law</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 SOCL 330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6 hours of CRIM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0850AD">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The above listed change in prerequisites is being proposed to allow students majoring in criminology more freedom to select elective courses. By requiring 6 hours of any criminology courses, students can enroll in this elective prior to completing the courses within the major’s core.</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5"/>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A52CB2" w:rsidRPr="000850AD" w:rsidRDefault="00A52CB2">
      <w:pPr>
        <w:rPr>
          <w:rFonts w:ascii="Times New Roman" w:hAnsi="Times New Roman" w:cs="Times New Roman"/>
          <w:sz w:val="24"/>
          <w:szCs w:val="24"/>
        </w:rPr>
      </w:pPr>
    </w:p>
    <w:p w:rsidR="000850AD" w:rsidRDefault="00A52CB2" w:rsidP="000850AD">
      <w:pPr>
        <w:spacing w:after="0"/>
        <w:jc w:val="center"/>
        <w:rPr>
          <w:rFonts w:ascii="Times New Roman" w:hAnsi="Times New Roman" w:cs="Times New Roman"/>
          <w:sz w:val="24"/>
          <w:szCs w:val="24"/>
        </w:rPr>
      </w:pPr>
      <w:r w:rsidRPr="000850AD">
        <w:rPr>
          <w:rFonts w:ascii="Times New Roman" w:hAnsi="Times New Roman" w:cs="Times New Roman"/>
          <w:sz w:val="24"/>
          <w:szCs w:val="24"/>
        </w:rPr>
        <w:br w:type="page"/>
      </w:r>
    </w:p>
    <w:p w:rsidR="000850AD" w:rsidRDefault="000850AD" w:rsidP="000850AD">
      <w:pPr>
        <w:spacing w:after="0"/>
        <w:jc w:val="right"/>
        <w:rPr>
          <w:rFonts w:ascii="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21, 2014</w:t>
      </w:r>
    </w:p>
    <w:p w:rsidR="000850AD" w:rsidRDefault="000850AD" w:rsidP="000850AD">
      <w:pPr>
        <w:spacing w:after="0"/>
        <w:jc w:val="center"/>
        <w:rPr>
          <w:rFonts w:ascii="Times New Roman" w:eastAsia="Times New Roman" w:hAnsi="Times New Roman" w:cs="Times New Roman"/>
          <w:b/>
          <w:sz w:val="24"/>
          <w:szCs w:val="24"/>
        </w:rPr>
      </w:pPr>
    </w:p>
    <w:p w:rsidR="006D5115" w:rsidRPr="000850AD" w:rsidRDefault="006D5115" w:rsidP="000850AD">
      <w:pPr>
        <w:spacing w:after="0"/>
        <w:jc w:val="center"/>
        <w:rPr>
          <w:rFonts w:ascii="Times New Roman" w:eastAsia="Times New Roman" w:hAnsi="Times New Roman" w:cs="Times New Roman"/>
          <w:b/>
          <w:sz w:val="24"/>
          <w:szCs w:val="24"/>
        </w:rPr>
      </w:pPr>
      <w:r w:rsidRPr="000850AD">
        <w:rPr>
          <w:rFonts w:ascii="Times New Roman" w:eastAsia="Times New Roman" w:hAnsi="Times New Roman" w:cs="Times New Roman"/>
          <w:b/>
          <w:sz w:val="24"/>
          <w:szCs w:val="24"/>
        </w:rPr>
        <w:t>Potter College of Arts &amp; Letters</w:t>
      </w:r>
    </w:p>
    <w:p w:rsidR="006D5115" w:rsidRPr="006D5115" w:rsidRDefault="006D5115" w:rsidP="000850AD">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Sociology Department</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10" w:history="1">
        <w:r w:rsidRPr="000850AD">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1"/>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CRIM 434</w:t>
      </w:r>
    </w:p>
    <w:p w:rsidR="006D5115" w:rsidRPr="006D5115" w:rsidRDefault="006D5115" w:rsidP="006D5115">
      <w:pPr>
        <w:numPr>
          <w:ilvl w:val="1"/>
          <w:numId w:val="11"/>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Organized Crime</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 junior level standing or 6 hours of sociology or permission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6 hours of CRIM or 6 hours of SOCL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0850AD">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Due to the creation of a new major in criminology, the prerequisites for this course are being changed to include 6 hours of courses in criminology, as opposed to requiring 6 hours of sociology courses. This change, as well as the elimination of junior level standing as a prerequisite, will make this course more accessible to students in the department majoring in either sociology or criminology. </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6"/>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0850AD" w:rsidRDefault="000850AD" w:rsidP="000850AD">
      <w:pPr>
        <w:jc w:val="right"/>
        <w:rPr>
          <w:rFonts w:ascii="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21, 2014</w:t>
      </w: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Sociology Department</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11" w:history="1">
        <w:r w:rsidRPr="000850AD">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2"/>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CRIM 437</w:t>
      </w:r>
      <w:r w:rsidRPr="006D5115">
        <w:rPr>
          <w:rFonts w:ascii="Times New Roman" w:eastAsia="Times New Roman" w:hAnsi="Times New Roman" w:cs="Times New Roman"/>
          <w:sz w:val="24"/>
          <w:szCs w:val="24"/>
        </w:rPr>
        <w:tab/>
      </w:r>
      <w:r w:rsidRPr="006D5115">
        <w:rPr>
          <w:rFonts w:ascii="Times New Roman" w:eastAsia="Times New Roman" w:hAnsi="Times New Roman" w:cs="Times New Roman"/>
          <w:sz w:val="24"/>
          <w:szCs w:val="24"/>
        </w:rPr>
        <w:tab/>
      </w:r>
    </w:p>
    <w:p w:rsidR="006D5115" w:rsidRPr="006D5115" w:rsidRDefault="006D5115" w:rsidP="006D5115">
      <w:pPr>
        <w:numPr>
          <w:ilvl w:val="1"/>
          <w:numId w:val="12"/>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The Death Penalty in America</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 xml:space="preserve">Current prerequisites: 6 hours of sociology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6 hours of CRIM or 6 hours of SOCL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0850AD">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Due to the creation of a new major in criminology, the prerequisites for this course are being changed to include 6 hours of courses in criminology, as opposed to requiring 6 hours of sociology courses. This change will make this course more accessible to students in the department majoring in either sociology or criminology. </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7"/>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0850AD" w:rsidRDefault="006D5115">
      <w:pPr>
        <w:rPr>
          <w:rFonts w:ascii="Times New Roman" w:hAnsi="Times New Roman" w:cs="Times New Roman"/>
          <w:sz w:val="24"/>
          <w:szCs w:val="24"/>
        </w:rPr>
      </w:pPr>
      <w:r w:rsidRPr="000850AD">
        <w:rPr>
          <w:rFonts w:ascii="Times New Roman" w:hAnsi="Times New Roman" w:cs="Times New Roman"/>
          <w:sz w:val="24"/>
          <w:szCs w:val="24"/>
        </w:rPr>
        <w:br w:type="page"/>
      </w:r>
    </w:p>
    <w:p w:rsidR="006D5115" w:rsidRDefault="000850AD" w:rsidP="000850AD">
      <w:pPr>
        <w:spacing w:after="0" w:line="240" w:lineRule="auto"/>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21, 2014</w:t>
      </w:r>
    </w:p>
    <w:p w:rsidR="000850AD" w:rsidRPr="006D5115" w:rsidRDefault="000850AD" w:rsidP="000850AD">
      <w:pPr>
        <w:spacing w:after="0" w:line="240" w:lineRule="auto"/>
        <w:jc w:val="right"/>
        <w:rPr>
          <w:rFonts w:ascii="Times New Roman" w:eastAsia="Times New Roman" w:hAnsi="Times New Roman" w:cs="Times New Roman"/>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Sociology Department</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12" w:history="1">
        <w:r w:rsidRPr="000850AD">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3"/>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CRIM 446</w:t>
      </w:r>
      <w:r w:rsidRPr="006D5115">
        <w:rPr>
          <w:rFonts w:ascii="Times New Roman" w:eastAsia="Times New Roman" w:hAnsi="Times New Roman" w:cs="Times New Roman"/>
          <w:sz w:val="24"/>
          <w:szCs w:val="24"/>
        </w:rPr>
        <w:tab/>
      </w:r>
    </w:p>
    <w:p w:rsidR="006D5115" w:rsidRPr="006D5115" w:rsidRDefault="006D5115" w:rsidP="006D5115">
      <w:pPr>
        <w:numPr>
          <w:ilvl w:val="1"/>
          <w:numId w:val="13"/>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Gender, Crime, and Justice</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 xml:space="preserve">Current prerequisites: 6 hours of sociology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6 hours of CRIM or 6 hours of SOCL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0850AD">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Due to the creation of a new major in criminology, the prerequisites for this course are being changed to include 6 hours of courses in criminology, as opposed to requiring 6 hours of sociology courses. This change will make this course more accessible to students in the department majoring in either sociology or criminology. </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8"/>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rFonts w:eastAsia="Calibri"/>
                <w:b/>
                <w:sz w:val="24"/>
                <w:szCs w:val="24"/>
                <w:u w:val="single"/>
              </w:rPr>
            </w:pPr>
            <w:r>
              <w:rPr>
                <w:rFonts w:eastAsia="Calibri"/>
                <w:b/>
                <w:sz w:val="24"/>
                <w:szCs w:val="24"/>
                <w:u w:val="single"/>
              </w:rPr>
              <w:t>N/A</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0850AD" w:rsidRDefault="006D5115">
      <w:pPr>
        <w:rPr>
          <w:rFonts w:ascii="Times New Roman" w:hAnsi="Times New Roman" w:cs="Times New Roman"/>
          <w:sz w:val="24"/>
          <w:szCs w:val="24"/>
        </w:rPr>
      </w:pPr>
      <w:r w:rsidRPr="000850AD">
        <w:rPr>
          <w:rFonts w:ascii="Times New Roman" w:hAnsi="Times New Roman" w:cs="Times New Roman"/>
          <w:sz w:val="24"/>
          <w:szCs w:val="24"/>
        </w:rPr>
        <w:br w:type="page"/>
      </w:r>
    </w:p>
    <w:p w:rsidR="006D5115" w:rsidRPr="006D5115" w:rsidRDefault="006D5115" w:rsidP="006D5115">
      <w:pPr>
        <w:spacing w:after="0" w:line="240" w:lineRule="auto"/>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17, 2014</w:t>
      </w:r>
    </w:p>
    <w:p w:rsidR="006D5115" w:rsidRPr="006D5115" w:rsidRDefault="006D5115" w:rsidP="006D5115">
      <w:pPr>
        <w:spacing w:after="0" w:line="240" w:lineRule="auto"/>
        <w:jc w:val="center"/>
        <w:rPr>
          <w:rFonts w:ascii="Times New Roman" w:eastAsia="Times New Roman" w:hAnsi="Times New Roman" w:cs="Times New Roman"/>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Department of Sociology</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roofErr w:type="spellStart"/>
      <w:r w:rsidRPr="006D5115">
        <w:rPr>
          <w:rFonts w:ascii="Times New Roman" w:eastAsia="Times New Roman" w:hAnsi="Times New Roman" w:cs="Times New Roman"/>
          <w:b/>
          <w:sz w:val="24"/>
          <w:szCs w:val="24"/>
        </w:rPr>
        <w:t>Corequisites</w:t>
      </w:r>
      <w:proofErr w:type="spellEnd"/>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Holli Drummond, </w:t>
      </w:r>
      <w:hyperlink r:id="rId13" w:history="1">
        <w:r w:rsidRPr="006D5115">
          <w:rPr>
            <w:rFonts w:ascii="Times New Roman" w:eastAsia="Times New Roman" w:hAnsi="Times New Roman" w:cs="Times New Roman"/>
            <w:color w:val="0000FF" w:themeColor="hyperlink"/>
            <w:sz w:val="24"/>
            <w:szCs w:val="24"/>
            <w:u w:val="single"/>
          </w:rPr>
          <w:t>holli.drummond@wku.edu</w:t>
        </w:r>
      </w:hyperlink>
      <w:r w:rsidRPr="006D5115">
        <w:rPr>
          <w:rFonts w:ascii="Times New Roman" w:eastAsia="Times New Roman" w:hAnsi="Times New Roman" w:cs="Times New Roman"/>
          <w:sz w:val="24"/>
          <w:szCs w:val="24"/>
        </w:rPr>
        <w:t>, 270-745-2259</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4"/>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SOCL 322</w:t>
      </w:r>
    </w:p>
    <w:p w:rsidR="006D5115" w:rsidRPr="006D5115" w:rsidRDefault="006D5115" w:rsidP="006D5115">
      <w:pPr>
        <w:numPr>
          <w:ilvl w:val="1"/>
          <w:numId w:val="14"/>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Religion in Society</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r w:rsidRPr="006D5115">
        <w:rPr>
          <w:rFonts w:ascii="Times New Roman" w:eastAsia="Times New Roman" w:hAnsi="Times New Roman" w:cs="Times New Roman"/>
          <w:sz w:val="24"/>
          <w:szCs w:val="24"/>
        </w:rPr>
        <w:t>Six hours of Sociology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r w:rsidRPr="006D5115">
        <w:rPr>
          <w:rFonts w:ascii="Times New Roman" w:eastAsia="Times New Roman" w:hAnsi="Times New Roman" w:cs="Times New Roman"/>
          <w:sz w:val="24"/>
          <w:szCs w:val="24"/>
        </w:rPr>
        <w:t xml:space="preserve">  SOCL 100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The course requires no more specific knowledge than any other sociology 300 or 400 level course, most of which only require basic exposure to the sociological perspective acquired in the introductory course (SOCL 100).</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This change is expected to have no impact as the introductory course is already a core requirement for our majors.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 xml:space="preserve">Proposed term for implementation: </w:t>
      </w:r>
      <w:r w:rsidRPr="006D5115">
        <w:rPr>
          <w:rFonts w:ascii="Times New Roman" w:eastAsia="Times New Roman" w:hAnsi="Times New Roman" w:cs="Times New Roman"/>
          <w:sz w:val="24"/>
          <w:szCs w:val="24"/>
        </w:rPr>
        <w:t>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10"/>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19,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trike/>
                <w:sz w:val="24"/>
                <w:szCs w:val="24"/>
              </w:rPr>
            </w:pPr>
            <w:r w:rsidRPr="006D5115">
              <w:rPr>
                <w:strike/>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trike/>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trike/>
                <w:sz w:val="24"/>
                <w:szCs w:val="24"/>
              </w:rPr>
            </w:pPr>
            <w:r w:rsidRPr="006D5115">
              <w:rPr>
                <w:strike/>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rFonts w:eastAsia="Calibri"/>
                <w:b/>
                <w:strike/>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p>
    <w:p w:rsidR="006D5115" w:rsidRPr="006D5115" w:rsidRDefault="006D5115" w:rsidP="006D5115">
      <w:pPr>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br w:type="page"/>
      </w:r>
    </w:p>
    <w:p w:rsidR="006D5115" w:rsidRPr="006D5115" w:rsidRDefault="006D5115" w:rsidP="006D5115">
      <w:pPr>
        <w:spacing w:after="0" w:line="240" w:lineRule="auto"/>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12, 2014</w:t>
      </w:r>
    </w:p>
    <w:p w:rsidR="006D5115" w:rsidRPr="006D5115" w:rsidRDefault="006D5115" w:rsidP="006D5115">
      <w:pPr>
        <w:spacing w:after="0" w:line="240" w:lineRule="auto"/>
        <w:jc w:val="center"/>
        <w:rPr>
          <w:rFonts w:ascii="Times New Roman" w:eastAsia="Times New Roman" w:hAnsi="Times New Roman" w:cs="Times New Roman"/>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Department of Sociology</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roofErr w:type="spellStart"/>
      <w:r w:rsidRPr="006D5115">
        <w:rPr>
          <w:rFonts w:ascii="Times New Roman" w:eastAsia="Times New Roman" w:hAnsi="Times New Roman" w:cs="Times New Roman"/>
          <w:b/>
          <w:sz w:val="24"/>
          <w:szCs w:val="24"/>
        </w:rPr>
        <w:t>Corequisites</w:t>
      </w:r>
      <w:proofErr w:type="spellEnd"/>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Nicole </w:t>
      </w:r>
      <w:proofErr w:type="spellStart"/>
      <w:r w:rsidRPr="006D5115">
        <w:rPr>
          <w:rFonts w:ascii="Times New Roman" w:eastAsia="Times New Roman" w:hAnsi="Times New Roman" w:cs="Times New Roman"/>
          <w:sz w:val="24"/>
          <w:szCs w:val="24"/>
        </w:rPr>
        <w:t>Breazeale</w:t>
      </w:r>
      <w:proofErr w:type="spellEnd"/>
      <w:r w:rsidRPr="006D5115">
        <w:rPr>
          <w:rFonts w:ascii="Times New Roman" w:eastAsia="Times New Roman" w:hAnsi="Times New Roman" w:cs="Times New Roman"/>
          <w:sz w:val="24"/>
          <w:szCs w:val="24"/>
        </w:rPr>
        <w:t xml:space="preserve">, </w:t>
      </w:r>
      <w:hyperlink r:id="rId14" w:history="1">
        <w:r w:rsidRPr="006D5115">
          <w:rPr>
            <w:rFonts w:ascii="Times New Roman" w:eastAsia="Times New Roman" w:hAnsi="Times New Roman" w:cs="Times New Roman"/>
            <w:color w:val="0000FF" w:themeColor="hyperlink"/>
            <w:sz w:val="24"/>
            <w:szCs w:val="24"/>
            <w:u w:val="single"/>
          </w:rPr>
          <w:t>Nicole.breazeale@wku.edu</w:t>
        </w:r>
      </w:hyperlink>
      <w:r w:rsidRPr="006D5115">
        <w:rPr>
          <w:rFonts w:ascii="Times New Roman" w:eastAsia="Times New Roman" w:hAnsi="Times New Roman" w:cs="Times New Roman"/>
          <w:sz w:val="24"/>
          <w:szCs w:val="24"/>
        </w:rPr>
        <w:t>, 270-659-6982</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5"/>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SOCL 350</w:t>
      </w:r>
    </w:p>
    <w:p w:rsidR="006D5115" w:rsidRPr="006D5115" w:rsidRDefault="006D5115" w:rsidP="006D5115">
      <w:pPr>
        <w:numPr>
          <w:ilvl w:val="1"/>
          <w:numId w:val="15"/>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Systems of Social Inequality</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r w:rsidRPr="006D5115">
        <w:rPr>
          <w:rFonts w:ascii="Times New Roman" w:eastAsia="Times New Roman" w:hAnsi="Times New Roman" w:cs="Times New Roman"/>
          <w:sz w:val="24"/>
          <w:szCs w:val="24"/>
        </w:rPr>
        <w:t>6 hours of Sociology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r w:rsidRPr="006D5115">
        <w:rPr>
          <w:rFonts w:ascii="Times New Roman" w:eastAsia="Times New Roman" w:hAnsi="Times New Roman" w:cs="Times New Roman"/>
          <w:sz w:val="24"/>
          <w:szCs w:val="24"/>
        </w:rPr>
        <w:t>SOCL 100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r w:rsidRPr="006D5115">
        <w:rPr>
          <w:rFonts w:ascii="Times New Roman" w:eastAsia="Times New Roman" w:hAnsi="Times New Roman" w:cs="Times New Roman"/>
          <w:sz w:val="24"/>
          <w:szCs w:val="24"/>
        </w:rPr>
        <w:t>The course requires no more specific knowledge than any other sociology 300 or 400 level course, most of which only require basic exposure to the sociological perspective acquired in the introductory course (SOCL 100).</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Not applicable</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 xml:space="preserve">Proposed term for implementation: </w:t>
      </w:r>
      <w:r w:rsidRPr="006D5115">
        <w:rPr>
          <w:rFonts w:ascii="Times New Roman" w:eastAsia="Times New Roman" w:hAnsi="Times New Roman" w:cs="Times New Roman"/>
          <w:sz w:val="24"/>
          <w:szCs w:val="24"/>
        </w:rPr>
        <w:t>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11"/>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19,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trike/>
                <w:sz w:val="24"/>
                <w:szCs w:val="24"/>
              </w:rPr>
            </w:pPr>
            <w:r w:rsidRPr="006D5115">
              <w:rPr>
                <w:strike/>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trike/>
                <w:sz w:val="24"/>
                <w:szCs w:val="24"/>
              </w:rPr>
            </w:pPr>
            <w:r w:rsidRPr="006D5115">
              <w:rPr>
                <w:strike/>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rFonts w:eastAsia="Calibri"/>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w:t>
      </w:r>
    </w:p>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w:t>
      </w:r>
    </w:p>
    <w:p w:rsidR="006D5115" w:rsidRPr="006D5115" w:rsidRDefault="006D5115" w:rsidP="006D5115">
      <w:pPr>
        <w:spacing w:after="0" w:line="240" w:lineRule="auto"/>
        <w:jc w:val="righ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lastRenderedPageBreak/>
        <w:t>Proposal Date:  March 17, 2014</w:t>
      </w:r>
    </w:p>
    <w:p w:rsidR="006D5115" w:rsidRPr="006D5115" w:rsidRDefault="006D5115" w:rsidP="006D5115">
      <w:pPr>
        <w:spacing w:after="0" w:line="240" w:lineRule="auto"/>
        <w:jc w:val="center"/>
        <w:rPr>
          <w:rFonts w:ascii="Times New Roman" w:eastAsia="Times New Roman" w:hAnsi="Times New Roman" w:cs="Times New Roman"/>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Department of Sociology</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roofErr w:type="spellStart"/>
      <w:r w:rsidRPr="006D5115">
        <w:rPr>
          <w:rFonts w:ascii="Times New Roman" w:eastAsia="Times New Roman" w:hAnsi="Times New Roman" w:cs="Times New Roman"/>
          <w:b/>
          <w:sz w:val="24"/>
          <w:szCs w:val="24"/>
        </w:rPr>
        <w:t>Corequisites</w:t>
      </w:r>
      <w:proofErr w:type="spellEnd"/>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Holli Drummond, </w:t>
      </w:r>
      <w:hyperlink r:id="rId15" w:history="1">
        <w:r w:rsidRPr="006D5115">
          <w:rPr>
            <w:rFonts w:ascii="Times New Roman" w:eastAsia="Times New Roman" w:hAnsi="Times New Roman" w:cs="Times New Roman"/>
            <w:color w:val="0000FF" w:themeColor="hyperlink"/>
            <w:sz w:val="24"/>
            <w:szCs w:val="24"/>
            <w:u w:val="single"/>
          </w:rPr>
          <w:t>holli.drummond@wku.edu</w:t>
        </w:r>
      </w:hyperlink>
      <w:r w:rsidRPr="006D5115">
        <w:rPr>
          <w:rFonts w:ascii="Times New Roman" w:eastAsia="Times New Roman" w:hAnsi="Times New Roman" w:cs="Times New Roman"/>
          <w:sz w:val="24"/>
          <w:szCs w:val="24"/>
        </w:rPr>
        <w:t>, 270-745-2259</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6"/>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SOCL 362</w:t>
      </w:r>
    </w:p>
    <w:p w:rsidR="006D5115" w:rsidRPr="006D5115" w:rsidRDefault="006D5115" w:rsidP="006D5115">
      <w:pPr>
        <w:numPr>
          <w:ilvl w:val="1"/>
          <w:numId w:val="16"/>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Social Institutions:  Race, Class, and Gender</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Current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r w:rsidRPr="006D5115">
        <w:rPr>
          <w:rFonts w:ascii="Times New Roman" w:eastAsia="Times New Roman" w:hAnsi="Times New Roman" w:cs="Times New Roman"/>
          <w:sz w:val="24"/>
          <w:szCs w:val="24"/>
        </w:rPr>
        <w:t>Junior level standing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ind w:left="720" w:hanging="720"/>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r w:rsidRPr="006D5115">
        <w:rPr>
          <w:rFonts w:ascii="Times New Roman" w:eastAsia="Times New Roman" w:hAnsi="Times New Roman" w:cs="Times New Roman"/>
          <w:sz w:val="24"/>
          <w:szCs w:val="24"/>
        </w:rPr>
        <w:t xml:space="preserve">  SOCL 100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roofErr w:type="spellStart"/>
      <w:r w:rsidRPr="006D5115">
        <w:rPr>
          <w:rFonts w:ascii="Times New Roman" w:eastAsia="Times New Roman" w:hAnsi="Times New Roman" w:cs="Times New Roman"/>
          <w:b/>
          <w:sz w:val="24"/>
          <w:szCs w:val="24"/>
        </w:rPr>
        <w:t>corequisites</w:t>
      </w:r>
      <w:proofErr w:type="spellEnd"/>
      <w:r w:rsidRPr="006D5115">
        <w:rPr>
          <w:rFonts w:ascii="Times New Roman" w:eastAsia="Times New Roman" w:hAnsi="Times New Roman" w:cs="Times New Roman"/>
          <w:b/>
          <w:sz w:val="24"/>
          <w:szCs w:val="24"/>
        </w:rPr>
        <w:t xml:space="preserve">/special requirements:  </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The course requires no more specific knowledge than any other sociology 300 or 400 level course, most of which only require basic exposure to the sociological perspective acquired in the introductory course (SOCL 100).</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p>
    <w:p w:rsidR="006D5115" w:rsidRPr="006D5115" w:rsidRDefault="006D5115" w:rsidP="006D5115">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This change is expected to have no impact as the introductory course is already a core requirement for our majors.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 xml:space="preserve">Proposed term for implementation:  </w:t>
      </w:r>
      <w:r w:rsidRPr="006D5115">
        <w:rPr>
          <w:rFonts w:ascii="Times New Roman" w:eastAsia="Times New Roman" w:hAnsi="Times New Roman" w:cs="Times New Roman"/>
          <w:sz w:val="24"/>
          <w:szCs w:val="24"/>
        </w:rPr>
        <w:t>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12"/>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19,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trike/>
                <w:sz w:val="24"/>
                <w:szCs w:val="24"/>
              </w:rPr>
            </w:pPr>
            <w:r w:rsidRPr="006D5115">
              <w:rPr>
                <w:strike/>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trike/>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trike/>
                <w:sz w:val="24"/>
                <w:szCs w:val="24"/>
              </w:rPr>
            </w:pPr>
            <w:r w:rsidRPr="006D5115">
              <w:rPr>
                <w:strike/>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rFonts w:eastAsia="Calibri"/>
                <w:b/>
                <w:strike/>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before="100" w:beforeAutospacing="1" w:after="100" w:afterAutospacing="1" w:line="240" w:lineRule="auto"/>
        <w:rPr>
          <w:rFonts w:ascii="Times New Roman" w:eastAsia="Times New Roman" w:hAnsi="Times New Roman" w:cs="Times New Roman"/>
          <w:sz w:val="24"/>
          <w:szCs w:val="24"/>
        </w:rPr>
      </w:pPr>
    </w:p>
    <w:p w:rsidR="006D5115" w:rsidRPr="000850AD" w:rsidRDefault="006D5115">
      <w:pPr>
        <w:rPr>
          <w:rFonts w:ascii="Times New Roman" w:hAnsi="Times New Roman" w:cs="Times New Roman"/>
          <w:sz w:val="24"/>
          <w:szCs w:val="24"/>
        </w:rPr>
      </w:pPr>
      <w:r w:rsidRPr="000850AD">
        <w:rPr>
          <w:rFonts w:ascii="Times New Roman" w:hAnsi="Times New Roman" w:cs="Times New Roman"/>
          <w:sz w:val="24"/>
          <w:szCs w:val="24"/>
        </w:rPr>
        <w:br w:type="page"/>
      </w:r>
    </w:p>
    <w:p w:rsidR="000850AD" w:rsidRDefault="000850AD" w:rsidP="000850AD">
      <w:pPr>
        <w:spacing w:after="0" w:line="240" w:lineRule="auto"/>
        <w:jc w:val="right"/>
        <w:rPr>
          <w:rFonts w:ascii="Times New Roman" w:eastAsia="Times New Roman" w:hAnsi="Times New Roman" w:cs="Times New Roman"/>
          <w:b/>
          <w:sz w:val="24"/>
          <w:szCs w:val="24"/>
        </w:rPr>
      </w:pPr>
      <w:r w:rsidRPr="006D5115">
        <w:rPr>
          <w:rFonts w:ascii="Times New Roman" w:eastAsia="Times New Roman" w:hAnsi="Times New Roman" w:cs="Times New Roman"/>
          <w:sz w:val="24"/>
          <w:szCs w:val="24"/>
        </w:rPr>
        <w:lastRenderedPageBreak/>
        <w:t>Proposal Date: March 21, 2014</w:t>
      </w:r>
    </w:p>
    <w:p w:rsidR="000850AD" w:rsidRDefault="000850AD" w:rsidP="006D5115">
      <w:pPr>
        <w:spacing w:after="0" w:line="240" w:lineRule="auto"/>
        <w:jc w:val="center"/>
        <w:rPr>
          <w:rFonts w:ascii="Times New Roman" w:eastAsia="Times New Roman" w:hAnsi="Times New Roman" w:cs="Times New Roman"/>
          <w:b/>
          <w:sz w:val="24"/>
          <w:szCs w:val="24"/>
        </w:rPr>
      </w:pP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Potter College of Arts &amp; Letters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Sociology Department</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Proposal to Revise Course Prerequisites</w:t>
      </w:r>
    </w:p>
    <w:p w:rsidR="006D5115" w:rsidRPr="006D5115" w:rsidRDefault="006D5115" w:rsidP="006D5115">
      <w:pPr>
        <w:spacing w:after="0" w:line="240" w:lineRule="auto"/>
        <w:jc w:val="center"/>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(Consent Item)</w:t>
      </w:r>
    </w:p>
    <w:p w:rsidR="006D5115" w:rsidRPr="006D5115" w:rsidRDefault="006D5115" w:rsidP="006D5115">
      <w:pPr>
        <w:spacing w:after="0" w:line="240" w:lineRule="auto"/>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Contact Person:  Carrie Trojan, </w:t>
      </w:r>
      <w:hyperlink r:id="rId16" w:history="1">
        <w:r w:rsidRPr="000850AD">
          <w:rPr>
            <w:rFonts w:ascii="Times New Roman" w:eastAsia="Times New Roman" w:hAnsi="Times New Roman" w:cs="Times New Roman"/>
            <w:color w:val="0000FF"/>
            <w:sz w:val="24"/>
            <w:szCs w:val="24"/>
            <w:u w:val="single"/>
          </w:rPr>
          <w:t>carrie.trojan@wku.edu</w:t>
        </w:r>
      </w:hyperlink>
      <w:r w:rsidRPr="006D5115">
        <w:rPr>
          <w:rFonts w:ascii="Times New Roman" w:eastAsia="Times New Roman" w:hAnsi="Times New Roman" w:cs="Times New Roman"/>
          <w:sz w:val="24"/>
          <w:szCs w:val="24"/>
        </w:rPr>
        <w:t>, 270-745-2645</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1.</w:t>
      </w:r>
      <w:r w:rsidRPr="006D5115">
        <w:rPr>
          <w:rFonts w:ascii="Times New Roman" w:eastAsia="Times New Roman" w:hAnsi="Times New Roman" w:cs="Times New Roman"/>
          <w:b/>
          <w:sz w:val="24"/>
          <w:szCs w:val="24"/>
        </w:rPr>
        <w:tab/>
        <w:t>Identification of course:</w:t>
      </w:r>
    </w:p>
    <w:p w:rsidR="006D5115" w:rsidRPr="006D5115" w:rsidRDefault="006D5115" w:rsidP="006D5115">
      <w:pPr>
        <w:numPr>
          <w:ilvl w:val="1"/>
          <w:numId w:val="17"/>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prefix (subject area) and number:  SOCL 435</w:t>
      </w:r>
    </w:p>
    <w:p w:rsidR="006D5115" w:rsidRPr="006D5115" w:rsidRDefault="006D5115" w:rsidP="006D5115">
      <w:pPr>
        <w:numPr>
          <w:ilvl w:val="1"/>
          <w:numId w:val="17"/>
        </w:numPr>
        <w:spacing w:after="0" w:line="280" w:lineRule="exact"/>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Course title: Family Violence</w:t>
      </w:r>
    </w:p>
    <w:p w:rsidR="006D5115" w:rsidRPr="006D5115" w:rsidRDefault="006D5115" w:rsidP="006D5115">
      <w:pPr>
        <w:tabs>
          <w:tab w:val="left" w:pos="360"/>
        </w:tabs>
        <w:spacing w:after="0" w:line="280" w:lineRule="exact"/>
        <w:rPr>
          <w:rFonts w:ascii="Times New Roman" w:eastAsia="Times New Roman" w:hAnsi="Times New Roman" w:cs="Times New Roman"/>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2.</w:t>
      </w:r>
      <w:r w:rsidRPr="006D5115">
        <w:rPr>
          <w:rFonts w:ascii="Times New Roman" w:eastAsia="Times New Roman" w:hAnsi="Times New Roman" w:cs="Times New Roman"/>
          <w:b/>
          <w:sz w:val="24"/>
          <w:szCs w:val="24"/>
        </w:rPr>
        <w:tab/>
        <w:t xml:space="preserve">Current prerequisites: 6 hours of sociology </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3.</w:t>
      </w:r>
      <w:r w:rsidRPr="006D5115">
        <w:rPr>
          <w:rFonts w:ascii="Times New Roman" w:eastAsia="Times New Roman" w:hAnsi="Times New Roman" w:cs="Times New Roman"/>
          <w:b/>
          <w:sz w:val="24"/>
          <w:szCs w:val="24"/>
        </w:rPr>
        <w:tab/>
        <w:t>Proposed prerequisites: 6 hours of CRIM or 6 hours of SOCL or consent of instructor</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4.</w:t>
      </w:r>
      <w:r w:rsidRPr="006D5115">
        <w:rPr>
          <w:rFonts w:ascii="Times New Roman" w:eastAsia="Times New Roman" w:hAnsi="Times New Roman" w:cs="Times New Roman"/>
          <w:b/>
          <w:sz w:val="24"/>
          <w:szCs w:val="24"/>
        </w:rPr>
        <w:tab/>
        <w:t>Rationale for the revision of prerequisites:</w:t>
      </w:r>
    </w:p>
    <w:p w:rsidR="006D5115" w:rsidRPr="006D5115" w:rsidRDefault="006D5115" w:rsidP="000850AD">
      <w:pPr>
        <w:spacing w:after="0" w:line="280" w:lineRule="exact"/>
        <w:ind w:left="720"/>
        <w:rPr>
          <w:rFonts w:ascii="Times New Roman" w:eastAsia="Times New Roman" w:hAnsi="Times New Roman" w:cs="Times New Roman"/>
          <w:sz w:val="24"/>
          <w:szCs w:val="24"/>
        </w:rPr>
      </w:pPr>
      <w:r w:rsidRPr="006D5115">
        <w:rPr>
          <w:rFonts w:ascii="Times New Roman" w:eastAsia="Times New Roman" w:hAnsi="Times New Roman" w:cs="Times New Roman"/>
          <w:sz w:val="24"/>
          <w:szCs w:val="24"/>
        </w:rPr>
        <w:t xml:space="preserve">Due to the creation of a new major in criminology, the prerequisites for this course are being changed to include 6 hours of courses in criminology, as opposed to requiring 6 hours of sociology courses. This change will make this course more accessible to students in the department majoring in either sociology or criminology. </w:t>
      </w:r>
    </w:p>
    <w:p w:rsidR="006D5115" w:rsidRPr="006D5115" w:rsidRDefault="006D5115" w:rsidP="006D5115">
      <w:pPr>
        <w:spacing w:after="0" w:line="280" w:lineRule="exact"/>
        <w:rPr>
          <w:rFonts w:ascii="Times New Roman" w:eastAsia="Times New Roman" w:hAnsi="Times New Roman" w:cs="Times New Roman"/>
          <w:sz w:val="24"/>
          <w:szCs w:val="24"/>
        </w:rPr>
      </w:pPr>
    </w:p>
    <w:p w:rsidR="006D5115" w:rsidRPr="006D5115" w:rsidRDefault="006D5115" w:rsidP="000850AD">
      <w:pPr>
        <w:spacing w:after="0" w:line="280" w:lineRule="exact"/>
        <w:ind w:left="720" w:hanging="720"/>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5.</w:t>
      </w:r>
      <w:r w:rsidRPr="006D5115">
        <w:rPr>
          <w:rFonts w:ascii="Times New Roman" w:eastAsia="Times New Roman" w:hAnsi="Times New Roman" w:cs="Times New Roman"/>
          <w:b/>
          <w:sz w:val="24"/>
          <w:szCs w:val="24"/>
        </w:rPr>
        <w:tab/>
        <w:t xml:space="preserve">Effect on completion of major/minor sequence: </w:t>
      </w:r>
      <w:r w:rsidRPr="006D5115">
        <w:rPr>
          <w:rFonts w:ascii="Times New Roman" w:eastAsia="Times New Roman" w:hAnsi="Times New Roman" w:cs="Times New Roman"/>
          <w:sz w:val="24"/>
          <w:szCs w:val="24"/>
        </w:rPr>
        <w:t>The proposed change will have no effect on the major or minor in criminology.</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6.</w:t>
      </w:r>
      <w:r w:rsidRPr="006D5115">
        <w:rPr>
          <w:rFonts w:ascii="Times New Roman" w:eastAsia="Times New Roman" w:hAnsi="Times New Roman" w:cs="Times New Roman"/>
          <w:b/>
          <w:sz w:val="24"/>
          <w:szCs w:val="24"/>
        </w:rPr>
        <w:tab/>
        <w:t>Proposed term for implementation: Fall 2014</w:t>
      </w:r>
    </w:p>
    <w:p w:rsidR="006D5115" w:rsidRPr="006D5115" w:rsidRDefault="006D5115" w:rsidP="006D5115">
      <w:pPr>
        <w:spacing w:after="0" w:line="280" w:lineRule="exact"/>
        <w:rPr>
          <w:rFonts w:ascii="Times New Roman" w:eastAsia="Times New Roman" w:hAnsi="Times New Roman" w:cs="Times New Roman"/>
          <w:b/>
          <w:sz w:val="24"/>
          <w:szCs w:val="24"/>
        </w:rPr>
      </w:pPr>
    </w:p>
    <w:p w:rsidR="006D5115" w:rsidRPr="006D5115" w:rsidRDefault="006D5115" w:rsidP="006D5115">
      <w:pPr>
        <w:spacing w:after="0" w:line="280" w:lineRule="exact"/>
        <w:rPr>
          <w:rFonts w:ascii="Times New Roman" w:eastAsia="Times New Roman" w:hAnsi="Times New Roman" w:cs="Times New Roman"/>
          <w:b/>
          <w:sz w:val="24"/>
          <w:szCs w:val="24"/>
        </w:rPr>
      </w:pPr>
      <w:r w:rsidRPr="006D5115">
        <w:rPr>
          <w:rFonts w:ascii="Times New Roman" w:eastAsia="Times New Roman" w:hAnsi="Times New Roman" w:cs="Times New Roman"/>
          <w:b/>
          <w:sz w:val="24"/>
          <w:szCs w:val="24"/>
        </w:rPr>
        <w:t>7.</w:t>
      </w:r>
      <w:r w:rsidRPr="006D5115">
        <w:rPr>
          <w:rFonts w:ascii="Times New Roman" w:eastAsia="Times New Roman" w:hAnsi="Times New Roman" w:cs="Times New Roman"/>
          <w:b/>
          <w:sz w:val="24"/>
          <w:szCs w:val="24"/>
        </w:rPr>
        <w:tab/>
        <w:t>Dates of prior committee approvals:</w:t>
      </w:r>
      <w:r w:rsidRPr="006D5115">
        <w:rPr>
          <w:rFonts w:ascii="Times New Roman" w:eastAsia="Times New Roman" w:hAnsi="Times New Roman" w:cs="Times New Roman"/>
          <w:b/>
          <w:sz w:val="24"/>
          <w:szCs w:val="24"/>
        </w:rPr>
        <w:br/>
      </w:r>
    </w:p>
    <w:tbl>
      <w:tblPr>
        <w:tblStyle w:val="TableGrid9"/>
        <w:tblW w:w="0" w:type="auto"/>
        <w:tblInd w:w="720" w:type="dxa"/>
        <w:tblCellMar>
          <w:left w:w="0" w:type="dxa"/>
          <w:right w:w="115" w:type="dxa"/>
        </w:tblCellMar>
        <w:tblLook w:val="04A0" w:firstRow="1" w:lastRow="0" w:firstColumn="1" w:lastColumn="0" w:noHBand="0" w:noVBand="1"/>
      </w:tblPr>
      <w:tblGrid>
        <w:gridCol w:w="5627"/>
        <w:gridCol w:w="3128"/>
      </w:tblGrid>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Department of Sociology</w:t>
            </w:r>
          </w:p>
        </w:tc>
        <w:tc>
          <w:tcPr>
            <w:tcW w:w="3128" w:type="dxa"/>
            <w:tcBorders>
              <w:top w:val="nil"/>
              <w:left w:val="nil"/>
              <w:bottom w:val="single" w:sz="4" w:space="0" w:color="auto"/>
              <w:right w:val="nil"/>
            </w:tcBorders>
            <w:vAlign w:val="center"/>
          </w:tcPr>
          <w:p w:rsidR="006D5115" w:rsidRPr="006D5115" w:rsidRDefault="006D5115" w:rsidP="006D5115">
            <w:pPr>
              <w:rPr>
                <w:b/>
                <w:sz w:val="24"/>
                <w:szCs w:val="24"/>
                <w:u w:val="single"/>
              </w:rPr>
            </w:pPr>
            <w:r w:rsidRPr="006D5115">
              <w:rPr>
                <w:b/>
                <w:sz w:val="24"/>
                <w:szCs w:val="24"/>
                <w:u w:val="single"/>
              </w:rPr>
              <w:t>March 20, 2014</w:t>
            </w: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Potter College Curriculum Committee </w:t>
            </w:r>
          </w:p>
        </w:tc>
        <w:tc>
          <w:tcPr>
            <w:tcW w:w="3128" w:type="dxa"/>
            <w:tcBorders>
              <w:top w:val="single" w:sz="4" w:space="0" w:color="auto"/>
              <w:left w:val="nil"/>
              <w:bottom w:val="single" w:sz="4" w:space="0" w:color="auto"/>
              <w:right w:val="nil"/>
            </w:tcBorders>
            <w:vAlign w:val="center"/>
          </w:tcPr>
          <w:p w:rsidR="006D5115" w:rsidRPr="006D5115" w:rsidRDefault="000850AD" w:rsidP="006D5115">
            <w:pPr>
              <w:rPr>
                <w:b/>
                <w:sz w:val="24"/>
                <w:szCs w:val="24"/>
                <w:u w:val="single"/>
              </w:rPr>
            </w:pPr>
            <w:r>
              <w:rPr>
                <w:b/>
                <w:sz w:val="24"/>
                <w:szCs w:val="24"/>
                <w:u w:val="single"/>
              </w:rPr>
              <w:t>April 3, 2014</w:t>
            </w:r>
            <w:bookmarkStart w:id="0" w:name="_GoBack"/>
            <w:bookmarkEnd w:id="0"/>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Professional Education Council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rFonts w:eastAsia="Calibri"/>
                <w:sz w:val="24"/>
                <w:szCs w:val="24"/>
              </w:rPr>
            </w:pPr>
            <w:r w:rsidRPr="006D5115">
              <w:rPr>
                <w:sz w:val="24"/>
                <w:szCs w:val="24"/>
              </w:rPr>
              <w:t>General Education Committee (if applicable)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rFonts w:eastAsia="Calibri"/>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r w:rsidR="006D5115" w:rsidRPr="006D5115" w:rsidTr="004F42B4">
        <w:trPr>
          <w:trHeight w:val="374"/>
        </w:trPr>
        <w:tc>
          <w:tcPr>
            <w:tcW w:w="5627" w:type="dxa"/>
            <w:tcBorders>
              <w:top w:val="nil"/>
              <w:left w:val="nil"/>
              <w:bottom w:val="nil"/>
              <w:right w:val="nil"/>
            </w:tcBorders>
            <w:vAlign w:val="bottom"/>
          </w:tcPr>
          <w:p w:rsidR="006D5115" w:rsidRPr="006D5115" w:rsidRDefault="006D5115" w:rsidP="006D5115">
            <w:pPr>
              <w:rPr>
                <w:sz w:val="24"/>
                <w:szCs w:val="24"/>
              </w:rPr>
            </w:pPr>
            <w:r w:rsidRPr="006D5115">
              <w:rPr>
                <w:sz w:val="24"/>
                <w:szCs w:val="24"/>
              </w:rPr>
              <w:t>University Senate</w:t>
            </w:r>
          </w:p>
        </w:tc>
        <w:tc>
          <w:tcPr>
            <w:tcW w:w="3128" w:type="dxa"/>
            <w:tcBorders>
              <w:top w:val="single" w:sz="4" w:space="0" w:color="auto"/>
              <w:left w:val="nil"/>
              <w:bottom w:val="single" w:sz="4" w:space="0" w:color="auto"/>
              <w:right w:val="nil"/>
            </w:tcBorders>
            <w:vAlign w:val="center"/>
          </w:tcPr>
          <w:p w:rsidR="006D5115" w:rsidRPr="006D5115" w:rsidRDefault="006D5115" w:rsidP="006D5115">
            <w:pPr>
              <w:rPr>
                <w:b/>
                <w:sz w:val="24"/>
                <w:szCs w:val="24"/>
                <w:u w:val="single"/>
              </w:rPr>
            </w:pPr>
          </w:p>
        </w:tc>
      </w:tr>
    </w:tbl>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6D5115" w:rsidRPr="006D5115" w:rsidRDefault="006D5115" w:rsidP="006D5115">
      <w:pPr>
        <w:spacing w:after="0" w:line="240" w:lineRule="auto"/>
        <w:rPr>
          <w:rFonts w:ascii="Times New Roman" w:eastAsia="Times New Roman" w:hAnsi="Times New Roman" w:cs="Times New Roman"/>
          <w:sz w:val="24"/>
          <w:szCs w:val="24"/>
        </w:rPr>
      </w:pPr>
    </w:p>
    <w:p w:rsidR="00A52CB2" w:rsidRPr="000850AD" w:rsidRDefault="00A52CB2">
      <w:pPr>
        <w:rPr>
          <w:rFonts w:ascii="Times New Roman" w:hAnsi="Times New Roman" w:cs="Times New Roman"/>
          <w:sz w:val="24"/>
          <w:szCs w:val="24"/>
        </w:rPr>
      </w:pPr>
    </w:p>
    <w:sectPr w:rsidR="00A52CB2" w:rsidRPr="000850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50A641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5A517D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8A078D6"/>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22750E88"/>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95A19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29B25C23"/>
    <w:multiLevelType w:val="hybridMultilevel"/>
    <w:tmpl w:val="FB408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B6773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DE912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3386586B"/>
    <w:multiLevelType w:val="hybridMultilevel"/>
    <w:tmpl w:val="B0760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5996C9E"/>
    <w:multiLevelType w:val="hybridMultilevel"/>
    <w:tmpl w:val="FB408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156CD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37FB5881"/>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4">
    <w:nsid w:val="463C36F5"/>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AF446B3"/>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BBC2D68"/>
    <w:multiLevelType w:val="multilevel"/>
    <w:tmpl w:val="696CC1A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6"/>
  </w:num>
  <w:num w:numId="3">
    <w:abstractNumId w:val="6"/>
  </w:num>
  <w:num w:numId="4">
    <w:abstractNumId w:val="10"/>
  </w:num>
  <w:num w:numId="5">
    <w:abstractNumId w:val="0"/>
  </w:num>
  <w:num w:numId="6">
    <w:abstractNumId w:val="13"/>
  </w:num>
  <w:num w:numId="7">
    <w:abstractNumId w:val="2"/>
  </w:num>
  <w:num w:numId="8">
    <w:abstractNumId w:val="1"/>
  </w:num>
  <w:num w:numId="9">
    <w:abstractNumId w:val="5"/>
  </w:num>
  <w:num w:numId="10">
    <w:abstractNumId w:val="7"/>
  </w:num>
  <w:num w:numId="11">
    <w:abstractNumId w:val="11"/>
  </w:num>
  <w:num w:numId="12">
    <w:abstractNumId w:val="14"/>
  </w:num>
  <w:num w:numId="13">
    <w:abstractNumId w:val="4"/>
  </w:num>
  <w:num w:numId="14">
    <w:abstractNumId w:val="3"/>
  </w:num>
  <w:num w:numId="15">
    <w:abstractNumId w:val="8"/>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A0"/>
    <w:rsid w:val="000850AD"/>
    <w:rsid w:val="005960A0"/>
    <w:rsid w:val="006D5115"/>
    <w:rsid w:val="008A6A77"/>
    <w:rsid w:val="00A52CB2"/>
    <w:rsid w:val="00AF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CB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CB2"/>
    <w:rPr>
      <w:color w:val="0000FF" w:themeColor="hyperlink"/>
      <w:u w:val="single"/>
    </w:rPr>
  </w:style>
  <w:style w:type="table" w:customStyle="1" w:styleId="TableGrid1">
    <w:name w:val="Table Grid1"/>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CB2"/>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52CB2"/>
    <w:rPr>
      <w:color w:val="0000FF" w:themeColor="hyperlink"/>
      <w:u w:val="single"/>
    </w:rPr>
  </w:style>
  <w:style w:type="table" w:customStyle="1" w:styleId="TableGrid1">
    <w:name w:val="Table Grid1"/>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6D511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trojan@wku.edu" TargetMode="External"/><Relationship Id="rId13" Type="http://schemas.openxmlformats.org/officeDocument/2006/relationships/hyperlink" Target="mailto:holli.drummond@wku.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carrie.trojan@wku.edu" TargetMode="External"/><Relationship Id="rId12" Type="http://schemas.openxmlformats.org/officeDocument/2006/relationships/hyperlink" Target="mailto:carrie.trojan@wku.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arrie.trojan@wku.edu" TargetMode="External"/><Relationship Id="rId1" Type="http://schemas.openxmlformats.org/officeDocument/2006/relationships/numbering" Target="numbering.xml"/><Relationship Id="rId6" Type="http://schemas.openxmlformats.org/officeDocument/2006/relationships/hyperlink" Target="mailto:carrie.trojan@wku.edu" TargetMode="External"/><Relationship Id="rId11" Type="http://schemas.openxmlformats.org/officeDocument/2006/relationships/hyperlink" Target="mailto:carrie.trojan@wku.edu" TargetMode="External"/><Relationship Id="rId5" Type="http://schemas.openxmlformats.org/officeDocument/2006/relationships/webSettings" Target="webSettings.xml"/><Relationship Id="rId15" Type="http://schemas.openxmlformats.org/officeDocument/2006/relationships/hyperlink" Target="mailto:holli.drummond@wku.edu" TargetMode="External"/><Relationship Id="rId10" Type="http://schemas.openxmlformats.org/officeDocument/2006/relationships/hyperlink" Target="mailto:carrie.trojan@wku.edu" TargetMode="External"/><Relationship Id="rId4" Type="http://schemas.openxmlformats.org/officeDocument/2006/relationships/settings" Target="settings.xml"/><Relationship Id="rId9" Type="http://schemas.openxmlformats.org/officeDocument/2006/relationships/hyperlink" Target="mailto:carrie.trojan@wku.edu" TargetMode="External"/><Relationship Id="rId14" Type="http://schemas.openxmlformats.org/officeDocument/2006/relationships/hyperlink" Target="mailto:Nicole.breazeale@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2688</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Markin, Jennifer</dc:creator>
  <cp:lastModifiedBy>Markin, Jennifer</cp:lastModifiedBy>
  <cp:revision>4</cp:revision>
  <dcterms:created xsi:type="dcterms:W3CDTF">2014-04-10T21:30:00Z</dcterms:created>
  <dcterms:modified xsi:type="dcterms:W3CDTF">2014-04-10T21:39:00Z</dcterms:modified>
</cp:coreProperties>
</file>