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F51601">
      <w:r>
        <w:rPr>
          <w:rFonts w:ascii="Segoe UI" w:hAnsi="Segoe UI" w:cs="Segoe UI"/>
          <w:sz w:val="20"/>
          <w:szCs w:val="20"/>
        </w:rPr>
        <w:t>Name: Barrett Greenwell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barrett.greenwell622@topper.wku.edu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StudentAffairs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April 1, 2014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Barrett Greenwell</w:t>
      </w:r>
      <w:r>
        <w:rPr>
          <w:rFonts w:ascii="Segoe UI" w:hAnsi="Segoe UI" w:cs="Segoe UI"/>
          <w:sz w:val="20"/>
          <w:szCs w:val="20"/>
        </w:rPr>
        <w:br/>
        <w:t>Josh Knight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We discussed the rubrics that will be utilized to grade the Summer Scholarship applications.   We then worked with Mark Reeves to revise Resolution 5-14-S.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01"/>
    <w:rsid w:val="00E87EC1"/>
    <w:rsid w:val="00F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2014-07-16T00:33:00Z</dcterms:created>
  <dcterms:modified xsi:type="dcterms:W3CDTF">2014-07-16T00:33:00Z</dcterms:modified>
</cp:coreProperties>
</file>