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3948113" cy="12679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1267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Winter term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Thursday, November 23rd,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you applied for any scholarships this year? (Yes/No) 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currently planning on studying abroad?(Yes/No) ________ If yes, please describe.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currently receive any scholarships or loans? Please describe why or why not.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why this scholarship would be impactful to you. Include a description of unmet financial needs, parental assistance, etc.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you be living on or off campus during the time of utilization of this scholarship? Please explain.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would being selected as a recipient of this scholarship positively affect your learning during the Summer/Winter term and/or Studying abroad?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reason for obtaining an education during the winter/summer term or abroad?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currently involved in any Extracurricular activities or organizations on campus? Please describe.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you had any previous educational opportunities to engage and learn about foreign cultures? Please explain. 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Tell us of a time where you overcame adversity.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do you plan to enhance community engagement by aligning this matter with your personal goals?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main source of motivation that provides you help to function effectively in academic fields and seek opportunities to excel in different aspects of personal growth?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2B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Thursday, November 23rd,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2D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