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02/06/24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 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  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Donte’ Reed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Sarah Vincent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4:33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 Report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Executive Vice-President: Annie Finch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 report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Bill change, Pizza and supplies with meal plan dollars &amp; personal funds.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4 to 5 speakers.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Everything in the office needs help with setup.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Office supplies updated in the budget.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Donte’ Reed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First SGA High school tour was a success. 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South warren to be contacted soon.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keeping the socials updated &amp; promoting all upcoming events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Sarah Vincet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School tours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Trying to speak at South Warren and Greenwood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Speaker can't come today, so I'm going to try and reschedule.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Speaker slots filled for semester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Legislation workshop- “ build a bill workshop”. Stations for each section.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 reports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4:43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