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CE" w:rsidRDefault="006E266C" w:rsidP="00B842CE">
      <w:pPr>
        <w:pStyle w:val="Heading1"/>
        <w:rPr>
          <w:i w:val="0"/>
        </w:rPr>
      </w:pPr>
      <w:bookmarkStart w:id="0" w:name="_GoBack"/>
      <w:bookmarkEnd w:id="0"/>
      <w:r w:rsidRPr="00B842CE">
        <w:rPr>
          <w:i w:val="0"/>
        </w:rPr>
        <w:t xml:space="preserve">POTTER COLLEGE </w:t>
      </w:r>
      <w:r w:rsidR="00B842CE" w:rsidRPr="00B842CE">
        <w:rPr>
          <w:i w:val="0"/>
        </w:rPr>
        <w:t>of ARTS &amp; LETTERS</w:t>
      </w:r>
    </w:p>
    <w:p w:rsidR="00B842CE" w:rsidRDefault="00B842CE" w:rsidP="00B842CE">
      <w:pPr>
        <w:jc w:val="center"/>
        <w:rPr>
          <w:b/>
          <w:sz w:val="28"/>
          <w:szCs w:val="28"/>
        </w:rPr>
      </w:pPr>
      <w:r w:rsidRPr="00B842CE">
        <w:rPr>
          <w:b/>
          <w:sz w:val="28"/>
          <w:szCs w:val="28"/>
        </w:rPr>
        <w:t>WESTERN KENTUCKY UNIVERSITY</w:t>
      </w:r>
    </w:p>
    <w:p w:rsidR="00B54F11" w:rsidRDefault="00B54F11" w:rsidP="00B842CE">
      <w:pPr>
        <w:jc w:val="center"/>
        <w:rPr>
          <w:b/>
          <w:sz w:val="28"/>
          <w:szCs w:val="28"/>
        </w:rPr>
      </w:pPr>
    </w:p>
    <w:p w:rsidR="00B842CE" w:rsidRDefault="00FF5AD8" w:rsidP="00B842CE">
      <w:pPr>
        <w:jc w:val="center"/>
        <w:rPr>
          <w:b/>
          <w:sz w:val="28"/>
          <w:szCs w:val="28"/>
        </w:rPr>
      </w:pPr>
      <w:r>
        <w:rPr>
          <w:b/>
          <w:sz w:val="28"/>
          <w:szCs w:val="28"/>
        </w:rPr>
        <w:t xml:space="preserve">College </w:t>
      </w:r>
      <w:r w:rsidR="00B842CE">
        <w:rPr>
          <w:b/>
          <w:sz w:val="28"/>
          <w:szCs w:val="28"/>
        </w:rPr>
        <w:t xml:space="preserve">Policies Governing Reviews for </w:t>
      </w:r>
      <w:r w:rsidR="00325E1E">
        <w:rPr>
          <w:b/>
          <w:sz w:val="28"/>
          <w:szCs w:val="28"/>
        </w:rPr>
        <w:t>T</w:t>
      </w:r>
      <w:r w:rsidR="00B842CE">
        <w:rPr>
          <w:b/>
          <w:sz w:val="28"/>
          <w:szCs w:val="28"/>
        </w:rPr>
        <w:t>enure and Promotion</w:t>
      </w:r>
    </w:p>
    <w:p w:rsidR="006E266C" w:rsidRDefault="006E266C">
      <w:pPr>
        <w:pStyle w:val="Heading3"/>
        <w:rPr>
          <w:rFonts w:ascii="Times New Roman" w:hAnsi="Times New Roman" w:cs="Times New Roman"/>
          <w:b w:val="0"/>
          <w:sz w:val="24"/>
        </w:rPr>
      </w:pPr>
      <w:r>
        <w:rPr>
          <w:rFonts w:ascii="Times New Roman" w:hAnsi="Times New Roman" w:cs="Times New Roman"/>
          <w:b w:val="0"/>
          <w:sz w:val="24"/>
        </w:rPr>
        <w:t>The challenges facing a public university in the 21</w:t>
      </w:r>
      <w:r>
        <w:rPr>
          <w:rFonts w:ascii="Times New Roman" w:hAnsi="Times New Roman" w:cs="Times New Roman"/>
          <w:b w:val="0"/>
          <w:sz w:val="24"/>
          <w:vertAlign w:val="superscript"/>
        </w:rPr>
        <w:t>st</w:t>
      </w:r>
      <w:r>
        <w:rPr>
          <w:rFonts w:ascii="Times New Roman" w:hAnsi="Times New Roman" w:cs="Times New Roman"/>
          <w:b w:val="0"/>
          <w:sz w:val="24"/>
        </w:rPr>
        <w:t xml:space="preserve"> century require a flexible and inclusive approach to the evaluation of faculty work.  Potter College recognizes and encourages a broad range of faculty accomplishments in the traditional areas of faculty responsibility—teaching effectiveness, scholarship (research, creative and professional activity), and service to the university, discipline, or community.  </w:t>
      </w:r>
    </w:p>
    <w:p w:rsidR="006E266C" w:rsidRDefault="006E266C">
      <w:pPr>
        <w:pStyle w:val="Heading3"/>
        <w:rPr>
          <w:rFonts w:ascii="Times New Roman" w:hAnsi="Times New Roman" w:cs="Times New Roman"/>
          <w:b w:val="0"/>
          <w:sz w:val="24"/>
        </w:rPr>
      </w:pPr>
      <w:r>
        <w:rPr>
          <w:rFonts w:ascii="Times New Roman" w:hAnsi="Times New Roman" w:cs="Times New Roman"/>
          <w:b w:val="0"/>
          <w:sz w:val="24"/>
        </w:rPr>
        <w:t xml:space="preserve">The college expects faculty work in all areas to be excellent in quality, appropriately documented, and a contribution to the major areas of faculty responsibility.  The evaluation of faculty work relies heavily on the process of peer review.  Faculty receiving tenure </w:t>
      </w:r>
      <w:r>
        <w:rPr>
          <w:rFonts w:ascii="Times New Roman" w:hAnsi="Times New Roman" w:cs="Times New Roman"/>
          <w:b w:val="0"/>
          <w:bCs w:val="0"/>
          <w:sz w:val="24"/>
        </w:rPr>
        <w:t>and/or promotion</w:t>
      </w:r>
      <w:r>
        <w:rPr>
          <w:rFonts w:ascii="Times New Roman" w:hAnsi="Times New Roman" w:cs="Times New Roman"/>
          <w:b w:val="0"/>
          <w:sz w:val="24"/>
        </w:rPr>
        <w:t xml:space="preserve"> will have demonstrated professionalism in their teaching, scholarship, and service, a commitment to working in a mutually respectful and productive fashion with colleagues </w:t>
      </w:r>
      <w:r>
        <w:rPr>
          <w:rFonts w:ascii="Times New Roman" w:hAnsi="Times New Roman" w:cs="Times New Roman"/>
          <w:b w:val="0"/>
          <w:bCs w:val="0"/>
          <w:sz w:val="24"/>
        </w:rPr>
        <w:t>and students</w:t>
      </w:r>
      <w:r>
        <w:rPr>
          <w:rFonts w:ascii="Times New Roman" w:hAnsi="Times New Roman" w:cs="Times New Roman"/>
          <w:bCs w:val="0"/>
          <w:sz w:val="24"/>
        </w:rPr>
        <w:t>,</w:t>
      </w:r>
      <w:r>
        <w:rPr>
          <w:rFonts w:ascii="Times New Roman" w:hAnsi="Times New Roman" w:cs="Times New Roman"/>
          <w:b w:val="0"/>
          <w:sz w:val="24"/>
        </w:rPr>
        <w:t xml:space="preserve"> and active support of the mission and goals of the Department, College, and University.  Our tenure and promotion standards and processes are in accord with those in the </w:t>
      </w:r>
      <w:r>
        <w:rPr>
          <w:rFonts w:ascii="Times New Roman" w:hAnsi="Times New Roman" w:cs="Times New Roman"/>
          <w:bCs w:val="0"/>
          <w:sz w:val="24"/>
        </w:rPr>
        <w:t>Faculty Handbook</w:t>
      </w:r>
      <w:r>
        <w:rPr>
          <w:rFonts w:ascii="Times New Roman" w:hAnsi="Times New Roman" w:cs="Times New Roman"/>
          <w:b w:val="0"/>
          <w:sz w:val="24"/>
        </w:rPr>
        <w:t xml:space="preserve">, and they also provide the framework for continuance reviews, annual evaluations, and post-tenure review. </w:t>
      </w:r>
    </w:p>
    <w:p w:rsidR="006E266C" w:rsidRDefault="006E266C">
      <w:pPr>
        <w:pStyle w:val="Heading3"/>
        <w:rPr>
          <w:rFonts w:ascii="Times New Roman" w:hAnsi="Times New Roman" w:cs="Times New Roman"/>
          <w:sz w:val="28"/>
        </w:rPr>
      </w:pPr>
      <w:r>
        <w:rPr>
          <w:rFonts w:ascii="Times New Roman" w:hAnsi="Times New Roman" w:cs="Times New Roman"/>
          <w:b w:val="0"/>
          <w:sz w:val="24"/>
        </w:rPr>
        <w:t xml:space="preserve"> </w:t>
      </w:r>
      <w:r>
        <w:rPr>
          <w:rFonts w:ascii="Times New Roman" w:hAnsi="Times New Roman" w:cs="Times New Roman"/>
          <w:sz w:val="28"/>
        </w:rPr>
        <w:t xml:space="preserve">Academic Qualifications for Appointment to </w:t>
      </w:r>
      <w:proofErr w:type="spellStart"/>
      <w:r>
        <w:rPr>
          <w:rFonts w:ascii="Times New Roman" w:hAnsi="Times New Roman" w:cs="Times New Roman"/>
          <w:sz w:val="28"/>
        </w:rPr>
        <w:t>Tenurable</w:t>
      </w:r>
      <w:proofErr w:type="spellEnd"/>
      <w:r>
        <w:rPr>
          <w:rFonts w:ascii="Times New Roman" w:hAnsi="Times New Roman" w:cs="Times New Roman"/>
          <w:sz w:val="28"/>
        </w:rPr>
        <w:t xml:space="preserve"> Positions*</w:t>
      </w:r>
    </w:p>
    <w:p w:rsidR="006E266C" w:rsidRDefault="006E266C">
      <w:pPr>
        <w:pStyle w:val="Heading3"/>
        <w:rPr>
          <w:rFonts w:ascii="Times New Roman" w:hAnsi="Times New Roman" w:cs="Times New Roman"/>
          <w:b w:val="0"/>
          <w:sz w:val="24"/>
          <w:szCs w:val="24"/>
        </w:rPr>
      </w:pPr>
      <w:r>
        <w:rPr>
          <w:rFonts w:ascii="Times New Roman" w:hAnsi="Times New Roman" w:cs="Times New Roman"/>
          <w:b w:val="0"/>
          <w:sz w:val="24"/>
          <w:szCs w:val="24"/>
        </w:rPr>
        <w:t xml:space="preserve">The College sets the following academic standards for appointment to a tenure-track position in its departments.  </w:t>
      </w:r>
    </w:p>
    <w:p w:rsidR="006E266C" w:rsidRDefault="006E266C">
      <w:pPr>
        <w:pStyle w:val="Heading3"/>
        <w:rPr>
          <w:rFonts w:ascii="Arial" w:hAnsi="Arial" w:cs="Arial"/>
          <w:sz w:val="24"/>
        </w:rPr>
      </w:pPr>
      <w:r>
        <w:rPr>
          <w:rFonts w:ascii="Arial" w:hAnsi="Arial" w:cs="Arial"/>
          <w:sz w:val="24"/>
        </w:rPr>
        <w:t>Art</w:t>
      </w:r>
    </w:p>
    <w:p w:rsidR="006E266C" w:rsidRDefault="006E266C">
      <w:pPr>
        <w:pStyle w:val="Heading4"/>
        <w:rPr>
          <w:rFonts w:ascii="Times New Roman" w:hAnsi="Times New Roman" w:cs="Times New Roman"/>
          <w:b w:val="0"/>
          <w:bCs w:val="0"/>
        </w:rPr>
      </w:pPr>
      <w:r>
        <w:rPr>
          <w:rFonts w:ascii="Times New Roman" w:hAnsi="Times New Roman" w:cs="Times New Roman"/>
          <w:b w:val="0"/>
          <w:bCs w:val="0"/>
        </w:rPr>
        <w:t>Art History--Ph. D. in Art History</w:t>
      </w:r>
      <w:r>
        <w:rPr>
          <w:rFonts w:ascii="Times New Roman" w:hAnsi="Times New Roman" w:cs="Times New Roman"/>
          <w:b w:val="0"/>
          <w:bCs w:val="0"/>
        </w:rPr>
        <w:br/>
        <w:t>Art Education--Ph. D./Ed. D. in Art Education</w:t>
      </w:r>
      <w:r w:rsidR="000432BE">
        <w:rPr>
          <w:rFonts w:ascii="Times New Roman" w:hAnsi="Times New Roman" w:cs="Times New Roman"/>
          <w:b w:val="0"/>
          <w:bCs w:val="0"/>
        </w:rPr>
        <w:t>, PhD in Curriculum and Instruction/Art</w:t>
      </w:r>
      <w:r>
        <w:rPr>
          <w:rFonts w:ascii="Times New Roman" w:hAnsi="Times New Roman" w:cs="Times New Roman"/>
          <w:b w:val="0"/>
          <w:bCs w:val="0"/>
        </w:rPr>
        <w:br/>
        <w:t>Studio--Ph. D./MFA in Art</w:t>
      </w:r>
      <w:r w:rsidR="000432BE">
        <w:rPr>
          <w:rFonts w:ascii="Times New Roman" w:hAnsi="Times New Roman" w:cs="Times New Roman"/>
          <w:b w:val="0"/>
          <w:bCs w:val="0"/>
        </w:rPr>
        <w:t>, Art and Design, Fine Arts, Visual Art, Visual Design</w:t>
      </w:r>
    </w:p>
    <w:p w:rsidR="006E266C" w:rsidRDefault="006E266C">
      <w:pPr>
        <w:pStyle w:val="Heading3"/>
        <w:rPr>
          <w:rFonts w:ascii="Arial" w:hAnsi="Arial" w:cs="Arial"/>
          <w:sz w:val="24"/>
        </w:rPr>
      </w:pPr>
      <w:r>
        <w:rPr>
          <w:rFonts w:ascii="Arial" w:hAnsi="Arial" w:cs="Arial"/>
          <w:sz w:val="24"/>
        </w:rPr>
        <w:t>Communication</w:t>
      </w:r>
    </w:p>
    <w:p w:rsidR="006E266C" w:rsidRDefault="006E266C">
      <w:r>
        <w:t xml:space="preserve">Communication--Ph. D. in Communication </w:t>
      </w:r>
    </w:p>
    <w:p w:rsidR="006E266C" w:rsidRDefault="006E266C">
      <w:pPr>
        <w:pStyle w:val="Heading3"/>
        <w:rPr>
          <w:rFonts w:ascii="Arial" w:hAnsi="Arial" w:cs="Arial"/>
          <w:sz w:val="24"/>
        </w:rPr>
      </w:pPr>
      <w:r>
        <w:rPr>
          <w:rFonts w:ascii="Arial" w:hAnsi="Arial" w:cs="Arial"/>
          <w:sz w:val="24"/>
        </w:rPr>
        <w:t>English</w:t>
      </w:r>
    </w:p>
    <w:p w:rsidR="006E266C" w:rsidRDefault="006E266C">
      <w:r>
        <w:t xml:space="preserve">Literature--Ph. D. in English or Comparative Literature </w:t>
      </w:r>
      <w:r>
        <w:br/>
        <w:t>Linguistics/ESL--Ph. D. in English, Linguistics, and/or ESL</w:t>
      </w:r>
    </w:p>
    <w:p w:rsidR="006E266C" w:rsidRDefault="006E266C">
      <w:r>
        <w:t xml:space="preserve">Composition or Professional Writing--Ph. D. in English, Composition &amp; Rhetoric, or </w:t>
      </w:r>
    </w:p>
    <w:p w:rsidR="006E266C" w:rsidRDefault="006E266C">
      <w:r>
        <w:t xml:space="preserve">       Professional Writing    </w:t>
      </w:r>
      <w:r>
        <w:br/>
        <w:t>Creative Writing--Ph. D. in English and/or Creative Writing; MFA in English</w:t>
      </w:r>
    </w:p>
    <w:p w:rsidR="006E266C" w:rsidRDefault="006E266C">
      <w:r>
        <w:t xml:space="preserve">       +substantial publications in the field </w:t>
      </w:r>
    </w:p>
    <w:p w:rsidR="006E266C" w:rsidRDefault="006E266C">
      <w:r>
        <w:t xml:space="preserve">English Education--Ph. D. </w:t>
      </w:r>
      <w:r w:rsidRPr="00E30D96">
        <w:rPr>
          <w:bCs/>
        </w:rPr>
        <w:t>or Ed. D.</w:t>
      </w:r>
      <w:r>
        <w:t xml:space="preserve"> in English or English Education</w:t>
      </w:r>
    </w:p>
    <w:p w:rsidR="006E266C" w:rsidRDefault="006E266C">
      <w:pPr>
        <w:pStyle w:val="Heading3"/>
        <w:rPr>
          <w:rFonts w:ascii="Arial" w:hAnsi="Arial" w:cs="Arial"/>
          <w:sz w:val="24"/>
        </w:rPr>
      </w:pPr>
      <w:r>
        <w:rPr>
          <w:rFonts w:ascii="Arial" w:hAnsi="Arial" w:cs="Arial"/>
          <w:sz w:val="24"/>
        </w:rPr>
        <w:lastRenderedPageBreak/>
        <w:t>Folk Studies and Anthropology</w:t>
      </w:r>
    </w:p>
    <w:p w:rsidR="006E266C" w:rsidRDefault="006E266C">
      <w:r>
        <w:t xml:space="preserve">Folk Studies--Ph. D. in Folklore </w:t>
      </w:r>
      <w:r>
        <w:br/>
        <w:t xml:space="preserve">Anthropology--Ph. D. in Anthropology </w:t>
      </w:r>
    </w:p>
    <w:p w:rsidR="006E266C" w:rsidRDefault="006E266C">
      <w:pPr>
        <w:pStyle w:val="Heading3"/>
        <w:rPr>
          <w:rFonts w:ascii="Arial" w:hAnsi="Arial" w:cs="Arial"/>
          <w:sz w:val="24"/>
        </w:rPr>
      </w:pPr>
      <w:r>
        <w:rPr>
          <w:rFonts w:ascii="Arial" w:hAnsi="Arial" w:cs="Arial"/>
          <w:sz w:val="24"/>
        </w:rPr>
        <w:t>History</w:t>
      </w:r>
    </w:p>
    <w:p w:rsidR="006E266C" w:rsidRDefault="006E266C">
      <w:r>
        <w:t>History--Ph. D. in History</w:t>
      </w:r>
    </w:p>
    <w:p w:rsidR="006E266C" w:rsidRDefault="006E266C">
      <w:pPr>
        <w:pStyle w:val="Heading3"/>
        <w:rPr>
          <w:rFonts w:ascii="Arial" w:hAnsi="Arial" w:cs="Arial"/>
          <w:sz w:val="24"/>
        </w:rPr>
      </w:pPr>
      <w:r>
        <w:rPr>
          <w:rFonts w:ascii="Arial" w:hAnsi="Arial" w:cs="Arial"/>
          <w:sz w:val="24"/>
        </w:rPr>
        <w:t>Journalism and Broadcasting</w:t>
      </w:r>
    </w:p>
    <w:p w:rsidR="006E266C" w:rsidRDefault="006E266C">
      <w:r>
        <w:t xml:space="preserve">Ph. D. in Journalism, Advertising, Public Relations, or Mass Communication + 3 years of appropriate professional experience </w:t>
      </w:r>
      <w:r>
        <w:br/>
      </w:r>
    </w:p>
    <w:p w:rsidR="006E266C" w:rsidRDefault="006E266C">
      <w:r>
        <w:t xml:space="preserve">Master’s in Journalism, Broadcasting, Communication, Advertising, Public Relations, Photojournalism/Visual Communication, or Mass Communication + 10 years of appropriate professional experience </w:t>
      </w:r>
    </w:p>
    <w:p w:rsidR="00500A7D" w:rsidRDefault="00500A7D"/>
    <w:p w:rsidR="00500A7D" w:rsidRDefault="00500A7D">
      <w:r>
        <w:t xml:space="preserve">These are traditional areas of graduate work in Journalism, Ad/PR, and Broadcasting.  A vast number of new and varied graduate programs have rapidly developed in response to changing professional demands.  The School of Journalism &amp; Broadcasting, in keeping with these new degree designations, will consider other appropriate areas of MA, MFA, and Doctoral work.  </w:t>
      </w:r>
    </w:p>
    <w:p w:rsidR="006E266C" w:rsidRDefault="006E266C">
      <w:pPr>
        <w:pStyle w:val="Heading3"/>
        <w:rPr>
          <w:rFonts w:ascii="Arial" w:hAnsi="Arial" w:cs="Arial"/>
          <w:sz w:val="24"/>
        </w:rPr>
      </w:pPr>
      <w:r>
        <w:rPr>
          <w:rFonts w:ascii="Arial" w:hAnsi="Arial" w:cs="Arial"/>
          <w:sz w:val="24"/>
        </w:rPr>
        <w:t xml:space="preserve">Modern Languages </w:t>
      </w:r>
    </w:p>
    <w:p w:rsidR="006E266C" w:rsidRDefault="006E266C">
      <w:r>
        <w:t>Languages--Ph. D. in Language or Linguistics</w:t>
      </w:r>
      <w:r w:rsidR="00490BA1">
        <w:t>; Ph. D. in Second Language Acquisition; Ph. D. in Foreign Language Education</w:t>
      </w:r>
      <w:r>
        <w:t xml:space="preserve"> </w:t>
      </w:r>
      <w:r>
        <w:br/>
        <w:t xml:space="preserve"> </w:t>
      </w:r>
    </w:p>
    <w:p w:rsidR="006E266C" w:rsidRDefault="006E266C">
      <w:pPr>
        <w:pStyle w:val="Heading4"/>
        <w:spacing w:before="0" w:beforeAutospacing="0" w:after="0" w:afterAutospacing="0"/>
        <w:rPr>
          <w:rFonts w:ascii="Arial" w:eastAsia="Times New Roman" w:hAnsi="Arial" w:cs="Arial"/>
        </w:rPr>
      </w:pPr>
      <w:r>
        <w:rPr>
          <w:rFonts w:ascii="Arial" w:eastAsia="Times New Roman" w:hAnsi="Arial" w:cs="Arial"/>
        </w:rPr>
        <w:t>Music</w:t>
      </w:r>
    </w:p>
    <w:p w:rsidR="006E266C" w:rsidRDefault="006E266C"/>
    <w:p w:rsidR="006E266C" w:rsidRDefault="006E266C">
      <w:r>
        <w:t>Music History</w:t>
      </w:r>
      <w:r w:rsidR="00500A7D">
        <w:t>/Musicology</w:t>
      </w:r>
      <w:r>
        <w:t>--Ph. D. in Music History</w:t>
      </w:r>
      <w:r w:rsidR="00500A7D">
        <w:t>/Musicology</w:t>
      </w:r>
      <w:r>
        <w:t xml:space="preserve"> </w:t>
      </w:r>
      <w:r>
        <w:br/>
        <w:t xml:space="preserve">Music Education--Ph. D., </w:t>
      </w:r>
      <w:r w:rsidR="00500A7D">
        <w:t xml:space="preserve">DME, </w:t>
      </w:r>
      <w:proofErr w:type="spellStart"/>
      <w:r>
        <w:t>Ed.D</w:t>
      </w:r>
      <w:proofErr w:type="spellEnd"/>
      <w:r>
        <w:t xml:space="preserve">., </w:t>
      </w:r>
      <w:r w:rsidRPr="00E30D96">
        <w:rPr>
          <w:bCs/>
        </w:rPr>
        <w:t>or DME</w:t>
      </w:r>
      <w:r>
        <w:t xml:space="preserve"> in Music Education </w:t>
      </w:r>
    </w:p>
    <w:p w:rsidR="006E266C" w:rsidRDefault="006E266C">
      <w:r w:rsidRPr="00E30D96">
        <w:rPr>
          <w:bCs/>
        </w:rPr>
        <w:t>Music Theory/Composition—</w:t>
      </w:r>
      <w:r w:rsidR="00500A7D">
        <w:rPr>
          <w:bCs/>
        </w:rPr>
        <w:t xml:space="preserve">Ph. D, </w:t>
      </w:r>
      <w:r w:rsidRPr="00E30D96">
        <w:rPr>
          <w:bCs/>
        </w:rPr>
        <w:t>DMA, DM</w:t>
      </w:r>
      <w:r w:rsidR="00500A7D">
        <w:rPr>
          <w:bCs/>
        </w:rPr>
        <w:t xml:space="preserve"> in Theory/Composition</w:t>
      </w:r>
      <w:r w:rsidRPr="00E30D96">
        <w:br/>
      </w:r>
      <w:r>
        <w:t xml:space="preserve">Studio--DMA, DM, or </w:t>
      </w:r>
      <w:r w:rsidR="00500A7D">
        <w:t>*</w:t>
      </w:r>
      <w:r>
        <w:t xml:space="preserve">MM in Music + 10 years </w:t>
      </w:r>
      <w:r w:rsidR="00500A7D">
        <w:t xml:space="preserve">(national reputation in field of </w:t>
      </w:r>
      <w:proofErr w:type="spellStart"/>
      <w:r w:rsidR="00500A7D">
        <w:t>speciality</w:t>
      </w:r>
      <w:proofErr w:type="spellEnd"/>
      <w:r w:rsidR="00500A7D">
        <w:t>)</w:t>
      </w:r>
    </w:p>
    <w:p w:rsidR="00500A7D" w:rsidRDefault="00500A7D">
      <w:r>
        <w:t>Conductors—Ph. D. in Music, DM, DMA, and DA</w:t>
      </w:r>
    </w:p>
    <w:p w:rsidR="006E266C" w:rsidRDefault="006E266C">
      <w:pPr>
        <w:pStyle w:val="Heading3"/>
        <w:rPr>
          <w:rFonts w:ascii="Arial" w:hAnsi="Arial" w:cs="Arial"/>
          <w:sz w:val="24"/>
        </w:rPr>
      </w:pPr>
      <w:r>
        <w:rPr>
          <w:rFonts w:ascii="Arial" w:hAnsi="Arial" w:cs="Arial"/>
          <w:sz w:val="24"/>
        </w:rPr>
        <w:t>Philosophy and Religion</w:t>
      </w:r>
    </w:p>
    <w:p w:rsidR="006E266C" w:rsidRDefault="006E266C">
      <w:r>
        <w:t xml:space="preserve">Philosophy--Ph. D. in Philosophy </w:t>
      </w:r>
      <w:r>
        <w:br/>
        <w:t xml:space="preserve">Religion--Ph. D. in Religious Studies </w:t>
      </w:r>
    </w:p>
    <w:p w:rsidR="00490BA1" w:rsidRDefault="00490BA1">
      <w:pPr>
        <w:pStyle w:val="Heading3"/>
        <w:rPr>
          <w:rFonts w:ascii="Arial" w:hAnsi="Arial" w:cs="Arial"/>
          <w:sz w:val="24"/>
        </w:rPr>
      </w:pPr>
    </w:p>
    <w:p w:rsidR="00490BA1" w:rsidRDefault="00490BA1">
      <w:pPr>
        <w:pStyle w:val="Heading3"/>
        <w:rPr>
          <w:rFonts w:ascii="Arial" w:hAnsi="Arial" w:cs="Arial"/>
          <w:sz w:val="24"/>
        </w:rPr>
      </w:pPr>
    </w:p>
    <w:p w:rsidR="006E266C" w:rsidRDefault="00490BA1">
      <w:pPr>
        <w:pStyle w:val="Heading3"/>
        <w:rPr>
          <w:rFonts w:ascii="Arial" w:hAnsi="Arial" w:cs="Arial"/>
          <w:sz w:val="24"/>
        </w:rPr>
      </w:pPr>
      <w:r>
        <w:rPr>
          <w:rFonts w:ascii="Arial" w:hAnsi="Arial" w:cs="Arial"/>
          <w:sz w:val="24"/>
        </w:rPr>
        <w:lastRenderedPageBreak/>
        <w:t>P</w:t>
      </w:r>
      <w:r w:rsidR="006E266C">
        <w:rPr>
          <w:rFonts w:ascii="Arial" w:hAnsi="Arial" w:cs="Arial"/>
          <w:sz w:val="24"/>
        </w:rPr>
        <w:t>olitical Science</w:t>
      </w:r>
    </w:p>
    <w:p w:rsidR="006E266C" w:rsidRDefault="006E266C">
      <w:r>
        <w:t xml:space="preserve">Political Science--Ph. D. in Political Science </w:t>
      </w:r>
      <w:r>
        <w:br/>
        <w:t xml:space="preserve">Public Administration--Ph. D. in Political Science or Doctor of Public Administration </w:t>
      </w:r>
    </w:p>
    <w:p w:rsidR="006E266C" w:rsidRDefault="006E266C">
      <w:pPr>
        <w:pStyle w:val="Heading3"/>
        <w:rPr>
          <w:rFonts w:ascii="Arial" w:hAnsi="Arial" w:cs="Arial"/>
          <w:sz w:val="24"/>
        </w:rPr>
      </w:pPr>
      <w:r>
        <w:rPr>
          <w:rFonts w:ascii="Arial" w:hAnsi="Arial" w:cs="Arial"/>
          <w:sz w:val="24"/>
        </w:rPr>
        <w:t>Sociology</w:t>
      </w:r>
    </w:p>
    <w:p w:rsidR="006E266C" w:rsidRDefault="006E266C">
      <w:r>
        <w:t>Sociology--Ph. D. in Sociology</w:t>
      </w:r>
    </w:p>
    <w:p w:rsidR="006E266C" w:rsidRDefault="006E266C">
      <w:pPr>
        <w:pStyle w:val="Heading3"/>
        <w:rPr>
          <w:rFonts w:ascii="Arial" w:hAnsi="Arial" w:cs="Arial"/>
          <w:sz w:val="24"/>
        </w:rPr>
      </w:pPr>
      <w:r>
        <w:rPr>
          <w:rFonts w:ascii="Arial" w:hAnsi="Arial" w:cs="Arial"/>
          <w:sz w:val="24"/>
        </w:rPr>
        <w:t>Theatre and Dance</w:t>
      </w:r>
    </w:p>
    <w:p w:rsidR="006E266C" w:rsidRDefault="006E266C">
      <w:r>
        <w:t xml:space="preserve">Theatre--Ph. D. or MFA in Theatre </w:t>
      </w:r>
      <w:r>
        <w:br/>
        <w:t xml:space="preserve">Technical Theatre- Ph. D./MFA in Theatre or MA in Theatre + 10 years of appropriate professional experience </w:t>
      </w:r>
      <w:r>
        <w:br/>
        <w:t xml:space="preserve">Dance--MFA in Dance or MA in Dance + 10 years of appropriate professional experience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*Exceptions can be made for those with clearly exceptional academic or professional qualifications. </w:t>
      </w:r>
    </w:p>
    <w:p w:rsidR="006E266C" w:rsidRDefault="006E266C">
      <w:pPr>
        <w:pStyle w:val="Heading3"/>
        <w:jc w:val="center"/>
        <w:rPr>
          <w:rFonts w:ascii="Times New Roman" w:hAnsi="Times New Roman" w:cs="Times New Roman"/>
          <w:sz w:val="28"/>
          <w:szCs w:val="28"/>
        </w:rPr>
      </w:pPr>
      <w:r>
        <w:rPr>
          <w:rFonts w:ascii="Times New Roman" w:hAnsi="Times New Roman" w:cs="Times New Roman"/>
          <w:sz w:val="28"/>
          <w:szCs w:val="28"/>
        </w:rPr>
        <w:t>The Tenure Review Process</w:t>
      </w:r>
    </w:p>
    <w:p w:rsidR="00821F56" w:rsidRDefault="006E266C">
      <w:r>
        <w:t>Full-time faculty members appointed to tenure-</w:t>
      </w:r>
      <w:r w:rsidR="007B59DF">
        <w:t>eligible</w:t>
      </w:r>
      <w:r>
        <w:t xml:space="preserve"> positions at the rank of Assistant Professor, Associate Professor, or Professor are appointed with the understanding that there will be a probationary period.  Faculty members appointed at the rank of instructor are employed on an annual or multi-year contract and are not eligible for tenure. </w:t>
      </w:r>
    </w:p>
    <w:p w:rsidR="00821F56" w:rsidRDefault="00821F56"/>
    <w:p w:rsidR="00CA12D8" w:rsidRPr="00490BA1" w:rsidRDefault="0037744F">
      <w:r w:rsidRPr="00490BA1">
        <w:t xml:space="preserve">While most tenure-eligible appointments require faculty members to achieve in teaching, scholarship, and service, the College also appoints faculty members on a </w:t>
      </w:r>
      <w:r w:rsidR="002F1C5C" w:rsidRPr="00490BA1">
        <w:t>pedagogical track in accord with Academic Affairs Policy 1.1990.  These are full-time, tenure-eligible appointments for faculty members engaged primarily in instructional activities</w:t>
      </w:r>
      <w:r w:rsidRPr="00490BA1">
        <w:t xml:space="preserve"> and service</w:t>
      </w:r>
      <w:r w:rsidR="002F1C5C" w:rsidRPr="00490BA1">
        <w:t>.  Pedagogical faculty members must meet the academic qualifications for tenure-eligible appointments</w:t>
      </w:r>
      <w:r w:rsidR="003D342E" w:rsidRPr="00490BA1">
        <w:t xml:space="preserve"> and must complete the same probationary period as other tenure-eligible faculty</w:t>
      </w:r>
      <w:r w:rsidR="002F1C5C" w:rsidRPr="00490BA1">
        <w:t xml:space="preserve">. </w:t>
      </w:r>
      <w:r w:rsidR="003D342E" w:rsidRPr="00490BA1">
        <w:t xml:space="preserve">They are eligible for promotion.  </w:t>
      </w:r>
      <w:r w:rsidR="002F1C5C" w:rsidRPr="00490BA1">
        <w:t xml:space="preserve"> </w:t>
      </w:r>
      <w:r w:rsidRPr="00490BA1">
        <w:t xml:space="preserve">The College expects pedagogical faculty members to </w:t>
      </w:r>
      <w:r w:rsidR="002F1C5C" w:rsidRPr="00490BA1">
        <w:t xml:space="preserve">bring a high level of conceptual and theoretical ideas to their instructional tasks and to have innovative skill sets that enhance the intellectual development of their colleagues and their students.  They are also expected to provide service to the university, their discipline, and the community.  Pedagogical faculty appointments do not, however, carry an expectation of involvement in scholarly research.  Consequently, pedagogical faculty members will normally have a teaching load higher than that of tenure-track faculty members in their unit who carry responsibilities in both teaching and research.  </w:t>
      </w:r>
    </w:p>
    <w:p w:rsidR="00CA12D8" w:rsidRDefault="00CA12D8">
      <w:pPr>
        <w:rPr>
          <w:i/>
        </w:rPr>
      </w:pPr>
    </w:p>
    <w:p w:rsidR="006E266C" w:rsidRPr="00490BA1" w:rsidRDefault="00271442">
      <w:r w:rsidRPr="00490BA1">
        <w:t>Although most professorial appointments are tenure-eligible, t</w:t>
      </w:r>
      <w:r w:rsidR="00CA12D8" w:rsidRPr="00490BA1">
        <w:t xml:space="preserve">he College </w:t>
      </w:r>
      <w:r w:rsidRPr="00490BA1">
        <w:t xml:space="preserve">also </w:t>
      </w:r>
      <w:r w:rsidR="00CA12D8" w:rsidRPr="00490BA1">
        <w:t xml:space="preserve">makes </w:t>
      </w:r>
      <w:r w:rsidRPr="00490BA1">
        <w:t>R</w:t>
      </w:r>
      <w:r w:rsidR="00CA12D8" w:rsidRPr="00490BA1">
        <w:t xml:space="preserve">esearch faculty appointments </w:t>
      </w:r>
      <w:r w:rsidRPr="00490BA1">
        <w:t xml:space="preserve">at the professorial level </w:t>
      </w:r>
      <w:r w:rsidR="00CA12D8" w:rsidRPr="00490BA1">
        <w:t xml:space="preserve">in accord with Academic Affairs Policy 1.1960.  </w:t>
      </w:r>
      <w:r w:rsidRPr="00490BA1">
        <w:t>These faculty members are not tenure-eligible, but they may earn</w:t>
      </w:r>
      <w:r>
        <w:rPr>
          <w:i/>
        </w:rPr>
        <w:t xml:space="preserve"> </w:t>
      </w:r>
      <w:r w:rsidRPr="00490BA1">
        <w:lastRenderedPageBreak/>
        <w:t xml:space="preserve">promotion as outlined in 1.1960.  </w:t>
      </w:r>
      <w:r w:rsidR="004A72E0" w:rsidRPr="00490BA1">
        <w:t xml:space="preserve">A Research faculty member is a full-time faculty member engaged primarily in research, creative activity, or outreach.  </w:t>
      </w:r>
      <w:r w:rsidR="007265DD" w:rsidRPr="00490BA1">
        <w:t xml:space="preserve">The Research faculty member usually possesses an earned doctorate, or other terminal degree or the equivalent, and considerable experience in her/his field.  Individuals appointed in Research faculty positions should demonstrate a basic level of leadership competence and be able to provide oversight of funded programs.  Research faculty should be engaged in a personal program of research, creative activity, or outreach that complements that of the department.  Research faculty are expected to bring a high level of conceptual and theoretical ideas to the tasks at hand and have innovative skill sets that enhance the intellectual development of their colleagues.  </w:t>
      </w:r>
      <w:r w:rsidR="006E266C" w:rsidRPr="00490BA1">
        <w:t xml:space="preserve">  </w:t>
      </w:r>
    </w:p>
    <w:p w:rsidR="00F84D8A" w:rsidRDefault="00F84D8A">
      <w:pPr>
        <w:pStyle w:val="NormalWeb"/>
        <w:spacing w:before="0" w:beforeAutospacing="0" w:after="0" w:afterAutospacing="0"/>
        <w:rPr>
          <w:rFonts w:ascii="Times New Roman" w:hAnsi="Times New Roman" w:cs="Times New Roman"/>
        </w:rPr>
      </w:pPr>
    </w:p>
    <w:p w:rsidR="008B5163"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In addition to the regular annual evaluations of all faculty, </w:t>
      </w:r>
      <w:r w:rsidR="007117EC" w:rsidRPr="00490BA1">
        <w:rPr>
          <w:rFonts w:ascii="Times New Roman" w:hAnsi="Times New Roman" w:cs="Times New Roman"/>
        </w:rPr>
        <w:t>tenure-eligible</w:t>
      </w:r>
      <w:r>
        <w:rPr>
          <w:rFonts w:ascii="Times New Roman" w:hAnsi="Times New Roman" w:cs="Times New Roman"/>
        </w:rPr>
        <w:t xml:space="preserve"> faculty will undergo continuance reviews in the second through fifth years of their probationary period.  At the beginning of each fall semester department heads will submit to the dean of the college a cumulative evaluation of these faculty. The purpose of this evaluation is to determine whether there has been sufficient progress toward tenure to justify continuation of the faculty member. In making the evaluations on progress toward tenure, department heads shall consult with the tenured faculty in the department </w:t>
      </w:r>
      <w:r w:rsidR="00325E1E" w:rsidRPr="00490BA1">
        <w:rPr>
          <w:rFonts w:ascii="Times New Roman" w:hAnsi="Times New Roman" w:cs="Times New Roman"/>
        </w:rPr>
        <w:t>excluding any spouse/domestic partner of the faculty member seeking tenure</w:t>
      </w:r>
      <w:r w:rsidR="00325E1E">
        <w:rPr>
          <w:rFonts w:ascii="Times New Roman" w:hAnsi="Times New Roman" w:cs="Times New Roman"/>
        </w:rPr>
        <w:t xml:space="preserve"> </w:t>
      </w:r>
      <w:r>
        <w:rPr>
          <w:rFonts w:ascii="Times New Roman" w:hAnsi="Times New Roman" w:cs="Times New Roman"/>
        </w:rPr>
        <w:t xml:space="preserve">and shall evaluate the faculty member specifically in the areas of teaching, research/creative activity, and public/university service. Any deficiency in performance will be clearly stated, and the faculty member under review will be given a copy of the evaluation with an opportunity to respond. </w:t>
      </w:r>
    </w:p>
    <w:p w:rsidR="00325E1E" w:rsidRDefault="00325E1E">
      <w:pPr>
        <w:pStyle w:val="NormalWeb"/>
        <w:spacing w:before="0" w:beforeAutospacing="0" w:after="0" w:afterAutospacing="0"/>
        <w:rPr>
          <w:rFonts w:ascii="Times New Roman" w:hAnsi="Times New Roman" w:cs="Times New Roman"/>
        </w:rPr>
      </w:pPr>
    </w:p>
    <w:p w:rsidR="00325E1E" w:rsidRDefault="00325E1E">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The probationary requirements for tenure may be satisfied through full-time faculty service for five (5) years as an assistant professor or above at WKU.  Under exceptional circumstances, the university may consider tenure in less than the usual probationary time.  Authorized leaves of absence will not be credited toward eligibility for tenure unless otherwise specified at the time they are taken.  </w:t>
      </w:r>
    </w:p>
    <w:p w:rsidR="00325E1E" w:rsidRDefault="00325E1E">
      <w:pPr>
        <w:pStyle w:val="NormalWeb"/>
        <w:spacing w:before="0" w:beforeAutospacing="0" w:after="0" w:afterAutospacing="0"/>
        <w:rPr>
          <w:rFonts w:ascii="Times New Roman" w:hAnsi="Times New Roman" w:cs="Times New Roman"/>
        </w:rPr>
      </w:pPr>
    </w:p>
    <w:p w:rsidR="00325E1E" w:rsidRPr="00490BA1" w:rsidRDefault="00325E1E">
      <w:pPr>
        <w:pStyle w:val="NormalWeb"/>
        <w:spacing w:before="0" w:beforeAutospacing="0" w:after="0" w:afterAutospacing="0"/>
        <w:rPr>
          <w:rFonts w:ascii="Times New Roman" w:hAnsi="Times New Roman" w:cs="Times New Roman"/>
        </w:rPr>
      </w:pPr>
      <w:r w:rsidRPr="00490BA1">
        <w:rPr>
          <w:rFonts w:ascii="Times New Roman" w:hAnsi="Times New Roman" w:cs="Times New Roman"/>
        </w:rPr>
        <w:t>Tenure-track faculty members holding a probationary term of appointment may be granted an extension of the maximum probationary period with no resulting changes in employment obligations.  See Section V.B.4 of the Faculty Handbook, Extension of the Probationary Period.  Additional information is also available at the Academic Affairs policy site:  http://www.wku.edu/policies</w:t>
      </w:r>
      <w:r w:rsidR="00821F56" w:rsidRPr="00490BA1">
        <w:rPr>
          <w:rFonts w:ascii="Times New Roman" w:hAnsi="Times New Roman" w:cs="Times New Roman"/>
        </w:rPr>
        <w:t xml:space="preserve">/academic </w:t>
      </w:r>
      <w:proofErr w:type="spellStart"/>
      <w:r w:rsidR="00821F56" w:rsidRPr="00490BA1">
        <w:rPr>
          <w:rFonts w:ascii="Times New Roman" w:hAnsi="Times New Roman" w:cs="Times New Roman"/>
        </w:rPr>
        <w:t>afairs.php</w:t>
      </w:r>
      <w:proofErr w:type="spellEnd"/>
      <w:r w:rsidR="00821F56" w:rsidRPr="00490BA1">
        <w:rPr>
          <w:rFonts w:ascii="Times New Roman" w:hAnsi="Times New Roman" w:cs="Times New Roman"/>
        </w:rPr>
        <w:t xml:space="preserve">.  </w:t>
      </w:r>
      <w:r w:rsidRPr="00490BA1">
        <w:rPr>
          <w:rFonts w:ascii="Times New Roman" w:hAnsi="Times New Roman" w:cs="Times New Roman"/>
        </w:rPr>
        <w:t xml:space="preserve"> </w:t>
      </w:r>
    </w:p>
    <w:p w:rsidR="008B5163" w:rsidRPr="00490BA1" w:rsidRDefault="008B5163">
      <w:pPr>
        <w:pStyle w:val="NormalWeb"/>
        <w:spacing w:before="0" w:beforeAutospacing="0" w:after="0" w:afterAutospacing="0"/>
        <w:rPr>
          <w:rFonts w:ascii="Times New Roman" w:hAnsi="Times New Roman" w:cs="Times New Roman"/>
        </w:rPr>
      </w:pPr>
    </w:p>
    <w:p w:rsidR="008B5163" w:rsidRPr="00490BA1" w:rsidRDefault="00325E1E" w:rsidP="00821F56">
      <w:pPr>
        <w:pStyle w:val="NormalWeb"/>
        <w:spacing w:before="0" w:beforeAutospacing="0" w:after="0" w:afterAutospacing="0"/>
        <w:rPr>
          <w:rFonts w:ascii="Times New Roman" w:hAnsi="Times New Roman" w:cs="Times New Roman"/>
        </w:rPr>
      </w:pPr>
      <w:r w:rsidRPr="00490BA1">
        <w:rPr>
          <w:rFonts w:ascii="Times New Roman" w:hAnsi="Times New Roman" w:cs="Times New Roman"/>
        </w:rPr>
        <w:t xml:space="preserve">The procedures for tenure reviews in Potter College are those outlined in the </w:t>
      </w:r>
      <w:r w:rsidRPr="00490BA1">
        <w:rPr>
          <w:rFonts w:ascii="Times New Roman" w:hAnsi="Times New Roman" w:cs="Times New Roman"/>
          <w:b/>
        </w:rPr>
        <w:t>Faculty Handbook</w:t>
      </w:r>
      <w:r w:rsidRPr="00490BA1">
        <w:rPr>
          <w:rFonts w:ascii="Times New Roman" w:hAnsi="Times New Roman" w:cs="Times New Roman"/>
        </w:rPr>
        <w:t xml:space="preserve">.  </w:t>
      </w:r>
      <w:r w:rsidR="00821F56" w:rsidRPr="00490BA1">
        <w:rPr>
          <w:rFonts w:ascii="Times New Roman" w:hAnsi="Times New Roman" w:cs="Times New Roman"/>
        </w:rPr>
        <w:t xml:space="preserve">The appendix to the Potter College Tenure and Promotion Guidelines-- </w:t>
      </w:r>
      <w:r w:rsidR="008B5163" w:rsidRPr="00490BA1">
        <w:rPr>
          <w:rFonts w:ascii="Times New Roman" w:hAnsi="Times New Roman" w:cs="Times New Roman"/>
        </w:rPr>
        <w:t>Applications for Faculty Promotion or Tenure Guidelines for Submission of Supporting Materials</w:t>
      </w:r>
      <w:r w:rsidR="00821F56" w:rsidRPr="00490BA1">
        <w:rPr>
          <w:rFonts w:ascii="Times New Roman" w:hAnsi="Times New Roman" w:cs="Times New Roman"/>
        </w:rPr>
        <w:t>--</w:t>
      </w:r>
      <w:r w:rsidR="008B5163" w:rsidRPr="00490BA1">
        <w:rPr>
          <w:rFonts w:ascii="Times New Roman" w:hAnsi="Times New Roman" w:cs="Times New Roman"/>
        </w:rPr>
        <w:t xml:space="preserve">is an Academic Affairs document describing content and format for these applications.  </w:t>
      </w:r>
    </w:p>
    <w:p w:rsidR="006E266C" w:rsidRDefault="006E266C">
      <w:pPr>
        <w:pStyle w:val="NormalWeb"/>
        <w:spacing w:before="0" w:beforeAutospacing="0" w:after="0" w:afterAutospacing="0"/>
        <w:rPr>
          <w:rFonts w:ascii="Times New Roman" w:hAnsi="Times New Roman" w:cs="Times New Roman"/>
        </w:rPr>
      </w:pPr>
    </w:p>
    <w:p w:rsidR="00500A7D" w:rsidRDefault="00500A7D">
      <w:pPr>
        <w:pStyle w:val="Heading3"/>
        <w:jc w:val="center"/>
        <w:rPr>
          <w:rFonts w:ascii="Times New Roman" w:hAnsi="Times New Roman" w:cs="Times New Roman"/>
          <w:sz w:val="28"/>
          <w:szCs w:val="28"/>
        </w:rPr>
      </w:pPr>
    </w:p>
    <w:p w:rsidR="00500A7D" w:rsidRDefault="00500A7D">
      <w:pPr>
        <w:pStyle w:val="Heading3"/>
        <w:jc w:val="center"/>
        <w:rPr>
          <w:rFonts w:ascii="Times New Roman" w:hAnsi="Times New Roman" w:cs="Times New Roman"/>
          <w:sz w:val="28"/>
          <w:szCs w:val="28"/>
        </w:rPr>
      </w:pPr>
    </w:p>
    <w:p w:rsidR="006E266C" w:rsidRDefault="006E266C">
      <w:pPr>
        <w:pStyle w:val="Heading3"/>
        <w:jc w:val="center"/>
        <w:rPr>
          <w:rFonts w:ascii="Times New Roman" w:hAnsi="Times New Roman" w:cs="Times New Roman"/>
          <w:sz w:val="28"/>
          <w:szCs w:val="28"/>
        </w:rPr>
      </w:pPr>
      <w:r>
        <w:rPr>
          <w:rFonts w:ascii="Times New Roman" w:hAnsi="Times New Roman" w:cs="Times New Roman"/>
          <w:sz w:val="28"/>
          <w:szCs w:val="28"/>
        </w:rPr>
        <w:lastRenderedPageBreak/>
        <w:t>Tenure and Promotion Requirements</w:t>
      </w:r>
    </w:p>
    <w:p w:rsidR="006E266C" w:rsidRDefault="006E266C">
      <w:pPr>
        <w:rPr>
          <w:iCs/>
        </w:rPr>
      </w:pPr>
      <w:r>
        <w:t>Potter College and its departments will normally link tenure and promotion; candidates recommended for tenure should qualify for the rank of associate professor</w:t>
      </w:r>
      <w:r w:rsidR="00F84D8A">
        <w:t xml:space="preserve"> </w:t>
      </w:r>
      <w:r w:rsidR="00F84D8A" w:rsidRPr="00490BA1">
        <w:t>or professor</w:t>
      </w:r>
      <w:r>
        <w:t>. However, t</w:t>
      </w:r>
      <w:r>
        <w:rPr>
          <w:iCs/>
        </w:rPr>
        <w:t xml:space="preserve">enure and promotion are separate processes, and departments must act separately on each of them.    </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iCs/>
        </w:rPr>
      </w:pPr>
      <w:r>
        <w:rPr>
          <w:rFonts w:ascii="Times New Roman" w:hAnsi="Times New Roman" w:cs="Times New Roman"/>
          <w:iCs/>
        </w:rPr>
        <w:t xml:space="preserve">The dean’s review will apply the standards established by Potter College in accord with university standards.  The dean will also assure that department standards are of equal rigor across the college and comply with college and university standards.  </w:t>
      </w:r>
    </w:p>
    <w:p w:rsidR="006E266C" w:rsidRDefault="006E266C">
      <w:pPr>
        <w:pStyle w:val="NormalWeb"/>
        <w:spacing w:before="0" w:beforeAutospacing="0" w:after="0" w:afterAutospacing="0"/>
        <w:rPr>
          <w:rFonts w:ascii="Times New Roman" w:hAnsi="Times New Roman" w:cs="Times New Roman"/>
          <w:iCs/>
        </w:rPr>
      </w:pPr>
    </w:p>
    <w:p w:rsidR="006E266C" w:rsidRDefault="006E266C">
      <w:pPr>
        <w:pStyle w:val="NormalWeb"/>
        <w:spacing w:before="0" w:beforeAutospacing="0" w:after="0" w:afterAutospacing="0"/>
        <w:rPr>
          <w:rFonts w:ascii="Times New Roman" w:hAnsi="Times New Roman" w:cs="Times New Roman"/>
          <w:b/>
          <w:iCs/>
        </w:rPr>
      </w:pPr>
      <w:r>
        <w:rPr>
          <w:rFonts w:ascii="Times New Roman" w:hAnsi="Times New Roman" w:cs="Times New Roman"/>
          <w:b/>
          <w:iCs/>
        </w:rPr>
        <w:t>Tenure</w:t>
      </w:r>
    </w:p>
    <w:p w:rsidR="006E266C" w:rsidRDefault="006E266C">
      <w:pPr>
        <w:pStyle w:val="NormalWeb"/>
        <w:spacing w:before="0" w:beforeAutospacing="0" w:after="0" w:afterAutospacing="0"/>
        <w:rPr>
          <w:rFonts w:ascii="Times New Roman" w:hAnsi="Times New Roman" w:cs="Times New Roman"/>
          <w:i/>
          <w:iCs/>
        </w:rPr>
      </w:pPr>
    </w:p>
    <w:p w:rsidR="006E266C" w:rsidRDefault="006E266C">
      <w:pPr>
        <w:pStyle w:val="NormalWeb"/>
        <w:spacing w:before="0" w:beforeAutospacing="0" w:after="0" w:afterAutospacing="0"/>
        <w:rPr>
          <w:rFonts w:ascii="Times New Roman" w:hAnsi="Times New Roman" w:cs="Times New Roman"/>
          <w:bCs/>
          <w:iCs/>
        </w:rPr>
      </w:pPr>
      <w:r>
        <w:rPr>
          <w:rFonts w:ascii="Times New Roman" w:hAnsi="Times New Roman" w:cs="Times New Roman"/>
          <w:iCs/>
        </w:rPr>
        <w:t xml:space="preserve">Decisions concerning tenure will be based on performance in the following categories:  instructional </w:t>
      </w:r>
      <w:r>
        <w:rPr>
          <w:rFonts w:ascii="Times New Roman" w:hAnsi="Times New Roman" w:cs="Times New Roman"/>
          <w:bCs/>
          <w:iCs/>
        </w:rPr>
        <w:t>effectiveness</w:t>
      </w:r>
      <w:r>
        <w:rPr>
          <w:rFonts w:ascii="Times New Roman" w:hAnsi="Times New Roman" w:cs="Times New Roman"/>
          <w:iCs/>
        </w:rPr>
        <w:t xml:space="preserve">, research and scholarship </w:t>
      </w:r>
      <w:r>
        <w:rPr>
          <w:rFonts w:ascii="Times New Roman" w:hAnsi="Times New Roman" w:cs="Times New Roman"/>
          <w:bCs/>
          <w:iCs/>
        </w:rPr>
        <w:t>(Potter College defines this category as research and creative and professional activity),</w:t>
      </w:r>
      <w:r>
        <w:rPr>
          <w:rFonts w:ascii="Times New Roman" w:hAnsi="Times New Roman" w:cs="Times New Roman"/>
          <w:iCs/>
        </w:rPr>
        <w:t xml:space="preserve"> and service to and for the university.  </w:t>
      </w:r>
      <w:r w:rsidR="003D342E" w:rsidRPr="00490BA1">
        <w:rPr>
          <w:rFonts w:ascii="Times New Roman" w:hAnsi="Times New Roman" w:cs="Times New Roman"/>
          <w:iCs/>
        </w:rPr>
        <w:t>Pedagogical faculty are not required to demonstrate achievement in research and scholarship</w:t>
      </w:r>
      <w:r w:rsidR="003D342E" w:rsidRPr="003D342E">
        <w:rPr>
          <w:rFonts w:ascii="Times New Roman" w:hAnsi="Times New Roman" w:cs="Times New Roman"/>
          <w:i/>
          <w:iCs/>
        </w:rPr>
        <w:t>.</w:t>
      </w:r>
      <w:r w:rsidR="003D342E">
        <w:rPr>
          <w:rFonts w:ascii="Times New Roman" w:hAnsi="Times New Roman" w:cs="Times New Roman"/>
          <w:iCs/>
        </w:rPr>
        <w:t xml:space="preserve">  </w:t>
      </w:r>
      <w:r>
        <w:rPr>
          <w:rFonts w:ascii="Times New Roman" w:hAnsi="Times New Roman" w:cs="Times New Roman"/>
          <w:bCs/>
          <w:iCs/>
        </w:rPr>
        <w:t>The specific areas of performance are the same as those found in Section III.C of the Rank and Promotion Requirements described</w:t>
      </w:r>
      <w:r>
        <w:rPr>
          <w:rFonts w:ascii="Times New Roman" w:hAnsi="Times New Roman" w:cs="Times New Roman"/>
          <w:iCs/>
        </w:rPr>
        <w:t xml:space="preserve"> in the </w:t>
      </w:r>
      <w:r>
        <w:rPr>
          <w:rFonts w:ascii="Times New Roman" w:hAnsi="Times New Roman" w:cs="Times New Roman"/>
          <w:b/>
          <w:iCs/>
        </w:rPr>
        <w:t>Faculty Handbook</w:t>
      </w:r>
      <w:r>
        <w:rPr>
          <w:rFonts w:ascii="Times New Roman" w:hAnsi="Times New Roman" w:cs="Times New Roman"/>
          <w:iCs/>
        </w:rPr>
        <w:t xml:space="preserve">.  It is understood that the faculty member </w:t>
      </w:r>
      <w:r>
        <w:rPr>
          <w:rFonts w:ascii="Times New Roman" w:hAnsi="Times New Roman" w:cs="Times New Roman"/>
          <w:bCs/>
          <w:iCs/>
        </w:rPr>
        <w:t>seeking tenure</w:t>
      </w:r>
      <w:r>
        <w:rPr>
          <w:rFonts w:ascii="Times New Roman" w:hAnsi="Times New Roman" w:cs="Times New Roman"/>
          <w:iCs/>
        </w:rPr>
        <w:t xml:space="preserve"> will cooperate in working with colleagues in carrying out the University’s educational mission.  </w:t>
      </w:r>
      <w:r>
        <w:rPr>
          <w:rFonts w:ascii="Times New Roman" w:hAnsi="Times New Roman" w:cs="Times New Roman"/>
          <w:bCs/>
          <w:iCs/>
        </w:rPr>
        <w:t xml:space="preserve">In administering faculty tenure appointment policy, the University follows the 1940 </w:t>
      </w:r>
      <w:r>
        <w:rPr>
          <w:rFonts w:ascii="Times New Roman" w:hAnsi="Times New Roman" w:cs="Times New Roman"/>
          <w:b/>
          <w:bCs/>
          <w:iCs/>
        </w:rPr>
        <w:t>Statement of Principles on Academic Freedom and Tenure (With 1970 Interpretive Comments)</w:t>
      </w:r>
      <w:r>
        <w:rPr>
          <w:rFonts w:ascii="Times New Roman" w:hAnsi="Times New Roman" w:cs="Times New Roman"/>
          <w:bCs/>
          <w:iCs/>
        </w:rPr>
        <w:t xml:space="preserve"> developed by the Association of American Colleges and Universities and the American Association of University Professors.  Faculty receiving tenure will have demonstrated </w:t>
      </w:r>
      <w:r w:rsidR="00F84D8A" w:rsidRPr="00490BA1">
        <w:rPr>
          <w:rFonts w:ascii="Times New Roman" w:hAnsi="Times New Roman" w:cs="Times New Roman"/>
          <w:bCs/>
          <w:iCs/>
        </w:rPr>
        <w:t>a sustained level of</w:t>
      </w:r>
      <w:r w:rsidR="00F84D8A">
        <w:rPr>
          <w:rFonts w:ascii="Times New Roman" w:hAnsi="Times New Roman" w:cs="Times New Roman"/>
          <w:bCs/>
          <w:iCs/>
        </w:rPr>
        <w:t xml:space="preserve"> </w:t>
      </w:r>
      <w:r>
        <w:rPr>
          <w:rFonts w:ascii="Times New Roman" w:hAnsi="Times New Roman" w:cs="Times New Roman"/>
          <w:bCs/>
          <w:iCs/>
        </w:rPr>
        <w:t xml:space="preserve">professionalism in their teaching, scholarship, and service, a commitment to working in a mutually respectful and productive fashion with colleagues and active support of the mission and goals of the Department, College, and University.  </w:t>
      </w:r>
    </w:p>
    <w:p w:rsidR="00CA12D8" w:rsidRDefault="00CA12D8">
      <w:pPr>
        <w:pStyle w:val="NormalWeb"/>
        <w:spacing w:before="0" w:beforeAutospacing="0" w:after="0" w:afterAutospacing="0"/>
        <w:rPr>
          <w:rFonts w:ascii="Times New Roman" w:hAnsi="Times New Roman" w:cs="Times New Roman"/>
          <w:bCs/>
          <w:iCs/>
        </w:rPr>
      </w:pPr>
    </w:p>
    <w:p w:rsidR="00CA12D8" w:rsidRPr="00490BA1" w:rsidRDefault="00CA12D8">
      <w:pPr>
        <w:pStyle w:val="NormalWeb"/>
        <w:spacing w:before="0" w:beforeAutospacing="0" w:after="0" w:afterAutospacing="0"/>
        <w:rPr>
          <w:rFonts w:ascii="Times New Roman" w:hAnsi="Times New Roman" w:cs="Times New Roman"/>
          <w:bCs/>
          <w:iCs/>
        </w:rPr>
      </w:pPr>
      <w:r w:rsidRPr="00490BA1">
        <w:rPr>
          <w:rFonts w:ascii="Times New Roman" w:hAnsi="Times New Roman" w:cs="Times New Roman"/>
          <w:bCs/>
          <w:iCs/>
        </w:rPr>
        <w:t xml:space="preserve">Faculty members holding research appointments are not eligible for tenure.  </w:t>
      </w:r>
    </w:p>
    <w:p w:rsidR="006E266C" w:rsidRDefault="006E266C">
      <w:pPr>
        <w:pStyle w:val="NormalWeb"/>
        <w:spacing w:before="0" w:beforeAutospacing="0" w:after="0" w:afterAutospacing="0"/>
        <w:rPr>
          <w:rFonts w:ascii="Times New Roman" w:hAnsi="Times New Roman" w:cs="Times New Roman"/>
          <w:b/>
          <w:bCs/>
          <w:i/>
          <w:iCs/>
        </w:rPr>
      </w:pPr>
    </w:p>
    <w:p w:rsidR="006E266C" w:rsidRDefault="006E266C">
      <w:pPr>
        <w:pStyle w:val="NormalWeb"/>
        <w:spacing w:before="0" w:beforeAutospacing="0" w:after="0" w:afterAutospacing="0"/>
        <w:rPr>
          <w:rFonts w:ascii="Times New Roman" w:hAnsi="Times New Roman" w:cs="Times New Roman"/>
          <w:b/>
        </w:rPr>
      </w:pPr>
      <w:r>
        <w:rPr>
          <w:rFonts w:ascii="Times New Roman" w:hAnsi="Times New Roman" w:cs="Times New Roman"/>
          <w:b/>
        </w:rPr>
        <w:t>Promotion</w:t>
      </w:r>
    </w:p>
    <w:p w:rsidR="006E266C" w:rsidRDefault="006E266C">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University policy requires the following for promotion at every rank: demonstrated achievement appropriate for this rank in teaching effectiveness, scholarship </w:t>
      </w:r>
      <w:r>
        <w:rPr>
          <w:rFonts w:ascii="Times New Roman" w:hAnsi="Times New Roman" w:cs="Times New Roman"/>
          <w:bCs/>
        </w:rPr>
        <w:t>(Potter College defines this category as research and creative and professional activity),</w:t>
      </w:r>
      <w:r>
        <w:rPr>
          <w:rFonts w:ascii="Times New Roman" w:hAnsi="Times New Roman" w:cs="Times New Roman"/>
        </w:rPr>
        <w:t xml:space="preserve"> and university/public service. </w:t>
      </w:r>
      <w:r w:rsidR="003D342E" w:rsidRPr="00490BA1">
        <w:rPr>
          <w:rFonts w:ascii="Times New Roman" w:hAnsi="Times New Roman" w:cs="Times New Roman"/>
        </w:rPr>
        <w:t xml:space="preserve">Pedagogical faculty are not required to demonstrate achievement in research and scholarship.  </w:t>
      </w:r>
      <w:r w:rsidR="00CA12D8" w:rsidRPr="00490BA1">
        <w:rPr>
          <w:rFonts w:ascii="Times New Roman" w:hAnsi="Times New Roman" w:cs="Times New Roman"/>
        </w:rPr>
        <w:t>Research faculty ma</w:t>
      </w:r>
      <w:r w:rsidR="00AE706C" w:rsidRPr="00490BA1">
        <w:rPr>
          <w:rFonts w:ascii="Times New Roman" w:hAnsi="Times New Roman" w:cs="Times New Roman"/>
        </w:rPr>
        <w:t>y</w:t>
      </w:r>
      <w:r w:rsidR="00CA12D8" w:rsidRPr="00490BA1">
        <w:rPr>
          <w:rFonts w:ascii="Times New Roman" w:hAnsi="Times New Roman" w:cs="Times New Roman"/>
        </w:rPr>
        <w:t xml:space="preserve"> seek promotion in accord with the procedures outlined in Academic Affairs Policy 1.1960.</w:t>
      </w:r>
      <w:r w:rsidR="00CA12D8">
        <w:rPr>
          <w:rFonts w:ascii="Times New Roman" w:hAnsi="Times New Roman" w:cs="Times New Roman"/>
        </w:rPr>
        <w:t xml:space="preserve">  </w:t>
      </w:r>
    </w:p>
    <w:p w:rsidR="00906A69" w:rsidRDefault="00906A69">
      <w:pPr>
        <w:pStyle w:val="NormalWeb"/>
        <w:spacing w:before="0" w:beforeAutospacing="0" w:after="0" w:afterAutospacing="0"/>
        <w:rPr>
          <w:rFonts w:ascii="Times New Roman" w:hAnsi="Times New Roman" w:cs="Times New Roman"/>
        </w:rPr>
      </w:pPr>
    </w:p>
    <w:p w:rsidR="00821F56" w:rsidRPr="00490BA1" w:rsidRDefault="006E266C" w:rsidP="00821F56">
      <w:pPr>
        <w:pStyle w:val="NormalWeb"/>
        <w:spacing w:before="0" w:beforeAutospacing="0" w:after="0" w:afterAutospacing="0"/>
        <w:rPr>
          <w:rFonts w:ascii="Times New Roman" w:hAnsi="Times New Roman" w:cs="Times New Roman"/>
        </w:rPr>
      </w:pPr>
      <w:r w:rsidRPr="00490BA1">
        <w:rPr>
          <w:rFonts w:ascii="Times New Roman" w:hAnsi="Times New Roman" w:cs="Times New Roman"/>
        </w:rPr>
        <w:t xml:space="preserve">The procedures for promotion </w:t>
      </w:r>
      <w:r w:rsidR="00821F56" w:rsidRPr="00490BA1">
        <w:rPr>
          <w:rFonts w:ascii="Times New Roman" w:hAnsi="Times New Roman" w:cs="Times New Roman"/>
        </w:rPr>
        <w:t xml:space="preserve">in Potter College </w:t>
      </w:r>
      <w:r w:rsidRPr="00490BA1">
        <w:rPr>
          <w:rFonts w:ascii="Times New Roman" w:hAnsi="Times New Roman" w:cs="Times New Roman"/>
        </w:rPr>
        <w:t xml:space="preserve">are those outlined in the </w:t>
      </w:r>
      <w:r w:rsidRPr="00490BA1">
        <w:rPr>
          <w:rFonts w:ascii="Times New Roman" w:hAnsi="Times New Roman" w:cs="Times New Roman"/>
          <w:b/>
          <w:bCs/>
        </w:rPr>
        <w:t>Faculty Handbook</w:t>
      </w:r>
      <w:r w:rsidRPr="00490BA1">
        <w:rPr>
          <w:rFonts w:ascii="Times New Roman" w:hAnsi="Times New Roman" w:cs="Times New Roman"/>
        </w:rPr>
        <w:t xml:space="preserve">.  </w:t>
      </w:r>
      <w:r w:rsidR="00821F56" w:rsidRPr="00490BA1">
        <w:rPr>
          <w:rFonts w:ascii="Times New Roman" w:hAnsi="Times New Roman" w:cs="Times New Roman"/>
        </w:rPr>
        <w:t xml:space="preserve">The appendix to the Potter College Tenure and Promotion Guidelines, Applications for Faculty Promotion or Tenure Guidelines for Submission of Supporting Materials, is an Academic Affairs document describing content and format for these applications.  </w:t>
      </w:r>
    </w:p>
    <w:p w:rsidR="008B5163" w:rsidRDefault="008B5163">
      <w:pPr>
        <w:pStyle w:val="NormalWeb"/>
        <w:spacing w:before="0" w:beforeAutospacing="0" w:after="0" w:afterAutospacing="0"/>
        <w:rPr>
          <w:rFonts w:ascii="Times New Roman" w:hAnsi="Times New Roman" w:cs="Times New Roman"/>
        </w:rPr>
      </w:pPr>
    </w:p>
    <w:p w:rsidR="006E266C" w:rsidRDefault="006E266C">
      <w:pPr>
        <w:pStyle w:val="NormalWeb"/>
        <w:spacing w:before="0" w:beforeAutospacing="0" w:after="0" w:afterAutospacing="0"/>
        <w:rPr>
          <w:rFonts w:ascii="Times New Roman" w:hAnsi="Times New Roman" w:cs="Times New Roman"/>
          <w:b/>
        </w:rPr>
      </w:pPr>
      <w:r>
        <w:rPr>
          <w:rFonts w:ascii="Times New Roman" w:hAnsi="Times New Roman" w:cs="Times New Roman"/>
        </w:rPr>
        <w:lastRenderedPageBreak/>
        <w:t xml:space="preserve">Demonstrated achievement will be considered only as it is relevant to the individual's area of professional competence. Only contributions since the last promotion will be considered for the next promotion. It is the responsibility of the candidate seeking promotion to provide promotion committees with the appropriate evidence on which to base a decision </w:t>
      </w:r>
      <w:r>
        <w:rPr>
          <w:rFonts w:ascii="Times New Roman" w:hAnsi="Times New Roman" w:cs="Times New Roman"/>
          <w:bCs/>
        </w:rPr>
        <w:t>following submission guidelines provided by the Provost’s Office</w:t>
      </w:r>
      <w:r>
        <w:rPr>
          <w:rFonts w:ascii="Times New Roman" w:hAnsi="Times New Roman" w:cs="Times New Roman"/>
        </w:rPr>
        <w:t xml:space="preserve">. Departments will develop specific quantitative and qualitative criteria appropriate to their disciplines, and evaluation of all areas, both at the Departmental and at the College levels, will take these criteria into consideration.  </w:t>
      </w:r>
      <w:r w:rsidRPr="00E30D96">
        <w:rPr>
          <w:rFonts w:ascii="Times New Roman" w:hAnsi="Times New Roman" w:cs="Times New Roman"/>
          <w:bCs/>
        </w:rPr>
        <w:t>The standards for promotion to full professor should be more rigorous than those for promotion to associate professor.</w:t>
      </w:r>
      <w:r>
        <w:rPr>
          <w:rFonts w:ascii="Times New Roman" w:hAnsi="Times New Roman" w:cs="Times New Roman"/>
        </w:rPr>
        <w:t xml:space="preserve">  Faculty receiving </w:t>
      </w:r>
      <w:r>
        <w:rPr>
          <w:rFonts w:ascii="Times New Roman" w:hAnsi="Times New Roman" w:cs="Times New Roman"/>
          <w:bCs/>
        </w:rPr>
        <w:t>promotion</w:t>
      </w:r>
      <w:r>
        <w:rPr>
          <w:rFonts w:ascii="Times New Roman" w:hAnsi="Times New Roman" w:cs="Times New Roman"/>
          <w:b/>
        </w:rPr>
        <w:t xml:space="preserve"> </w:t>
      </w:r>
      <w:r>
        <w:rPr>
          <w:rFonts w:ascii="Times New Roman" w:hAnsi="Times New Roman" w:cs="Times New Roman"/>
        </w:rPr>
        <w:t xml:space="preserve">will have demonstrated professionalism in their teaching, scholarship, and service, a commitment to working in a mutually respectful and productive fashion with colleagues </w:t>
      </w:r>
      <w:r>
        <w:rPr>
          <w:rFonts w:ascii="Times New Roman" w:hAnsi="Times New Roman" w:cs="Times New Roman"/>
          <w:bCs/>
        </w:rPr>
        <w:t>and students,</w:t>
      </w:r>
      <w:r>
        <w:rPr>
          <w:rFonts w:ascii="Times New Roman" w:hAnsi="Times New Roman" w:cs="Times New Roman"/>
        </w:rPr>
        <w:t xml:space="preserve"> and active support of the mission and goals of the Department, College, and University.</w:t>
      </w:r>
      <w:r>
        <w:rPr>
          <w:rFonts w:ascii="Times New Roman" w:hAnsi="Times New Roman" w:cs="Times New Roman"/>
          <w:b/>
        </w:rPr>
        <w:t xml:space="preserve">  </w:t>
      </w:r>
    </w:p>
    <w:p w:rsidR="006E266C" w:rsidRDefault="006E266C">
      <w:pPr>
        <w:pStyle w:val="NormalWeb"/>
        <w:spacing w:before="0" w:beforeAutospacing="0" w:after="0" w:afterAutospacing="0"/>
        <w:rPr>
          <w:rFonts w:ascii="Times New Roman" w:hAnsi="Times New Roman" w:cs="Times New Roman"/>
          <w:b/>
          <w:i/>
        </w:rPr>
      </w:pPr>
    </w:p>
    <w:p w:rsidR="006E266C" w:rsidRDefault="006E266C">
      <w:pPr>
        <w:spacing w:before="100" w:beforeAutospacing="1" w:after="100" w:afterAutospacing="1"/>
        <w:jc w:val="center"/>
        <w:rPr>
          <w:b/>
          <w:sz w:val="28"/>
          <w:szCs w:val="28"/>
        </w:rPr>
      </w:pPr>
      <w:r>
        <w:rPr>
          <w:b/>
          <w:sz w:val="28"/>
          <w:szCs w:val="28"/>
        </w:rPr>
        <w:t>Potter College Criteria and Guidelines</w:t>
      </w:r>
    </w:p>
    <w:p w:rsidR="006E266C" w:rsidRDefault="006E266C">
      <w:pPr>
        <w:pStyle w:val="Heading1"/>
        <w:rPr>
          <w:i w:val="0"/>
        </w:rPr>
      </w:pPr>
      <w:r>
        <w:rPr>
          <w:i w:val="0"/>
        </w:rPr>
        <w:t>Effective Teaching and Academic Advising</w:t>
      </w:r>
    </w:p>
    <w:p w:rsidR="0014745B" w:rsidRPr="00490BA1" w:rsidRDefault="006E266C">
      <w:pPr>
        <w:spacing w:before="100" w:beforeAutospacing="1" w:after="100" w:afterAutospacing="1"/>
      </w:pPr>
      <w:r>
        <w:rPr>
          <w:iCs/>
        </w:rPr>
        <w:t>In the evaluation of faculty work, Potter College places its major emphasis on teaching effectiveness and requires excellent teaching for tenure and promotion.</w:t>
      </w:r>
      <w:r>
        <w:rPr>
          <w:i/>
        </w:rPr>
        <w:t xml:space="preserve">   </w:t>
      </w:r>
      <w:r w:rsidR="0014745B" w:rsidRPr="00490BA1">
        <w:t xml:space="preserve">Pedagogical faculty seeking promotion must document outstanding achievement in this category.  </w:t>
      </w:r>
      <w:r w:rsidR="004A72E0" w:rsidRPr="00490BA1">
        <w:t xml:space="preserve">Research faculty are not required to present evidence of effective teaching and advising because of the nature of their appointment.  </w:t>
      </w:r>
    </w:p>
    <w:p w:rsidR="006E266C" w:rsidRDefault="004A72E0">
      <w:pPr>
        <w:spacing w:before="100" w:beforeAutospacing="1" w:after="100" w:afterAutospacing="1"/>
        <w:rPr>
          <w:i/>
        </w:rPr>
      </w:pPr>
      <w:r w:rsidRPr="00490BA1">
        <w:rPr>
          <w:iCs/>
        </w:rPr>
        <w:t>With the exception of Research faculty</w:t>
      </w:r>
      <w:r w:rsidRPr="004A72E0">
        <w:rPr>
          <w:i/>
          <w:iCs/>
        </w:rPr>
        <w:t>,</w:t>
      </w:r>
      <w:r>
        <w:rPr>
          <w:iCs/>
        </w:rPr>
        <w:t xml:space="preserve"> a</w:t>
      </w:r>
      <w:r w:rsidR="006E266C">
        <w:rPr>
          <w:iCs/>
        </w:rPr>
        <w:t xml:space="preserve">ll candidates for promotion and tenure must demonstrate the following </w:t>
      </w:r>
      <w:r w:rsidR="006E266C">
        <w:rPr>
          <w:b/>
          <w:iCs/>
        </w:rPr>
        <w:t>characteristics</w:t>
      </w:r>
      <w:r w:rsidR="006E266C">
        <w:rPr>
          <w:iCs/>
        </w:rPr>
        <w:t xml:space="preserve"> of effective teaching and academic advising that promote student learning: </w:t>
      </w:r>
    </w:p>
    <w:p w:rsidR="006E266C" w:rsidRDefault="006E266C">
      <w:pPr>
        <w:numPr>
          <w:ilvl w:val="0"/>
          <w:numId w:val="2"/>
        </w:numPr>
        <w:spacing w:before="100" w:beforeAutospacing="1" w:after="100" w:afterAutospacing="1"/>
        <w:rPr>
          <w:iCs/>
        </w:rPr>
      </w:pPr>
      <w:r>
        <w:rPr>
          <w:iCs/>
        </w:rPr>
        <w:t>sound, extensive, and current knowledge of area of expertise, and the ability to convey it successfully to students</w:t>
      </w:r>
    </w:p>
    <w:p w:rsidR="006E266C" w:rsidRDefault="006E266C">
      <w:pPr>
        <w:numPr>
          <w:ilvl w:val="0"/>
          <w:numId w:val="2"/>
        </w:numPr>
        <w:spacing w:before="100" w:beforeAutospacing="1" w:after="100" w:afterAutospacing="1"/>
        <w:rPr>
          <w:iCs/>
        </w:rPr>
      </w:pPr>
      <w:r>
        <w:rPr>
          <w:iCs/>
        </w:rPr>
        <w:t>superior teaching skills reflected in the quality of student work and in student learning</w:t>
      </w:r>
    </w:p>
    <w:p w:rsidR="006E266C" w:rsidRDefault="006E266C">
      <w:pPr>
        <w:numPr>
          <w:ilvl w:val="0"/>
          <w:numId w:val="2"/>
        </w:numPr>
        <w:spacing w:before="100" w:beforeAutospacing="1" w:after="100" w:afterAutospacing="1"/>
        <w:rPr>
          <w:iCs/>
        </w:rPr>
      </w:pPr>
      <w:r>
        <w:rPr>
          <w:iCs/>
        </w:rPr>
        <w:t>excellent planning, preparation, and organization of teaching materials (prepared for class; clearly stated course objectives and assignments; well-organized presentations; challenging student assignments; good use of class time)</w:t>
      </w:r>
    </w:p>
    <w:p w:rsidR="006E266C" w:rsidRDefault="006E266C">
      <w:pPr>
        <w:numPr>
          <w:ilvl w:val="0"/>
          <w:numId w:val="2"/>
        </w:numPr>
        <w:spacing w:before="100" w:beforeAutospacing="1" w:after="100" w:afterAutospacing="1"/>
        <w:rPr>
          <w:iCs/>
        </w:rPr>
      </w:pPr>
      <w:r>
        <w:rPr>
          <w:iCs/>
        </w:rPr>
        <w:t>effective presentation in an instructional setting (encourages student questions, comments/discussion and differing points of view; uses a variety of teaching techniques; conveys enthusiasm about the subject; communicates effectively in an instructional setting)</w:t>
      </w:r>
    </w:p>
    <w:p w:rsidR="006E266C" w:rsidRDefault="006E266C">
      <w:pPr>
        <w:numPr>
          <w:ilvl w:val="0"/>
          <w:numId w:val="2"/>
        </w:numPr>
        <w:spacing w:before="100" w:beforeAutospacing="1" w:after="100" w:afterAutospacing="1"/>
        <w:rPr>
          <w:iCs/>
        </w:rPr>
      </w:pPr>
      <w:r>
        <w:rPr>
          <w:iCs/>
        </w:rPr>
        <w:t>the ability and willingness to experiment, to develop new instructional techniques and methods, and to revise and improve course materials</w:t>
      </w:r>
    </w:p>
    <w:p w:rsidR="006E266C" w:rsidRDefault="006E266C">
      <w:pPr>
        <w:numPr>
          <w:ilvl w:val="0"/>
          <w:numId w:val="2"/>
        </w:numPr>
        <w:spacing w:before="100" w:beforeAutospacing="1" w:after="100" w:afterAutospacing="1"/>
        <w:rPr>
          <w:iCs/>
        </w:rPr>
      </w:pPr>
      <w:r>
        <w:rPr>
          <w:iCs/>
        </w:rPr>
        <w:t>individual initiative, academic responsibility (returning student work in a timely fashion, holding office hours, keeping appointments, meeting classes), and self-evaluation of courses (revising notes, student assignments, and test materials)</w:t>
      </w:r>
    </w:p>
    <w:p w:rsidR="006E266C" w:rsidRDefault="006E266C">
      <w:pPr>
        <w:numPr>
          <w:ilvl w:val="0"/>
          <w:numId w:val="2"/>
        </w:numPr>
        <w:spacing w:before="100" w:beforeAutospacing="1" w:after="100" w:afterAutospacing="1"/>
        <w:rPr>
          <w:i/>
        </w:rPr>
      </w:pPr>
      <w:r>
        <w:rPr>
          <w:iCs/>
        </w:rPr>
        <w:t>consistent and fair methods of assigning, evaluating, and grading student work</w:t>
      </w:r>
    </w:p>
    <w:p w:rsidR="006E266C" w:rsidRDefault="006E266C">
      <w:pPr>
        <w:numPr>
          <w:ilvl w:val="0"/>
          <w:numId w:val="2"/>
        </w:numPr>
        <w:spacing w:before="100" w:beforeAutospacing="1" w:after="100" w:afterAutospacing="1"/>
        <w:rPr>
          <w:iCs/>
        </w:rPr>
      </w:pPr>
      <w:r>
        <w:rPr>
          <w:iCs/>
        </w:rPr>
        <w:lastRenderedPageBreak/>
        <w:t>dependable student advising on curricular and professional matters by faculty members assigned to those responsibilities</w:t>
      </w:r>
    </w:p>
    <w:p w:rsidR="006E266C" w:rsidRDefault="006E266C">
      <w:pPr>
        <w:spacing w:before="100" w:beforeAutospacing="1" w:after="100" w:afterAutospacing="1"/>
        <w:rPr>
          <w:iCs/>
        </w:rPr>
      </w:pPr>
      <w:r>
        <w:rPr>
          <w:iCs/>
        </w:rPr>
        <w:t xml:space="preserve">The College recognizes that excellent teaching can occur in a variety of settings and that faculty members may promote student learning using a variety of </w:t>
      </w:r>
      <w:r w:rsidRPr="00490BA1">
        <w:rPr>
          <w:iCs/>
        </w:rPr>
        <w:t>instructional methods and activities</w:t>
      </w:r>
      <w:r>
        <w:rPr>
          <w:iCs/>
        </w:rPr>
        <w:t>.  These may include but are not limited to</w:t>
      </w:r>
    </w:p>
    <w:p w:rsidR="006E266C" w:rsidRDefault="006E266C">
      <w:pPr>
        <w:numPr>
          <w:ilvl w:val="0"/>
          <w:numId w:val="7"/>
        </w:numPr>
        <w:spacing w:before="100" w:beforeAutospacing="1" w:after="100" w:afterAutospacing="1"/>
        <w:rPr>
          <w:iCs/>
        </w:rPr>
      </w:pPr>
      <w:r>
        <w:rPr>
          <w:iCs/>
        </w:rPr>
        <w:t>presentations in instructional settings (lecture, seminar, studio, or other venues)</w:t>
      </w:r>
    </w:p>
    <w:p w:rsidR="006E266C" w:rsidRDefault="006E266C">
      <w:pPr>
        <w:numPr>
          <w:ilvl w:val="0"/>
          <w:numId w:val="7"/>
        </w:numPr>
        <w:spacing w:before="100" w:beforeAutospacing="1" w:after="100" w:afterAutospacing="1"/>
        <w:rPr>
          <w:iCs/>
        </w:rPr>
      </w:pPr>
      <w:r>
        <w:rPr>
          <w:iCs/>
        </w:rPr>
        <w:t>collaboration with students in research or in creative or professional activity</w:t>
      </w:r>
    </w:p>
    <w:p w:rsidR="006E266C" w:rsidRDefault="006E266C">
      <w:pPr>
        <w:numPr>
          <w:ilvl w:val="0"/>
          <w:numId w:val="7"/>
        </w:numPr>
        <w:spacing w:before="100" w:beforeAutospacing="1" w:after="100" w:afterAutospacing="1"/>
        <w:rPr>
          <w:iCs/>
        </w:rPr>
      </w:pPr>
      <w:r>
        <w:rPr>
          <w:iCs/>
        </w:rPr>
        <w:t>innovative use of technology for instruction and advising</w:t>
      </w:r>
    </w:p>
    <w:p w:rsidR="006E266C" w:rsidRDefault="006E266C">
      <w:pPr>
        <w:numPr>
          <w:ilvl w:val="0"/>
          <w:numId w:val="7"/>
        </w:numPr>
        <w:spacing w:before="100" w:beforeAutospacing="1" w:after="100" w:afterAutospacing="1"/>
        <w:rPr>
          <w:iCs/>
        </w:rPr>
      </w:pPr>
      <w:r>
        <w:rPr>
          <w:iCs/>
        </w:rPr>
        <w:t>teaching through alternative delivery such as distance and web-based learning or regional campus instruction</w:t>
      </w:r>
      <w:r>
        <w:rPr>
          <w:iCs/>
          <w:u w:val="single"/>
        </w:rPr>
        <w:t xml:space="preserve"> </w:t>
      </w:r>
      <w:r>
        <w:rPr>
          <w:iCs/>
        </w:rPr>
        <w:t xml:space="preserve"> </w:t>
      </w:r>
    </w:p>
    <w:p w:rsidR="006E266C" w:rsidRDefault="006E266C">
      <w:pPr>
        <w:numPr>
          <w:ilvl w:val="0"/>
          <w:numId w:val="7"/>
        </w:numPr>
        <w:spacing w:before="100" w:beforeAutospacing="1" w:after="100" w:afterAutospacing="1"/>
        <w:rPr>
          <w:iCs/>
        </w:rPr>
      </w:pPr>
      <w:r>
        <w:rPr>
          <w:iCs/>
        </w:rPr>
        <w:t>use of service learning or community-based teaching strategies</w:t>
      </w:r>
    </w:p>
    <w:p w:rsidR="006E266C" w:rsidRDefault="006E266C">
      <w:pPr>
        <w:numPr>
          <w:ilvl w:val="0"/>
          <w:numId w:val="7"/>
        </w:numPr>
        <w:spacing w:before="100" w:beforeAutospacing="1" w:after="100" w:afterAutospacing="1"/>
        <w:rPr>
          <w:iCs/>
        </w:rPr>
      </w:pPr>
      <w:r>
        <w:rPr>
          <w:iCs/>
        </w:rPr>
        <w:t>involvement in special academic programs such as Honors, Study Abroad, interdisciplinary teaching, or student retention efforts</w:t>
      </w:r>
    </w:p>
    <w:p w:rsidR="006E266C" w:rsidRDefault="006E266C">
      <w:pPr>
        <w:numPr>
          <w:ilvl w:val="0"/>
          <w:numId w:val="7"/>
        </w:numPr>
        <w:spacing w:before="100" w:beforeAutospacing="1" w:after="100" w:afterAutospacing="1"/>
        <w:rPr>
          <w:i/>
        </w:rPr>
      </w:pPr>
      <w:r>
        <w:rPr>
          <w:iCs/>
        </w:rPr>
        <w:t>student advising on academic and career matters</w:t>
      </w:r>
    </w:p>
    <w:p w:rsidR="006E266C" w:rsidRDefault="006E266C">
      <w:pPr>
        <w:numPr>
          <w:ilvl w:val="0"/>
          <w:numId w:val="7"/>
        </w:numPr>
        <w:spacing w:before="100" w:beforeAutospacing="1" w:after="100" w:afterAutospacing="1"/>
        <w:rPr>
          <w:i/>
        </w:rPr>
      </w:pPr>
      <w:r>
        <w:rPr>
          <w:iCs/>
        </w:rPr>
        <w:t>teaching-related grant activity</w:t>
      </w:r>
    </w:p>
    <w:p w:rsidR="006E266C" w:rsidRDefault="006E266C">
      <w:pPr>
        <w:spacing w:before="100" w:beforeAutospacing="1" w:after="100" w:afterAutospacing="1"/>
        <w:rPr>
          <w:i/>
        </w:rPr>
      </w:pPr>
      <w:r>
        <w:rPr>
          <w:iCs/>
        </w:rPr>
        <w:t>In that spirit, the College invites evidence of effective teaching and academic advising that promote student learning drawn from a variety of sources.</w:t>
      </w:r>
      <w:r>
        <w:rPr>
          <w:i/>
        </w:rPr>
        <w:t xml:space="preserve">  </w:t>
      </w:r>
      <w:r w:rsidRPr="00490BA1">
        <w:rPr>
          <w:iCs/>
        </w:rPr>
        <w:t>Documentation</w:t>
      </w:r>
      <w:r>
        <w:rPr>
          <w:iCs/>
        </w:rPr>
        <w:t xml:space="preserve"> may include but is not limited to</w:t>
      </w:r>
    </w:p>
    <w:p w:rsidR="006E266C" w:rsidRDefault="006E266C">
      <w:pPr>
        <w:numPr>
          <w:ilvl w:val="0"/>
          <w:numId w:val="8"/>
        </w:numPr>
        <w:spacing w:before="100" w:beforeAutospacing="1" w:after="100" w:afterAutospacing="1"/>
        <w:rPr>
          <w:iCs/>
        </w:rPr>
      </w:pPr>
      <w:r>
        <w:rPr>
          <w:iCs/>
        </w:rPr>
        <w:t>teaching materials (e.g. syllabi, student assignments, tests, or other course-related documents)</w:t>
      </w:r>
    </w:p>
    <w:p w:rsidR="006E266C" w:rsidRDefault="006E266C">
      <w:pPr>
        <w:numPr>
          <w:ilvl w:val="0"/>
          <w:numId w:val="8"/>
        </w:numPr>
        <w:spacing w:before="100" w:beforeAutospacing="1" w:after="100" w:afterAutospacing="1"/>
        <w:rPr>
          <w:i/>
        </w:rPr>
      </w:pPr>
      <w:r>
        <w:rPr>
          <w:iCs/>
        </w:rPr>
        <w:t xml:space="preserve">evidence of innovative teaching or advising methods </w:t>
      </w:r>
    </w:p>
    <w:p w:rsidR="006E266C" w:rsidRDefault="006E266C">
      <w:pPr>
        <w:numPr>
          <w:ilvl w:val="0"/>
          <w:numId w:val="8"/>
        </w:numPr>
        <w:spacing w:before="100" w:beforeAutospacing="1" w:after="100" w:afterAutospacing="1"/>
        <w:rPr>
          <w:iCs/>
        </w:rPr>
      </w:pPr>
      <w:r>
        <w:rPr>
          <w:iCs/>
        </w:rPr>
        <w:t xml:space="preserve">student evaluations </w:t>
      </w:r>
    </w:p>
    <w:p w:rsidR="006E266C" w:rsidRDefault="006E266C">
      <w:pPr>
        <w:numPr>
          <w:ilvl w:val="0"/>
          <w:numId w:val="8"/>
        </w:numPr>
        <w:spacing w:before="100" w:beforeAutospacing="1" w:after="100" w:afterAutospacing="1"/>
        <w:rPr>
          <w:iCs/>
        </w:rPr>
      </w:pPr>
      <w:r>
        <w:rPr>
          <w:iCs/>
        </w:rPr>
        <w:t>new courses designed and offered</w:t>
      </w:r>
    </w:p>
    <w:p w:rsidR="006E266C" w:rsidRDefault="006E266C">
      <w:pPr>
        <w:numPr>
          <w:ilvl w:val="0"/>
          <w:numId w:val="8"/>
        </w:numPr>
        <w:spacing w:before="100" w:beforeAutospacing="1" w:after="100" w:afterAutospacing="1"/>
        <w:rPr>
          <w:iCs/>
        </w:rPr>
      </w:pPr>
      <w:r>
        <w:rPr>
          <w:iCs/>
        </w:rPr>
        <w:t>participation in workshops and activities designed to enhance instructional skills and improve discipline-based pedagogy</w:t>
      </w:r>
    </w:p>
    <w:p w:rsidR="006E266C" w:rsidRDefault="006E266C">
      <w:pPr>
        <w:numPr>
          <w:ilvl w:val="0"/>
          <w:numId w:val="8"/>
        </w:numPr>
        <w:spacing w:before="100" w:beforeAutospacing="1" w:after="100" w:afterAutospacing="1"/>
        <w:rPr>
          <w:iCs/>
        </w:rPr>
      </w:pPr>
      <w:r>
        <w:rPr>
          <w:iCs/>
        </w:rPr>
        <w:t>annual evaluations</w:t>
      </w:r>
    </w:p>
    <w:p w:rsidR="006E266C" w:rsidRDefault="006E266C">
      <w:pPr>
        <w:numPr>
          <w:ilvl w:val="0"/>
          <w:numId w:val="8"/>
        </w:numPr>
        <w:spacing w:before="100" w:beforeAutospacing="1" w:after="100" w:afterAutospacing="1"/>
        <w:rPr>
          <w:iCs/>
        </w:rPr>
      </w:pPr>
      <w:r>
        <w:rPr>
          <w:iCs/>
        </w:rPr>
        <w:t>examples of student work (e.g. Honors or graduate theses, scores on Praxis or other standardized discipline-specific instruments, student portfolios, juries, public performances and exhibitions)</w:t>
      </w:r>
    </w:p>
    <w:p w:rsidR="006E266C" w:rsidRDefault="006E266C">
      <w:pPr>
        <w:numPr>
          <w:ilvl w:val="0"/>
          <w:numId w:val="8"/>
        </w:numPr>
        <w:spacing w:before="100" w:beforeAutospacing="1" w:after="100" w:afterAutospacing="1"/>
        <w:rPr>
          <w:iCs/>
        </w:rPr>
      </w:pPr>
      <w:r>
        <w:rPr>
          <w:iCs/>
        </w:rPr>
        <w:t>reflective self-evaluation</w:t>
      </w:r>
    </w:p>
    <w:p w:rsidR="006E266C" w:rsidRDefault="006E266C">
      <w:pPr>
        <w:numPr>
          <w:ilvl w:val="0"/>
          <w:numId w:val="8"/>
        </w:numPr>
        <w:spacing w:before="100" w:beforeAutospacing="1" w:after="100" w:afterAutospacing="1"/>
        <w:rPr>
          <w:iCs/>
        </w:rPr>
      </w:pPr>
      <w:r>
        <w:rPr>
          <w:iCs/>
        </w:rPr>
        <w:t>formal and/or informal faculty evaluations and peer reviews</w:t>
      </w:r>
    </w:p>
    <w:p w:rsidR="006E266C" w:rsidRDefault="006E266C">
      <w:pPr>
        <w:numPr>
          <w:ilvl w:val="0"/>
          <w:numId w:val="8"/>
        </w:numPr>
        <w:spacing w:before="100" w:beforeAutospacing="1" w:after="100" w:afterAutospacing="1"/>
        <w:rPr>
          <w:iCs/>
        </w:rPr>
      </w:pPr>
      <w:r>
        <w:rPr>
          <w:iCs/>
        </w:rPr>
        <w:t>record of student advising and mentoring</w:t>
      </w:r>
    </w:p>
    <w:p w:rsidR="006E266C" w:rsidRDefault="006E266C">
      <w:pPr>
        <w:numPr>
          <w:ilvl w:val="0"/>
          <w:numId w:val="8"/>
        </w:numPr>
        <w:spacing w:before="100" w:beforeAutospacing="1" w:after="100" w:afterAutospacing="1"/>
        <w:rPr>
          <w:iCs/>
        </w:rPr>
      </w:pPr>
      <w:r>
        <w:rPr>
          <w:iCs/>
        </w:rPr>
        <w:t>record of participation in university retention efforts and programs designed to promote student success</w:t>
      </w:r>
    </w:p>
    <w:p w:rsidR="006E266C" w:rsidRDefault="006E266C">
      <w:pPr>
        <w:numPr>
          <w:ilvl w:val="0"/>
          <w:numId w:val="8"/>
        </w:numPr>
        <w:spacing w:before="100" w:beforeAutospacing="1" w:after="100" w:afterAutospacing="1"/>
        <w:rPr>
          <w:iCs/>
        </w:rPr>
      </w:pPr>
      <w:r>
        <w:rPr>
          <w:iCs/>
        </w:rPr>
        <w:t>successful grant activity related to effective teaching and advising</w:t>
      </w:r>
    </w:p>
    <w:p w:rsidR="006E266C" w:rsidRDefault="006E266C">
      <w:pPr>
        <w:numPr>
          <w:ilvl w:val="0"/>
          <w:numId w:val="8"/>
        </w:numPr>
        <w:spacing w:before="100" w:beforeAutospacing="1" w:after="100" w:afterAutospacing="1"/>
        <w:rPr>
          <w:iCs/>
        </w:rPr>
      </w:pPr>
      <w:r>
        <w:rPr>
          <w:iCs/>
        </w:rPr>
        <w:t>college and/or university recognition for teaching and/or advising</w:t>
      </w:r>
    </w:p>
    <w:p w:rsidR="006E266C" w:rsidRDefault="006E266C">
      <w:pPr>
        <w:numPr>
          <w:ilvl w:val="0"/>
          <w:numId w:val="8"/>
        </w:numPr>
        <w:spacing w:before="100" w:beforeAutospacing="1" w:after="100" w:afterAutospacing="1"/>
        <w:rPr>
          <w:iCs/>
        </w:rPr>
      </w:pPr>
      <w:r>
        <w:rPr>
          <w:iCs/>
        </w:rPr>
        <w:t>other materials as appropriate</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r>
        <w:rPr>
          <w:i/>
          <w:sz w:val="22"/>
        </w:rPr>
        <w:tab/>
      </w:r>
    </w:p>
    <w:p w:rsidR="005C31CE" w:rsidRDefault="005C31C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p>
    <w:p w:rsidR="005C31CE" w:rsidRDefault="005C31C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2"/>
        </w:rPr>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28"/>
          <w:szCs w:val="28"/>
        </w:rPr>
        <w:lastRenderedPageBreak/>
        <w:t>Scholarship</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rsidR="003D342E" w:rsidRDefault="006E266C" w:rsidP="003D342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Scholarship—which Potter College defines as research and creative and professional activity--is at the heart of a university, and candidates for tenure and promotion must present evidence of achievement appropriate to their area of expertise.  Because the College includes professionally oriented disciplines as well as traditional academic disciplines, it recognizes professional activity by faculty members as well as academic research and creative activity.  </w:t>
      </w:r>
      <w:r w:rsidR="003D342E">
        <w:t>Candidates for tenure and promotion must present evidence of a ongoing scholarship presented in appropriate, peer-reviewed, and professionally recognized forms.</w:t>
      </w:r>
    </w:p>
    <w:p w:rsidR="003D342E" w:rsidRDefault="003D342E" w:rsidP="003D342E">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266C" w:rsidRPr="00490BA1" w:rsidRDefault="0014745B">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0BA1">
        <w:t>Pedagogical faculty members are not required to present evidence of a scholarly agenda</w:t>
      </w:r>
      <w:r w:rsidR="003D342E" w:rsidRPr="00490BA1">
        <w:t xml:space="preserve"> for tenure and/or promotion</w:t>
      </w:r>
      <w:r w:rsidRPr="00490BA1">
        <w:t xml:space="preserve">, but they are expected to present evidence of outstanding achievement in instruction.  </w:t>
      </w:r>
    </w:p>
    <w:p w:rsidR="000C3FF5" w:rsidRPr="00490BA1" w:rsidRDefault="000C3FF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C3FF5" w:rsidRPr="00490BA1" w:rsidRDefault="000C3FF5">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90BA1">
        <w:t>Research f</w:t>
      </w:r>
      <w:r w:rsidR="004A72E0" w:rsidRPr="00490BA1">
        <w:t xml:space="preserve">aculty members must demonstrate outstanding achievement in scholarship.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College recognizes that scholarship may take different forms.  Scholarship may focus on new knowledge, ideas, or methods for the discipline, or it may focus on teaching and learning in the discipline.  Scholarship may also be community based, addressing the problems and needs of a public beyond the campus.  Scholarship may be inter-disciplinary, drawing from diverse sources.  On-line scholarship that meets these standards may be considered.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As the concept of scholarship broadens beyond traditional definitions of research, the peer-review process becomes even more important in evaluating faculty work in this area.  Candidates for tenure and promotion must present evidence that their work is shared with colleagues in a forum appropriate to the discipline, is reviewed by peers, and contributes to a discipline or a community.   Successful grant activity related to scholarship may also constitute evidence of achievement in this area.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Pr>
          <w:i/>
        </w:rPr>
        <w:t xml:space="preserve"> </w:t>
      </w:r>
    </w:p>
    <w:p w:rsidR="006E266C" w:rsidRDefault="006E266C">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The College recognizes different levels of accomplishment in scholarship.  For additional information about scholarship expectations for tenure and promotion, see departmental documents.  </w:t>
      </w:r>
    </w:p>
    <w:p w:rsidR="006E266C" w:rsidRDefault="006E266C">
      <w:pPr>
        <w:pStyle w:val="NormalWeb"/>
        <w:spacing w:before="0" w:beforeAutospacing="0" w:after="0" w:afterAutospacing="0"/>
        <w:rPr>
          <w:rFonts w:ascii="Times New Roman" w:hAnsi="Times New Roman" w:cs="Times New Roman"/>
        </w:rPr>
      </w:pPr>
    </w:p>
    <w:p w:rsidR="006E266C" w:rsidRDefault="006E266C"/>
    <w:p w:rsidR="006E266C" w:rsidRDefault="006E266C">
      <w:pPr>
        <w:pStyle w:val="Heading1"/>
        <w:rPr>
          <w:i w:val="0"/>
        </w:rPr>
      </w:pPr>
      <w:r>
        <w:rPr>
          <w:i w:val="0"/>
        </w:rPr>
        <w:t>Service</w:t>
      </w:r>
    </w:p>
    <w:p w:rsidR="006E266C" w:rsidRDefault="006E266C">
      <w:pPr>
        <w:rPr>
          <w:b/>
          <w:sz w:val="28"/>
          <w:szCs w:val="28"/>
        </w:rPr>
      </w:pPr>
    </w:p>
    <w:p w:rsidR="006E266C" w:rsidRDefault="006E266C">
      <w:pPr>
        <w:rPr>
          <w:iCs/>
        </w:rPr>
      </w:pPr>
      <w:r>
        <w:rPr>
          <w:iCs/>
        </w:rPr>
        <w:t>The service responsibilities assumed by faculty members are central to the work of the university, and the college requires faculty members to have an ongoing involvement in service.</w:t>
      </w:r>
      <w:r>
        <w:t xml:space="preserve">  </w:t>
      </w:r>
      <w:r>
        <w:rPr>
          <w:iCs/>
        </w:rPr>
        <w:t xml:space="preserve">Candidates for tenure and promotion must present evidence of constructive participation in the work of the department, the college, and the university.  Candidates must also present evidence of the use of academic expertise for the benefit of off-campus constituencies or professional colleagues.  </w:t>
      </w:r>
    </w:p>
    <w:p w:rsidR="006E266C" w:rsidRDefault="006E266C"/>
    <w:p w:rsidR="006E266C" w:rsidRDefault="006E266C">
      <w:r>
        <w:lastRenderedPageBreak/>
        <w:t>The effective operation and collegial governance of the institution depend on the willing and active participation of faculty in its processes.  Faculty members may provide service to their discipline or professional organizations</w:t>
      </w:r>
      <w:r>
        <w:rPr>
          <w:b/>
        </w:rPr>
        <w:t xml:space="preserve">.  </w:t>
      </w:r>
      <w:r>
        <w:t xml:space="preserve">They may also use their expertise to address regional issues and to support public constituencies beyond the campus in keeping with the university’s commitment to serve as a regional steward.  Service activities to public constituencies should be connected with the faculty member’s discipline.  Faculty members may assume differing service roles at various points in their career.  </w:t>
      </w:r>
    </w:p>
    <w:p w:rsidR="006E266C" w:rsidRDefault="006E266C"/>
    <w:p w:rsidR="006E266C" w:rsidRDefault="006E266C">
      <w:r>
        <w:t>The following list provides examples of service activities.  It is neither an exhaustive nor a prescribed list.  The College recognizes that service needs and expectations may differ from department to department.  See departmental documents for additional information</w:t>
      </w:r>
      <w:r>
        <w:rPr>
          <w:i/>
        </w:rPr>
        <w:t xml:space="preserve"> </w:t>
      </w:r>
      <w:r>
        <w:t>about service expectations.  Effective service work could include but is not limited to evidence of</w:t>
      </w:r>
    </w:p>
    <w:p w:rsidR="006E266C" w:rsidRDefault="006E266C">
      <w:pPr>
        <w:ind w:left="360"/>
      </w:pPr>
    </w:p>
    <w:p w:rsidR="006E266C" w:rsidRDefault="006E266C">
      <w:pPr>
        <w:numPr>
          <w:ilvl w:val="0"/>
          <w:numId w:val="9"/>
        </w:numPr>
      </w:pPr>
      <w:r>
        <w:t>active participation in university governance, including service on department, college, or university committees or serving in a leadership position such as University Senate Chair or Faculty Regent</w:t>
      </w:r>
    </w:p>
    <w:p w:rsidR="006E266C" w:rsidRDefault="006E266C"/>
    <w:p w:rsidR="006E266C" w:rsidRDefault="006E266C">
      <w:pPr>
        <w:numPr>
          <w:ilvl w:val="0"/>
          <w:numId w:val="9"/>
        </w:numPr>
      </w:pPr>
      <w:r>
        <w:t>active participation in student recruitment and retention efforts</w:t>
      </w:r>
    </w:p>
    <w:p w:rsidR="006E266C" w:rsidRDefault="006E266C"/>
    <w:p w:rsidR="006E266C" w:rsidRDefault="006E266C">
      <w:pPr>
        <w:numPr>
          <w:ilvl w:val="0"/>
          <w:numId w:val="9"/>
        </w:numPr>
      </w:pPr>
      <w:r>
        <w:t>active participation in development or institutional advancement efforts</w:t>
      </w:r>
    </w:p>
    <w:p w:rsidR="006E266C" w:rsidRDefault="006E266C"/>
    <w:p w:rsidR="006E266C" w:rsidRDefault="006E266C">
      <w:pPr>
        <w:numPr>
          <w:ilvl w:val="0"/>
          <w:numId w:val="9"/>
        </w:numPr>
      </w:pPr>
      <w:r>
        <w:t>holding an office in a discipline or professional organization</w:t>
      </w:r>
    </w:p>
    <w:p w:rsidR="006E266C" w:rsidRDefault="006E266C"/>
    <w:p w:rsidR="006E266C" w:rsidRDefault="006E266C">
      <w:pPr>
        <w:numPr>
          <w:ilvl w:val="0"/>
          <w:numId w:val="9"/>
        </w:numPr>
      </w:pPr>
      <w:r>
        <w:t xml:space="preserve">serving as a manuscript reviewer for a press or a journal or a funding proposal reviewer for a grants agency  </w:t>
      </w:r>
    </w:p>
    <w:p w:rsidR="006E266C" w:rsidRDefault="006E266C"/>
    <w:p w:rsidR="006E266C" w:rsidRPr="00E30D96" w:rsidRDefault="006E266C">
      <w:pPr>
        <w:numPr>
          <w:ilvl w:val="0"/>
          <w:numId w:val="9"/>
        </w:numPr>
        <w:rPr>
          <w:bCs/>
        </w:rPr>
      </w:pPr>
      <w:r w:rsidRPr="00E30D96">
        <w:rPr>
          <w:bCs/>
        </w:rPr>
        <w:t>work in support of students at other universities, such as reviewing student research or serving on dissertation committees</w:t>
      </w:r>
    </w:p>
    <w:p w:rsidR="006E266C" w:rsidRDefault="006E266C"/>
    <w:p w:rsidR="006E266C" w:rsidRDefault="006E266C">
      <w:pPr>
        <w:numPr>
          <w:ilvl w:val="0"/>
          <w:numId w:val="9"/>
        </w:numPr>
      </w:pPr>
      <w:r>
        <w:t>involvement in community activities in which the faculty member is acting as an academic professional</w:t>
      </w:r>
    </w:p>
    <w:p w:rsidR="006E266C" w:rsidRDefault="006E266C"/>
    <w:p w:rsidR="006E266C" w:rsidRDefault="006E266C">
      <w:pPr>
        <w:numPr>
          <w:ilvl w:val="0"/>
          <w:numId w:val="9"/>
        </w:numPr>
      </w:pPr>
      <w:r>
        <w:t>work with P-12 teachers, students, or administrators through workshops or professional development projects</w:t>
      </w:r>
    </w:p>
    <w:p w:rsidR="006E266C" w:rsidRDefault="006E266C"/>
    <w:p w:rsidR="006E266C" w:rsidRDefault="006E266C">
      <w:pPr>
        <w:numPr>
          <w:ilvl w:val="0"/>
          <w:numId w:val="9"/>
        </w:numPr>
      </w:pPr>
      <w:r>
        <w:t>successful grant activity related to service responsibilities</w:t>
      </w:r>
    </w:p>
    <w:p w:rsidR="006E266C" w:rsidRDefault="006E266C"/>
    <w:p w:rsidR="006E266C" w:rsidRDefault="006E266C">
      <w:pPr>
        <w:numPr>
          <w:ilvl w:val="0"/>
          <w:numId w:val="9"/>
        </w:numPr>
      </w:pPr>
      <w:r>
        <w:t>efforts in support of economic development activities</w:t>
      </w:r>
    </w:p>
    <w:p w:rsidR="006E266C" w:rsidRDefault="006E266C"/>
    <w:p w:rsidR="006E266C" w:rsidRDefault="006E266C">
      <w:pPr>
        <w:numPr>
          <w:ilvl w:val="0"/>
          <w:numId w:val="9"/>
        </w:numPr>
      </w:pPr>
      <w:r>
        <w:t>work in support of cultural programming for the community such as plays, concerts, lectures, workshops, or continuing education</w:t>
      </w:r>
    </w:p>
    <w:p w:rsidR="006E266C" w:rsidRDefault="006E266C"/>
    <w:p w:rsidR="006E266C" w:rsidRDefault="006E266C">
      <w:pPr>
        <w:numPr>
          <w:ilvl w:val="0"/>
          <w:numId w:val="9"/>
        </w:numPr>
      </w:pPr>
      <w:r>
        <w:t>work on behalf of community-related grant applications</w:t>
      </w:r>
    </w:p>
    <w:p w:rsidR="006E266C" w:rsidRDefault="006E266C"/>
    <w:p w:rsidR="006E266C" w:rsidRDefault="006E266C">
      <w:pPr>
        <w:numPr>
          <w:ilvl w:val="0"/>
          <w:numId w:val="9"/>
        </w:numPr>
      </w:pPr>
      <w:r>
        <w:lastRenderedPageBreak/>
        <w:t>serving on local, state, or national boards related to professional expertise</w:t>
      </w:r>
    </w:p>
    <w:p w:rsidR="006E266C" w:rsidRDefault="006E266C"/>
    <w:p w:rsidR="006E266C" w:rsidRDefault="006E266C">
      <w:pPr>
        <w:numPr>
          <w:ilvl w:val="0"/>
          <w:numId w:val="9"/>
        </w:numPr>
      </w:pPr>
      <w:r>
        <w:t xml:space="preserve">active participation in department, college, or university initiatives such as building diversity or community relations </w:t>
      </w:r>
    </w:p>
    <w:p w:rsidR="006E266C" w:rsidRDefault="006E266C"/>
    <w:p w:rsidR="004411EC" w:rsidRPr="004411EC" w:rsidRDefault="004411EC">
      <w:pPr>
        <w:rPr>
          <w:b/>
          <w:i/>
        </w:rPr>
      </w:pPr>
      <w:r w:rsidRPr="004411EC">
        <w:rPr>
          <w:b/>
          <w:i/>
        </w:rPr>
        <w:t>REVISED</w:t>
      </w:r>
      <w:r w:rsidRPr="004411EC">
        <w:rPr>
          <w:b/>
          <w:i/>
        </w:rPr>
        <w:tab/>
      </w:r>
      <w:r w:rsidR="00490BA1">
        <w:rPr>
          <w:b/>
          <w:i/>
        </w:rPr>
        <w:t>3</w:t>
      </w:r>
      <w:r w:rsidRPr="004411EC">
        <w:rPr>
          <w:b/>
          <w:i/>
        </w:rPr>
        <w:t>/20</w:t>
      </w:r>
      <w:r w:rsidR="00490BA1">
        <w:rPr>
          <w:b/>
          <w:i/>
        </w:rPr>
        <w:t>/2013</w:t>
      </w:r>
    </w:p>
    <w:p w:rsidR="00681099" w:rsidRDefault="00681099" w:rsidP="00681099">
      <w:pPr>
        <w:pStyle w:val="NoSpacing"/>
        <w:jc w:val="center"/>
        <w:rPr>
          <w:rFonts w:ascii="Times New Roman" w:hAnsi="Times New Roman"/>
          <w:b/>
          <w:sz w:val="24"/>
          <w:szCs w:val="24"/>
        </w:rPr>
      </w:pPr>
    </w:p>
    <w:p w:rsidR="00681099" w:rsidRDefault="00681099">
      <w:pPr>
        <w:rPr>
          <w:rFonts w:eastAsia="Calibri"/>
          <w:b/>
        </w:rPr>
      </w:pPr>
      <w:r>
        <w:rPr>
          <w:b/>
        </w:rPr>
        <w:br w:type="page"/>
      </w:r>
    </w:p>
    <w:p w:rsidR="00681099" w:rsidRPr="005836F4" w:rsidRDefault="00681099" w:rsidP="00681099">
      <w:pPr>
        <w:pStyle w:val="NoSpacing"/>
      </w:pPr>
    </w:p>
    <w:p w:rsidR="00681099" w:rsidRDefault="00681099"/>
    <w:p w:rsidR="006E266C" w:rsidRDefault="006E266C">
      <w:pPr>
        <w:jc w:val="center"/>
        <w:rPr>
          <w:b/>
          <w:bCs/>
        </w:rPr>
      </w:pPr>
      <w:r>
        <w:rPr>
          <w:b/>
          <w:bCs/>
        </w:rPr>
        <w:t xml:space="preserve">APPENDIX </w:t>
      </w:r>
    </w:p>
    <w:p w:rsidR="006E266C" w:rsidRDefault="006E266C">
      <w:pPr>
        <w:jc w:val="center"/>
      </w:pPr>
    </w:p>
    <w:p w:rsidR="006E266C" w:rsidRDefault="006E266C">
      <w:pPr>
        <w:jc w:val="center"/>
      </w:pPr>
    </w:p>
    <w:p w:rsidR="006E266C" w:rsidRDefault="006E266C">
      <w:pPr>
        <w:jc w:val="center"/>
        <w:rPr>
          <w:b/>
          <w:bCs/>
        </w:rPr>
      </w:pPr>
      <w:r>
        <w:rPr>
          <w:b/>
          <w:bCs/>
        </w:rPr>
        <w:t>APPLICATIONS FOR FACULTY PROMOTION OR TENURE</w:t>
      </w:r>
    </w:p>
    <w:p w:rsidR="006E266C" w:rsidRDefault="006E266C">
      <w:pPr>
        <w:jc w:val="center"/>
      </w:pPr>
      <w:r>
        <w:rPr>
          <w:b/>
          <w:bCs/>
        </w:rPr>
        <w:t>GUIDELINES FOR SUBMISSION OF SUPPORTING MATERIAL</w:t>
      </w:r>
    </w:p>
    <w:p w:rsidR="006E266C" w:rsidRDefault="006E266C">
      <w:pPr>
        <w:jc w:val="center"/>
      </w:pPr>
      <w:r>
        <w:t>Office of Academic Affairs</w:t>
      </w:r>
    </w:p>
    <w:p w:rsidR="006E266C" w:rsidRDefault="006E266C">
      <w:pPr>
        <w:jc w:val="center"/>
      </w:pPr>
    </w:p>
    <w:p w:rsidR="006E266C" w:rsidRDefault="006E266C"/>
    <w:p w:rsidR="006E266C" w:rsidRDefault="006E266C">
      <w:r>
        <w:t>Faculty members who wish to be considered for promotion in rank or for tenure should do the following:</w:t>
      </w:r>
    </w:p>
    <w:p w:rsidR="006E266C" w:rsidRDefault="006E266C"/>
    <w:p w:rsidR="006E266C" w:rsidRDefault="006E266C">
      <w:pPr>
        <w:numPr>
          <w:ilvl w:val="0"/>
          <w:numId w:val="12"/>
        </w:numPr>
      </w:pPr>
      <w:r>
        <w:t xml:space="preserve">be well informed about the formal procedures, timetables, and criteria outlined in the </w:t>
      </w:r>
      <w:r>
        <w:rPr>
          <w:b/>
        </w:rPr>
        <w:t>Faculty Handbook</w:t>
      </w:r>
    </w:p>
    <w:p w:rsidR="006E266C" w:rsidRDefault="006E266C">
      <w:pPr>
        <w:numPr>
          <w:ilvl w:val="0"/>
          <w:numId w:val="12"/>
        </w:numPr>
      </w:pPr>
      <w:r>
        <w:t>be well informed about current departmental policy and criteria relating to qualifications for promotion and tenure in that department</w:t>
      </w:r>
    </w:p>
    <w:p w:rsidR="006E266C" w:rsidRDefault="006E266C">
      <w:pPr>
        <w:numPr>
          <w:ilvl w:val="0"/>
          <w:numId w:val="12"/>
        </w:numPr>
      </w:pPr>
      <w:r>
        <w:t>prepare and submit appropriate supporting materials according to the following standards:</w:t>
      </w:r>
    </w:p>
    <w:p w:rsidR="006E266C" w:rsidRDefault="006E266C"/>
    <w:p w:rsidR="006E266C" w:rsidRDefault="006E266C">
      <w:pPr>
        <w:numPr>
          <w:ilvl w:val="1"/>
          <w:numId w:val="12"/>
        </w:numPr>
      </w:pPr>
      <w:r>
        <w:t>submit no more than a single three ring binder containing all printed material (other than SITE results) that the candidate wishes to have reviewed by the department faculty, department head, college dean, Provost, and president</w:t>
      </w:r>
    </w:p>
    <w:p w:rsidR="006E266C" w:rsidRDefault="006E266C">
      <w:pPr>
        <w:numPr>
          <w:ilvl w:val="1"/>
          <w:numId w:val="12"/>
        </w:numPr>
      </w:pPr>
      <w:r>
        <w:t>the three ring binder, when complete, should be no more than two inches thick, excluding SITE results</w:t>
      </w:r>
    </w:p>
    <w:p w:rsidR="006E266C" w:rsidRDefault="006E266C">
      <w:pPr>
        <w:numPr>
          <w:ilvl w:val="1"/>
          <w:numId w:val="12"/>
        </w:numPr>
      </w:pPr>
      <w:r>
        <w:t>the binder should include, at a minimum, a letter of application, a current curriculum vita, and sections on teaching effectiveness, research and scholarship, public/university service, and such related areas as collegiality and academic advising--in addition to documenting teaching effectiveness by other relevant measures, candidates are expected to submit SITE student appraisal results for all classes taught during the preceding five years</w:t>
      </w:r>
    </w:p>
    <w:p w:rsidR="006E266C" w:rsidRDefault="006E266C">
      <w:pPr>
        <w:numPr>
          <w:ilvl w:val="1"/>
          <w:numId w:val="12"/>
        </w:numPr>
      </w:pPr>
      <w:r>
        <w:t>in selecting materials for inclusion in the binder, candidates should be selective and always emphasize quality over quantity in the documentation of achievements</w:t>
      </w:r>
    </w:p>
    <w:p w:rsidR="006E266C" w:rsidRDefault="006E266C">
      <w:pPr>
        <w:numPr>
          <w:ilvl w:val="1"/>
          <w:numId w:val="12"/>
        </w:numPr>
      </w:pPr>
      <w:r>
        <w:t>if clear plastic sleeves are used in the binder, each should contain no more than one duplexed sheet (printed on both sides) or two printed sheets (printed on one side and presented back to back)</w:t>
      </w:r>
    </w:p>
    <w:p w:rsidR="006E266C" w:rsidRDefault="006E266C">
      <w:pPr>
        <w:numPr>
          <w:ilvl w:val="1"/>
          <w:numId w:val="12"/>
        </w:numPr>
      </w:pPr>
      <w:r>
        <w:t xml:space="preserve">include books, articles, CDs, DVDs, slides, creative work or other materials related to scholarship </w:t>
      </w:r>
    </w:p>
    <w:p w:rsidR="006E266C" w:rsidRDefault="006E266C"/>
    <w:p w:rsidR="006E266C" w:rsidRDefault="006E266C"/>
    <w:p w:rsidR="006E266C" w:rsidRDefault="006E266C"/>
    <w:p w:rsidR="006E266C" w:rsidRDefault="006E266C">
      <w:r>
        <w:t>Revised 7/1/2007</w:t>
      </w:r>
    </w:p>
    <w:sectPr w:rsidR="006E266C" w:rsidSect="00752BD2">
      <w:headerReference w:type="even" r:id="rId8"/>
      <w:head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21E" w:rsidRDefault="0038621E">
      <w:r>
        <w:separator/>
      </w:r>
    </w:p>
  </w:endnote>
  <w:endnote w:type="continuationSeparator" w:id="0">
    <w:p w:rsidR="0038621E" w:rsidRDefault="00386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21E" w:rsidRDefault="0038621E">
      <w:r>
        <w:separator/>
      </w:r>
    </w:p>
  </w:footnote>
  <w:footnote w:type="continuationSeparator" w:id="0">
    <w:p w:rsidR="0038621E" w:rsidRDefault="003862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6C" w:rsidRDefault="0090537E">
    <w:pPr>
      <w:pStyle w:val="Header"/>
      <w:framePr w:wrap="around" w:vAnchor="text" w:hAnchor="margin" w:xAlign="right" w:y="1"/>
      <w:rPr>
        <w:rStyle w:val="PageNumber"/>
      </w:rPr>
    </w:pPr>
    <w:r>
      <w:rPr>
        <w:rStyle w:val="PageNumber"/>
      </w:rPr>
      <w:fldChar w:fldCharType="begin"/>
    </w:r>
    <w:r w:rsidR="006E266C">
      <w:rPr>
        <w:rStyle w:val="PageNumber"/>
      </w:rPr>
      <w:instrText xml:space="preserve">PAGE  </w:instrText>
    </w:r>
    <w:r>
      <w:rPr>
        <w:rStyle w:val="PageNumber"/>
      </w:rPr>
      <w:fldChar w:fldCharType="end"/>
    </w:r>
  </w:p>
  <w:p w:rsidR="006E266C" w:rsidRDefault="006E266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66C" w:rsidRDefault="0090537E">
    <w:pPr>
      <w:pStyle w:val="Header"/>
      <w:framePr w:wrap="around" w:vAnchor="text" w:hAnchor="margin" w:xAlign="right" w:y="1"/>
      <w:rPr>
        <w:rStyle w:val="PageNumber"/>
      </w:rPr>
    </w:pPr>
    <w:r>
      <w:rPr>
        <w:rStyle w:val="PageNumber"/>
      </w:rPr>
      <w:fldChar w:fldCharType="begin"/>
    </w:r>
    <w:r w:rsidR="006E266C">
      <w:rPr>
        <w:rStyle w:val="PageNumber"/>
      </w:rPr>
      <w:instrText xml:space="preserve">PAGE  </w:instrText>
    </w:r>
    <w:r>
      <w:rPr>
        <w:rStyle w:val="PageNumber"/>
      </w:rPr>
      <w:fldChar w:fldCharType="separate"/>
    </w:r>
    <w:r w:rsidR="00B759A0">
      <w:rPr>
        <w:rStyle w:val="PageNumber"/>
        <w:noProof/>
      </w:rPr>
      <w:t>11</w:t>
    </w:r>
    <w:r>
      <w:rPr>
        <w:rStyle w:val="PageNumber"/>
      </w:rPr>
      <w:fldChar w:fldCharType="end"/>
    </w:r>
  </w:p>
  <w:p w:rsidR="006E266C" w:rsidRDefault="006E266C">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F41"/>
    <w:multiLevelType w:val="hybridMultilevel"/>
    <w:tmpl w:val="DB468C92"/>
    <w:lvl w:ilvl="0" w:tplc="DD1C22C4">
      <w:start w:val="1"/>
      <w:numFmt w:val="bullet"/>
      <w:lvlText w:val="o"/>
      <w:lvlJc w:val="left"/>
      <w:pPr>
        <w:tabs>
          <w:tab w:val="num" w:pos="1440"/>
        </w:tabs>
        <w:ind w:left="144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9A59BF"/>
    <w:multiLevelType w:val="hybridMultilevel"/>
    <w:tmpl w:val="94F85CEA"/>
    <w:lvl w:ilvl="0" w:tplc="D4FE970E">
      <w:start w:val="1"/>
      <w:numFmt w:val="bullet"/>
      <w:lvlText w:val=""/>
      <w:lvlJc w:val="left"/>
      <w:pPr>
        <w:tabs>
          <w:tab w:val="num" w:pos="1080"/>
        </w:tabs>
        <w:ind w:left="1080" w:hanging="360"/>
      </w:pPr>
      <w:rPr>
        <w:rFonts w:ascii="Symbol" w:hAnsi="Symbol" w:hint="default"/>
        <w:sz w:val="20"/>
      </w:rPr>
    </w:lvl>
    <w:lvl w:ilvl="1" w:tplc="89C8627C" w:tentative="1">
      <w:start w:val="1"/>
      <w:numFmt w:val="bullet"/>
      <w:lvlText w:val="o"/>
      <w:lvlJc w:val="left"/>
      <w:pPr>
        <w:tabs>
          <w:tab w:val="num" w:pos="1800"/>
        </w:tabs>
        <w:ind w:left="1800" w:hanging="360"/>
      </w:pPr>
      <w:rPr>
        <w:rFonts w:ascii="Courier New" w:hAnsi="Courier New" w:hint="default"/>
        <w:sz w:val="20"/>
      </w:rPr>
    </w:lvl>
    <w:lvl w:ilvl="2" w:tplc="92A8DB04" w:tentative="1">
      <w:start w:val="1"/>
      <w:numFmt w:val="bullet"/>
      <w:lvlText w:val=""/>
      <w:lvlJc w:val="left"/>
      <w:pPr>
        <w:tabs>
          <w:tab w:val="num" w:pos="2520"/>
        </w:tabs>
        <w:ind w:left="2520" w:hanging="360"/>
      </w:pPr>
      <w:rPr>
        <w:rFonts w:ascii="Wingdings" w:hAnsi="Wingdings" w:hint="default"/>
        <w:sz w:val="20"/>
      </w:rPr>
    </w:lvl>
    <w:lvl w:ilvl="3" w:tplc="E25C9800" w:tentative="1">
      <w:start w:val="1"/>
      <w:numFmt w:val="bullet"/>
      <w:lvlText w:val=""/>
      <w:lvlJc w:val="left"/>
      <w:pPr>
        <w:tabs>
          <w:tab w:val="num" w:pos="3240"/>
        </w:tabs>
        <w:ind w:left="3240" w:hanging="360"/>
      </w:pPr>
      <w:rPr>
        <w:rFonts w:ascii="Wingdings" w:hAnsi="Wingdings" w:hint="default"/>
        <w:sz w:val="20"/>
      </w:rPr>
    </w:lvl>
    <w:lvl w:ilvl="4" w:tplc="A7B66E7C" w:tentative="1">
      <w:start w:val="1"/>
      <w:numFmt w:val="bullet"/>
      <w:lvlText w:val=""/>
      <w:lvlJc w:val="left"/>
      <w:pPr>
        <w:tabs>
          <w:tab w:val="num" w:pos="3960"/>
        </w:tabs>
        <w:ind w:left="3960" w:hanging="360"/>
      </w:pPr>
      <w:rPr>
        <w:rFonts w:ascii="Wingdings" w:hAnsi="Wingdings" w:hint="default"/>
        <w:sz w:val="20"/>
      </w:rPr>
    </w:lvl>
    <w:lvl w:ilvl="5" w:tplc="FC3AF02C" w:tentative="1">
      <w:start w:val="1"/>
      <w:numFmt w:val="bullet"/>
      <w:lvlText w:val=""/>
      <w:lvlJc w:val="left"/>
      <w:pPr>
        <w:tabs>
          <w:tab w:val="num" w:pos="4680"/>
        </w:tabs>
        <w:ind w:left="4680" w:hanging="360"/>
      </w:pPr>
      <w:rPr>
        <w:rFonts w:ascii="Wingdings" w:hAnsi="Wingdings" w:hint="default"/>
        <w:sz w:val="20"/>
      </w:rPr>
    </w:lvl>
    <w:lvl w:ilvl="6" w:tplc="8A08E464" w:tentative="1">
      <w:start w:val="1"/>
      <w:numFmt w:val="bullet"/>
      <w:lvlText w:val=""/>
      <w:lvlJc w:val="left"/>
      <w:pPr>
        <w:tabs>
          <w:tab w:val="num" w:pos="5400"/>
        </w:tabs>
        <w:ind w:left="5400" w:hanging="360"/>
      </w:pPr>
      <w:rPr>
        <w:rFonts w:ascii="Wingdings" w:hAnsi="Wingdings" w:hint="default"/>
        <w:sz w:val="20"/>
      </w:rPr>
    </w:lvl>
    <w:lvl w:ilvl="7" w:tplc="6DDC2110" w:tentative="1">
      <w:start w:val="1"/>
      <w:numFmt w:val="bullet"/>
      <w:lvlText w:val=""/>
      <w:lvlJc w:val="left"/>
      <w:pPr>
        <w:tabs>
          <w:tab w:val="num" w:pos="6120"/>
        </w:tabs>
        <w:ind w:left="6120" w:hanging="360"/>
      </w:pPr>
      <w:rPr>
        <w:rFonts w:ascii="Wingdings" w:hAnsi="Wingdings" w:hint="default"/>
        <w:sz w:val="20"/>
      </w:rPr>
    </w:lvl>
    <w:lvl w:ilvl="8" w:tplc="D34829F6" w:tentative="1">
      <w:start w:val="1"/>
      <w:numFmt w:val="bullet"/>
      <w:lvlText w:val=""/>
      <w:lvlJc w:val="left"/>
      <w:pPr>
        <w:tabs>
          <w:tab w:val="num" w:pos="6840"/>
        </w:tabs>
        <w:ind w:left="6840" w:hanging="360"/>
      </w:pPr>
      <w:rPr>
        <w:rFonts w:ascii="Wingdings" w:hAnsi="Wingdings" w:hint="default"/>
        <w:sz w:val="20"/>
      </w:rPr>
    </w:lvl>
  </w:abstractNum>
  <w:abstractNum w:abstractNumId="2">
    <w:nsid w:val="1E3E5C1C"/>
    <w:multiLevelType w:val="hybridMultilevel"/>
    <w:tmpl w:val="D0B2DAAA"/>
    <w:lvl w:ilvl="0" w:tplc="54663E92">
      <w:start w:val="1"/>
      <w:numFmt w:val="bullet"/>
      <w:lvlText w:val=""/>
      <w:lvlJc w:val="left"/>
      <w:pPr>
        <w:tabs>
          <w:tab w:val="num" w:pos="720"/>
        </w:tabs>
        <w:ind w:left="720" w:hanging="360"/>
      </w:pPr>
      <w:rPr>
        <w:rFonts w:ascii="Symbol" w:hAnsi="Symbol" w:hint="default"/>
        <w:sz w:val="20"/>
      </w:rPr>
    </w:lvl>
    <w:lvl w:ilvl="1" w:tplc="DD1C22C4" w:tentative="1">
      <w:start w:val="1"/>
      <w:numFmt w:val="bullet"/>
      <w:lvlText w:val="o"/>
      <w:lvlJc w:val="left"/>
      <w:pPr>
        <w:tabs>
          <w:tab w:val="num" w:pos="1440"/>
        </w:tabs>
        <w:ind w:left="1440" w:hanging="360"/>
      </w:pPr>
      <w:rPr>
        <w:rFonts w:ascii="Courier New" w:hAnsi="Courier New" w:hint="default"/>
        <w:sz w:val="20"/>
      </w:rPr>
    </w:lvl>
    <w:lvl w:ilvl="2" w:tplc="27B25F20" w:tentative="1">
      <w:start w:val="1"/>
      <w:numFmt w:val="bullet"/>
      <w:lvlText w:val=""/>
      <w:lvlJc w:val="left"/>
      <w:pPr>
        <w:tabs>
          <w:tab w:val="num" w:pos="2160"/>
        </w:tabs>
        <w:ind w:left="2160" w:hanging="360"/>
      </w:pPr>
      <w:rPr>
        <w:rFonts w:ascii="Wingdings" w:hAnsi="Wingdings" w:hint="default"/>
        <w:sz w:val="20"/>
      </w:rPr>
    </w:lvl>
    <w:lvl w:ilvl="3" w:tplc="E8547320" w:tentative="1">
      <w:start w:val="1"/>
      <w:numFmt w:val="bullet"/>
      <w:lvlText w:val=""/>
      <w:lvlJc w:val="left"/>
      <w:pPr>
        <w:tabs>
          <w:tab w:val="num" w:pos="2880"/>
        </w:tabs>
        <w:ind w:left="2880" w:hanging="360"/>
      </w:pPr>
      <w:rPr>
        <w:rFonts w:ascii="Wingdings" w:hAnsi="Wingdings" w:hint="default"/>
        <w:sz w:val="20"/>
      </w:rPr>
    </w:lvl>
    <w:lvl w:ilvl="4" w:tplc="2A5A0260" w:tentative="1">
      <w:start w:val="1"/>
      <w:numFmt w:val="bullet"/>
      <w:lvlText w:val=""/>
      <w:lvlJc w:val="left"/>
      <w:pPr>
        <w:tabs>
          <w:tab w:val="num" w:pos="3600"/>
        </w:tabs>
        <w:ind w:left="3600" w:hanging="360"/>
      </w:pPr>
      <w:rPr>
        <w:rFonts w:ascii="Wingdings" w:hAnsi="Wingdings" w:hint="default"/>
        <w:sz w:val="20"/>
      </w:rPr>
    </w:lvl>
    <w:lvl w:ilvl="5" w:tplc="67AE006E" w:tentative="1">
      <w:start w:val="1"/>
      <w:numFmt w:val="bullet"/>
      <w:lvlText w:val=""/>
      <w:lvlJc w:val="left"/>
      <w:pPr>
        <w:tabs>
          <w:tab w:val="num" w:pos="4320"/>
        </w:tabs>
        <w:ind w:left="4320" w:hanging="360"/>
      </w:pPr>
      <w:rPr>
        <w:rFonts w:ascii="Wingdings" w:hAnsi="Wingdings" w:hint="default"/>
        <w:sz w:val="20"/>
      </w:rPr>
    </w:lvl>
    <w:lvl w:ilvl="6" w:tplc="EC96D3AE" w:tentative="1">
      <w:start w:val="1"/>
      <w:numFmt w:val="bullet"/>
      <w:lvlText w:val=""/>
      <w:lvlJc w:val="left"/>
      <w:pPr>
        <w:tabs>
          <w:tab w:val="num" w:pos="5040"/>
        </w:tabs>
        <w:ind w:left="5040" w:hanging="360"/>
      </w:pPr>
      <w:rPr>
        <w:rFonts w:ascii="Wingdings" w:hAnsi="Wingdings" w:hint="default"/>
        <w:sz w:val="20"/>
      </w:rPr>
    </w:lvl>
    <w:lvl w:ilvl="7" w:tplc="70D867A2" w:tentative="1">
      <w:start w:val="1"/>
      <w:numFmt w:val="bullet"/>
      <w:lvlText w:val=""/>
      <w:lvlJc w:val="left"/>
      <w:pPr>
        <w:tabs>
          <w:tab w:val="num" w:pos="5760"/>
        </w:tabs>
        <w:ind w:left="5760" w:hanging="360"/>
      </w:pPr>
      <w:rPr>
        <w:rFonts w:ascii="Wingdings" w:hAnsi="Wingdings" w:hint="default"/>
        <w:sz w:val="20"/>
      </w:rPr>
    </w:lvl>
    <w:lvl w:ilvl="8" w:tplc="47C811F0"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F4F44"/>
    <w:multiLevelType w:val="hybridMultilevel"/>
    <w:tmpl w:val="37C6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213195"/>
    <w:multiLevelType w:val="hybridMultilevel"/>
    <w:tmpl w:val="CCB84ECE"/>
    <w:lvl w:ilvl="0" w:tplc="9F680766">
      <w:start w:val="1"/>
      <w:numFmt w:val="bullet"/>
      <w:lvlText w:val=""/>
      <w:lvlJc w:val="left"/>
      <w:pPr>
        <w:tabs>
          <w:tab w:val="num" w:pos="720"/>
        </w:tabs>
        <w:ind w:left="720" w:hanging="360"/>
      </w:pPr>
      <w:rPr>
        <w:rFonts w:ascii="Symbol" w:hAnsi="Symbol" w:hint="default"/>
        <w:sz w:val="20"/>
      </w:rPr>
    </w:lvl>
    <w:lvl w:ilvl="1" w:tplc="39828A4C" w:tentative="1">
      <w:start w:val="1"/>
      <w:numFmt w:val="bullet"/>
      <w:lvlText w:val="o"/>
      <w:lvlJc w:val="left"/>
      <w:pPr>
        <w:tabs>
          <w:tab w:val="num" w:pos="1440"/>
        </w:tabs>
        <w:ind w:left="1440" w:hanging="360"/>
      </w:pPr>
      <w:rPr>
        <w:rFonts w:ascii="Courier New" w:hAnsi="Courier New" w:hint="default"/>
        <w:sz w:val="20"/>
      </w:rPr>
    </w:lvl>
    <w:lvl w:ilvl="2" w:tplc="F8C67734" w:tentative="1">
      <w:start w:val="1"/>
      <w:numFmt w:val="bullet"/>
      <w:lvlText w:val=""/>
      <w:lvlJc w:val="left"/>
      <w:pPr>
        <w:tabs>
          <w:tab w:val="num" w:pos="2160"/>
        </w:tabs>
        <w:ind w:left="2160" w:hanging="360"/>
      </w:pPr>
      <w:rPr>
        <w:rFonts w:ascii="Wingdings" w:hAnsi="Wingdings" w:hint="default"/>
        <w:sz w:val="20"/>
      </w:rPr>
    </w:lvl>
    <w:lvl w:ilvl="3" w:tplc="A8BEFBC8" w:tentative="1">
      <w:start w:val="1"/>
      <w:numFmt w:val="bullet"/>
      <w:lvlText w:val=""/>
      <w:lvlJc w:val="left"/>
      <w:pPr>
        <w:tabs>
          <w:tab w:val="num" w:pos="2880"/>
        </w:tabs>
        <w:ind w:left="2880" w:hanging="360"/>
      </w:pPr>
      <w:rPr>
        <w:rFonts w:ascii="Wingdings" w:hAnsi="Wingdings" w:hint="default"/>
        <w:sz w:val="20"/>
      </w:rPr>
    </w:lvl>
    <w:lvl w:ilvl="4" w:tplc="E1344304" w:tentative="1">
      <w:start w:val="1"/>
      <w:numFmt w:val="bullet"/>
      <w:lvlText w:val=""/>
      <w:lvlJc w:val="left"/>
      <w:pPr>
        <w:tabs>
          <w:tab w:val="num" w:pos="3600"/>
        </w:tabs>
        <w:ind w:left="3600" w:hanging="360"/>
      </w:pPr>
      <w:rPr>
        <w:rFonts w:ascii="Wingdings" w:hAnsi="Wingdings" w:hint="default"/>
        <w:sz w:val="20"/>
      </w:rPr>
    </w:lvl>
    <w:lvl w:ilvl="5" w:tplc="733A03CC" w:tentative="1">
      <w:start w:val="1"/>
      <w:numFmt w:val="bullet"/>
      <w:lvlText w:val=""/>
      <w:lvlJc w:val="left"/>
      <w:pPr>
        <w:tabs>
          <w:tab w:val="num" w:pos="4320"/>
        </w:tabs>
        <w:ind w:left="4320" w:hanging="360"/>
      </w:pPr>
      <w:rPr>
        <w:rFonts w:ascii="Wingdings" w:hAnsi="Wingdings" w:hint="default"/>
        <w:sz w:val="20"/>
      </w:rPr>
    </w:lvl>
    <w:lvl w:ilvl="6" w:tplc="E0A253A4" w:tentative="1">
      <w:start w:val="1"/>
      <w:numFmt w:val="bullet"/>
      <w:lvlText w:val=""/>
      <w:lvlJc w:val="left"/>
      <w:pPr>
        <w:tabs>
          <w:tab w:val="num" w:pos="5040"/>
        </w:tabs>
        <w:ind w:left="5040" w:hanging="360"/>
      </w:pPr>
      <w:rPr>
        <w:rFonts w:ascii="Wingdings" w:hAnsi="Wingdings" w:hint="default"/>
        <w:sz w:val="20"/>
      </w:rPr>
    </w:lvl>
    <w:lvl w:ilvl="7" w:tplc="2EF4AB40" w:tentative="1">
      <w:start w:val="1"/>
      <w:numFmt w:val="bullet"/>
      <w:lvlText w:val=""/>
      <w:lvlJc w:val="left"/>
      <w:pPr>
        <w:tabs>
          <w:tab w:val="num" w:pos="5760"/>
        </w:tabs>
        <w:ind w:left="5760" w:hanging="360"/>
      </w:pPr>
      <w:rPr>
        <w:rFonts w:ascii="Wingdings" w:hAnsi="Wingdings" w:hint="default"/>
        <w:sz w:val="20"/>
      </w:rPr>
    </w:lvl>
    <w:lvl w:ilvl="8" w:tplc="3200B240" w:tentative="1">
      <w:start w:val="1"/>
      <w:numFmt w:val="bullet"/>
      <w:lvlText w:val=""/>
      <w:lvlJc w:val="left"/>
      <w:pPr>
        <w:tabs>
          <w:tab w:val="num" w:pos="6480"/>
        </w:tabs>
        <w:ind w:left="6480" w:hanging="360"/>
      </w:pPr>
      <w:rPr>
        <w:rFonts w:ascii="Wingdings" w:hAnsi="Wingdings" w:hint="default"/>
        <w:sz w:val="20"/>
      </w:rPr>
    </w:lvl>
  </w:abstractNum>
  <w:abstractNum w:abstractNumId="5">
    <w:nsid w:val="3F2C394F"/>
    <w:multiLevelType w:val="hybridMultilevel"/>
    <w:tmpl w:val="89E473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26A7798"/>
    <w:multiLevelType w:val="hybridMultilevel"/>
    <w:tmpl w:val="AB5C6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D06323"/>
    <w:multiLevelType w:val="hybridMultilevel"/>
    <w:tmpl w:val="1920301C"/>
    <w:lvl w:ilvl="0" w:tplc="DD1C22C4">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5DF84216"/>
    <w:multiLevelType w:val="hybridMultilevel"/>
    <w:tmpl w:val="509A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364C60"/>
    <w:multiLevelType w:val="hybridMultilevel"/>
    <w:tmpl w:val="8D36E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366033C"/>
    <w:multiLevelType w:val="hybridMultilevel"/>
    <w:tmpl w:val="3FC4A766"/>
    <w:lvl w:ilvl="0" w:tplc="04090005">
      <w:start w:val="1"/>
      <w:numFmt w:val="bullet"/>
      <w:lvlText w:val=""/>
      <w:lvlJc w:val="left"/>
      <w:pPr>
        <w:tabs>
          <w:tab w:val="num" w:pos="720"/>
        </w:tabs>
        <w:ind w:left="720" w:hanging="360"/>
      </w:pPr>
      <w:rPr>
        <w:rFonts w:ascii="Wingdings" w:hAnsi="Wingding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5D83ECC"/>
    <w:multiLevelType w:val="hybridMultilevel"/>
    <w:tmpl w:val="8C44B2F6"/>
    <w:lvl w:ilvl="0" w:tplc="2B363042">
      <w:start w:val="1"/>
      <w:numFmt w:val="bullet"/>
      <w:lvlText w:val=""/>
      <w:lvlJc w:val="left"/>
      <w:pPr>
        <w:tabs>
          <w:tab w:val="num" w:pos="720"/>
        </w:tabs>
        <w:ind w:left="720" w:hanging="360"/>
      </w:pPr>
      <w:rPr>
        <w:rFonts w:ascii="Symbol" w:hAnsi="Symbol" w:hint="default"/>
        <w:sz w:val="20"/>
      </w:rPr>
    </w:lvl>
    <w:lvl w:ilvl="1" w:tplc="A01E0F80" w:tentative="1">
      <w:start w:val="1"/>
      <w:numFmt w:val="bullet"/>
      <w:lvlText w:val="o"/>
      <w:lvlJc w:val="left"/>
      <w:pPr>
        <w:tabs>
          <w:tab w:val="num" w:pos="1440"/>
        </w:tabs>
        <w:ind w:left="1440" w:hanging="360"/>
      </w:pPr>
      <w:rPr>
        <w:rFonts w:ascii="Courier New" w:hAnsi="Courier New" w:hint="default"/>
        <w:sz w:val="20"/>
      </w:rPr>
    </w:lvl>
    <w:lvl w:ilvl="2" w:tplc="EBDAB59E" w:tentative="1">
      <w:start w:val="1"/>
      <w:numFmt w:val="bullet"/>
      <w:lvlText w:val=""/>
      <w:lvlJc w:val="left"/>
      <w:pPr>
        <w:tabs>
          <w:tab w:val="num" w:pos="2160"/>
        </w:tabs>
        <w:ind w:left="2160" w:hanging="360"/>
      </w:pPr>
      <w:rPr>
        <w:rFonts w:ascii="Wingdings" w:hAnsi="Wingdings" w:hint="default"/>
        <w:sz w:val="20"/>
      </w:rPr>
    </w:lvl>
    <w:lvl w:ilvl="3" w:tplc="ECE6BD14" w:tentative="1">
      <w:start w:val="1"/>
      <w:numFmt w:val="bullet"/>
      <w:lvlText w:val=""/>
      <w:lvlJc w:val="left"/>
      <w:pPr>
        <w:tabs>
          <w:tab w:val="num" w:pos="2880"/>
        </w:tabs>
        <w:ind w:left="2880" w:hanging="360"/>
      </w:pPr>
      <w:rPr>
        <w:rFonts w:ascii="Wingdings" w:hAnsi="Wingdings" w:hint="default"/>
        <w:sz w:val="20"/>
      </w:rPr>
    </w:lvl>
    <w:lvl w:ilvl="4" w:tplc="4CA6053A" w:tentative="1">
      <w:start w:val="1"/>
      <w:numFmt w:val="bullet"/>
      <w:lvlText w:val=""/>
      <w:lvlJc w:val="left"/>
      <w:pPr>
        <w:tabs>
          <w:tab w:val="num" w:pos="3600"/>
        </w:tabs>
        <w:ind w:left="3600" w:hanging="360"/>
      </w:pPr>
      <w:rPr>
        <w:rFonts w:ascii="Wingdings" w:hAnsi="Wingdings" w:hint="default"/>
        <w:sz w:val="20"/>
      </w:rPr>
    </w:lvl>
    <w:lvl w:ilvl="5" w:tplc="E6303C9A" w:tentative="1">
      <w:start w:val="1"/>
      <w:numFmt w:val="bullet"/>
      <w:lvlText w:val=""/>
      <w:lvlJc w:val="left"/>
      <w:pPr>
        <w:tabs>
          <w:tab w:val="num" w:pos="4320"/>
        </w:tabs>
        <w:ind w:left="4320" w:hanging="360"/>
      </w:pPr>
      <w:rPr>
        <w:rFonts w:ascii="Wingdings" w:hAnsi="Wingdings" w:hint="default"/>
        <w:sz w:val="20"/>
      </w:rPr>
    </w:lvl>
    <w:lvl w:ilvl="6" w:tplc="480E8E2C" w:tentative="1">
      <w:start w:val="1"/>
      <w:numFmt w:val="bullet"/>
      <w:lvlText w:val=""/>
      <w:lvlJc w:val="left"/>
      <w:pPr>
        <w:tabs>
          <w:tab w:val="num" w:pos="5040"/>
        </w:tabs>
        <w:ind w:left="5040" w:hanging="360"/>
      </w:pPr>
      <w:rPr>
        <w:rFonts w:ascii="Wingdings" w:hAnsi="Wingdings" w:hint="default"/>
        <w:sz w:val="20"/>
      </w:rPr>
    </w:lvl>
    <w:lvl w:ilvl="7" w:tplc="B0C64F6A" w:tentative="1">
      <w:start w:val="1"/>
      <w:numFmt w:val="bullet"/>
      <w:lvlText w:val=""/>
      <w:lvlJc w:val="left"/>
      <w:pPr>
        <w:tabs>
          <w:tab w:val="num" w:pos="5760"/>
        </w:tabs>
        <w:ind w:left="5760" w:hanging="360"/>
      </w:pPr>
      <w:rPr>
        <w:rFonts w:ascii="Wingdings" w:hAnsi="Wingdings" w:hint="default"/>
        <w:sz w:val="20"/>
      </w:rPr>
    </w:lvl>
    <w:lvl w:ilvl="8" w:tplc="258A78FA"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0E788A"/>
    <w:multiLevelType w:val="hybridMultilevel"/>
    <w:tmpl w:val="F0384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11"/>
  </w:num>
  <w:num w:numId="5">
    <w:abstractNumId w:val="5"/>
  </w:num>
  <w:num w:numId="6">
    <w:abstractNumId w:val="3"/>
  </w:num>
  <w:num w:numId="7">
    <w:abstractNumId w:val="9"/>
  </w:num>
  <w:num w:numId="8">
    <w:abstractNumId w:val="6"/>
  </w:num>
  <w:num w:numId="9">
    <w:abstractNumId w:val="12"/>
  </w:num>
  <w:num w:numId="10">
    <w:abstractNumId w:val="7"/>
  </w:num>
  <w:num w:numId="11">
    <w:abstractNumId w:val="0"/>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96"/>
    <w:rsid w:val="000432BE"/>
    <w:rsid w:val="000C3FF5"/>
    <w:rsid w:val="0014745B"/>
    <w:rsid w:val="002349C8"/>
    <w:rsid w:val="00271442"/>
    <w:rsid w:val="00286B89"/>
    <w:rsid w:val="002F1C5C"/>
    <w:rsid w:val="00315E42"/>
    <w:rsid w:val="00325E1E"/>
    <w:rsid w:val="0037744F"/>
    <w:rsid w:val="0038621E"/>
    <w:rsid w:val="003D342E"/>
    <w:rsid w:val="003E4728"/>
    <w:rsid w:val="004411EC"/>
    <w:rsid w:val="00490BA1"/>
    <w:rsid w:val="004A72E0"/>
    <w:rsid w:val="00500A7D"/>
    <w:rsid w:val="005A7728"/>
    <w:rsid w:val="005C31CE"/>
    <w:rsid w:val="00607B03"/>
    <w:rsid w:val="00616224"/>
    <w:rsid w:val="00645240"/>
    <w:rsid w:val="00670450"/>
    <w:rsid w:val="00681099"/>
    <w:rsid w:val="0069425A"/>
    <w:rsid w:val="006A2C2E"/>
    <w:rsid w:val="006A46A6"/>
    <w:rsid w:val="006E266C"/>
    <w:rsid w:val="007117EC"/>
    <w:rsid w:val="007265DD"/>
    <w:rsid w:val="00752BD2"/>
    <w:rsid w:val="007B59DF"/>
    <w:rsid w:val="00821F56"/>
    <w:rsid w:val="00826C67"/>
    <w:rsid w:val="00850247"/>
    <w:rsid w:val="00854100"/>
    <w:rsid w:val="00890532"/>
    <w:rsid w:val="008B5163"/>
    <w:rsid w:val="0090537E"/>
    <w:rsid w:val="00906A69"/>
    <w:rsid w:val="00A209ED"/>
    <w:rsid w:val="00AC2285"/>
    <w:rsid w:val="00AE706C"/>
    <w:rsid w:val="00B171D1"/>
    <w:rsid w:val="00B54F11"/>
    <w:rsid w:val="00B57C8F"/>
    <w:rsid w:val="00B759A0"/>
    <w:rsid w:val="00B842CE"/>
    <w:rsid w:val="00BA5B9B"/>
    <w:rsid w:val="00BE3524"/>
    <w:rsid w:val="00C62363"/>
    <w:rsid w:val="00CA12D8"/>
    <w:rsid w:val="00D26192"/>
    <w:rsid w:val="00D3443D"/>
    <w:rsid w:val="00D34A08"/>
    <w:rsid w:val="00E30D96"/>
    <w:rsid w:val="00F03CCD"/>
    <w:rsid w:val="00F37869"/>
    <w:rsid w:val="00F84D8A"/>
    <w:rsid w:val="00FB2E2B"/>
    <w:rsid w:val="00FD2F06"/>
    <w:rsid w:val="00FF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BD2"/>
    <w:rPr>
      <w:sz w:val="24"/>
      <w:szCs w:val="24"/>
    </w:rPr>
  </w:style>
  <w:style w:type="paragraph" w:styleId="Heading1">
    <w:name w:val="heading 1"/>
    <w:basedOn w:val="Normal"/>
    <w:next w:val="Normal"/>
    <w:qFormat/>
    <w:rsid w:val="00752BD2"/>
    <w:pPr>
      <w:keepNext/>
      <w:jc w:val="center"/>
      <w:outlineLvl w:val="0"/>
    </w:pPr>
    <w:rPr>
      <w:b/>
      <w:i/>
      <w:sz w:val="28"/>
      <w:szCs w:val="28"/>
    </w:rPr>
  </w:style>
  <w:style w:type="paragraph" w:styleId="Heading3">
    <w:name w:val="heading 3"/>
    <w:basedOn w:val="Normal"/>
    <w:qFormat/>
    <w:rsid w:val="00752BD2"/>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752BD2"/>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2BD2"/>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752BD2"/>
    <w:pPr>
      <w:jc w:val="center"/>
    </w:pPr>
    <w:rPr>
      <w:b/>
      <w:bCs/>
      <w:szCs w:val="27"/>
    </w:rPr>
  </w:style>
  <w:style w:type="paragraph" w:styleId="Header">
    <w:name w:val="header"/>
    <w:basedOn w:val="Normal"/>
    <w:rsid w:val="00752BD2"/>
    <w:pPr>
      <w:tabs>
        <w:tab w:val="center" w:pos="4320"/>
        <w:tab w:val="right" w:pos="8640"/>
      </w:tabs>
    </w:pPr>
  </w:style>
  <w:style w:type="character" w:styleId="PageNumber">
    <w:name w:val="page number"/>
    <w:basedOn w:val="DefaultParagraphFont"/>
    <w:rsid w:val="00752BD2"/>
  </w:style>
  <w:style w:type="paragraph" w:styleId="BodyTextIndent">
    <w:name w:val="Body Text Indent"/>
    <w:basedOn w:val="Normal"/>
    <w:rsid w:val="00752BD2"/>
    <w:pPr>
      <w:ind w:left="288"/>
    </w:pPr>
    <w:rPr>
      <w:b/>
      <w:bCs/>
    </w:rPr>
  </w:style>
  <w:style w:type="character" w:styleId="Hyperlink">
    <w:name w:val="Hyperlink"/>
    <w:basedOn w:val="DefaultParagraphFont"/>
    <w:rsid w:val="004411EC"/>
    <w:rPr>
      <w:color w:val="0000FF"/>
      <w:u w:val="single"/>
    </w:rPr>
  </w:style>
  <w:style w:type="paragraph" w:styleId="NoSpacing">
    <w:name w:val="No Spacing"/>
    <w:uiPriority w:val="1"/>
    <w:qFormat/>
    <w:rsid w:val="00681099"/>
    <w:rPr>
      <w:rFonts w:ascii="Calibri" w:eastAsia="Calibri" w:hAnsi="Calibri"/>
      <w:sz w:val="22"/>
      <w:szCs w:val="22"/>
    </w:rPr>
  </w:style>
  <w:style w:type="character" w:styleId="FollowedHyperlink">
    <w:name w:val="FollowedHyperlink"/>
    <w:basedOn w:val="DefaultParagraphFont"/>
    <w:rsid w:val="00906A69"/>
    <w:rPr>
      <w:color w:val="800080" w:themeColor="followedHyperlink"/>
      <w:u w:val="single"/>
    </w:rPr>
  </w:style>
  <w:style w:type="paragraph" w:styleId="BalloonText">
    <w:name w:val="Balloon Text"/>
    <w:basedOn w:val="Normal"/>
    <w:link w:val="BalloonTextChar"/>
    <w:rsid w:val="00890532"/>
    <w:rPr>
      <w:rFonts w:ascii="Tahoma" w:hAnsi="Tahoma" w:cs="Tahoma"/>
      <w:sz w:val="16"/>
      <w:szCs w:val="16"/>
    </w:rPr>
  </w:style>
  <w:style w:type="character" w:customStyle="1" w:styleId="BalloonTextChar">
    <w:name w:val="Balloon Text Char"/>
    <w:basedOn w:val="DefaultParagraphFont"/>
    <w:link w:val="BalloonText"/>
    <w:rsid w:val="0089053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2BD2"/>
    <w:rPr>
      <w:sz w:val="24"/>
      <w:szCs w:val="24"/>
    </w:rPr>
  </w:style>
  <w:style w:type="paragraph" w:styleId="Heading1">
    <w:name w:val="heading 1"/>
    <w:basedOn w:val="Normal"/>
    <w:next w:val="Normal"/>
    <w:qFormat/>
    <w:rsid w:val="00752BD2"/>
    <w:pPr>
      <w:keepNext/>
      <w:jc w:val="center"/>
      <w:outlineLvl w:val="0"/>
    </w:pPr>
    <w:rPr>
      <w:b/>
      <w:i/>
      <w:sz w:val="28"/>
      <w:szCs w:val="28"/>
    </w:rPr>
  </w:style>
  <w:style w:type="paragraph" w:styleId="Heading3">
    <w:name w:val="heading 3"/>
    <w:basedOn w:val="Normal"/>
    <w:qFormat/>
    <w:rsid w:val="00752BD2"/>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qFormat/>
    <w:rsid w:val="00752BD2"/>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52BD2"/>
    <w:pPr>
      <w:spacing w:before="100" w:beforeAutospacing="1" w:after="100" w:afterAutospacing="1"/>
    </w:pPr>
    <w:rPr>
      <w:rFonts w:ascii="Arial Unicode MS" w:eastAsia="Arial Unicode MS" w:hAnsi="Arial Unicode MS" w:cs="Arial Unicode MS"/>
    </w:rPr>
  </w:style>
  <w:style w:type="paragraph" w:styleId="Title">
    <w:name w:val="Title"/>
    <w:basedOn w:val="Normal"/>
    <w:qFormat/>
    <w:rsid w:val="00752BD2"/>
    <w:pPr>
      <w:jc w:val="center"/>
    </w:pPr>
    <w:rPr>
      <w:b/>
      <w:bCs/>
      <w:szCs w:val="27"/>
    </w:rPr>
  </w:style>
  <w:style w:type="paragraph" w:styleId="Header">
    <w:name w:val="header"/>
    <w:basedOn w:val="Normal"/>
    <w:rsid w:val="00752BD2"/>
    <w:pPr>
      <w:tabs>
        <w:tab w:val="center" w:pos="4320"/>
        <w:tab w:val="right" w:pos="8640"/>
      </w:tabs>
    </w:pPr>
  </w:style>
  <w:style w:type="character" w:styleId="PageNumber">
    <w:name w:val="page number"/>
    <w:basedOn w:val="DefaultParagraphFont"/>
    <w:rsid w:val="00752BD2"/>
  </w:style>
  <w:style w:type="paragraph" w:styleId="BodyTextIndent">
    <w:name w:val="Body Text Indent"/>
    <w:basedOn w:val="Normal"/>
    <w:rsid w:val="00752BD2"/>
    <w:pPr>
      <w:ind w:left="288"/>
    </w:pPr>
    <w:rPr>
      <w:b/>
      <w:bCs/>
    </w:rPr>
  </w:style>
  <w:style w:type="character" w:styleId="Hyperlink">
    <w:name w:val="Hyperlink"/>
    <w:basedOn w:val="DefaultParagraphFont"/>
    <w:rsid w:val="004411EC"/>
    <w:rPr>
      <w:color w:val="0000FF"/>
      <w:u w:val="single"/>
    </w:rPr>
  </w:style>
  <w:style w:type="paragraph" w:styleId="NoSpacing">
    <w:name w:val="No Spacing"/>
    <w:uiPriority w:val="1"/>
    <w:qFormat/>
    <w:rsid w:val="00681099"/>
    <w:rPr>
      <w:rFonts w:ascii="Calibri" w:eastAsia="Calibri" w:hAnsi="Calibri"/>
      <w:sz w:val="22"/>
      <w:szCs w:val="22"/>
    </w:rPr>
  </w:style>
  <w:style w:type="character" w:styleId="FollowedHyperlink">
    <w:name w:val="FollowedHyperlink"/>
    <w:basedOn w:val="DefaultParagraphFont"/>
    <w:rsid w:val="00906A69"/>
    <w:rPr>
      <w:color w:val="800080" w:themeColor="followedHyperlink"/>
      <w:u w:val="single"/>
    </w:rPr>
  </w:style>
  <w:style w:type="paragraph" w:styleId="BalloonText">
    <w:name w:val="Balloon Text"/>
    <w:basedOn w:val="Normal"/>
    <w:link w:val="BalloonTextChar"/>
    <w:rsid w:val="00890532"/>
    <w:rPr>
      <w:rFonts w:ascii="Tahoma" w:hAnsi="Tahoma" w:cs="Tahoma"/>
      <w:sz w:val="16"/>
      <w:szCs w:val="16"/>
    </w:rPr>
  </w:style>
  <w:style w:type="character" w:customStyle="1" w:styleId="BalloonTextChar">
    <w:name w:val="Balloon Text Char"/>
    <w:basedOn w:val="DefaultParagraphFont"/>
    <w:link w:val="BalloonText"/>
    <w:rsid w:val="00890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3511</Words>
  <Characters>20017</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Potter College Tenure And Promotion Policies</vt:lpstr>
    </vt:vector>
  </TitlesOfParts>
  <Company>WKU</Company>
  <LinksUpToDate>false</LinksUpToDate>
  <CharactersWithSpaces>23482</CharactersWithSpaces>
  <SharedDoc>false</SharedDoc>
  <HLinks>
    <vt:vector size="6" baseType="variant">
      <vt:variant>
        <vt:i4>2293809</vt:i4>
      </vt:variant>
      <vt:variant>
        <vt:i4>0</vt:i4>
      </vt:variant>
      <vt:variant>
        <vt:i4>0</vt:i4>
      </vt:variant>
      <vt:variant>
        <vt:i4>5</vt:i4>
      </vt:variant>
      <vt:variant>
        <vt:lpwstr>http://www.wku.edu/policies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Potter College Tenure And Promotion Policies</dc:title>
  <dc:creator>wkuuser</dc:creator>
  <cp:lastModifiedBy>Vicki Bagwell</cp:lastModifiedBy>
  <cp:revision>2</cp:revision>
  <cp:lastPrinted>2013-03-22T20:10:00Z</cp:lastPrinted>
  <dcterms:created xsi:type="dcterms:W3CDTF">2015-07-07T04:08:00Z</dcterms:created>
  <dcterms:modified xsi:type="dcterms:W3CDTF">2015-07-07T04:08:00Z</dcterms:modified>
</cp:coreProperties>
</file>