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7A" w:rsidRPr="00086124" w:rsidRDefault="0058437A" w:rsidP="00086124">
      <w:pPr>
        <w:pStyle w:val="Heading1"/>
      </w:pPr>
      <w:r w:rsidRPr="00086124">
        <w:rPr>
          <w:rStyle w:val="Heading1Char"/>
          <w:b/>
        </w:rPr>
        <w:t>PHXXX: Course</w:t>
      </w:r>
      <w:r w:rsidRPr="00086124">
        <w:t xml:space="preserve"> Title</w:t>
      </w:r>
    </w:p>
    <w:p w:rsidR="00351EAF" w:rsidRPr="00351EAF" w:rsidRDefault="00B122DA" w:rsidP="00351EAF">
      <w:pPr>
        <w:jc w:val="center"/>
      </w:pPr>
      <w:r>
        <w:t>Day/Time/Format</w:t>
      </w:r>
    </w:p>
    <w:p w:rsidR="00086124" w:rsidRDefault="00086124" w:rsidP="00086124">
      <w:pPr>
        <w:pStyle w:val="Heading2"/>
      </w:pPr>
      <w:r>
        <w:t>Contact Information</w:t>
      </w:r>
    </w:p>
    <w:p w:rsidR="0058437A" w:rsidRPr="007B3C3A" w:rsidRDefault="00223CD4" w:rsidP="0058437A">
      <w:pPr>
        <w:spacing w:after="0"/>
      </w:pPr>
      <w:r>
        <w:t>Instructor/pronouns:</w:t>
      </w:r>
    </w:p>
    <w:p w:rsidR="0058437A" w:rsidRPr="007B3C3A" w:rsidRDefault="0058437A" w:rsidP="0058437A">
      <w:pPr>
        <w:spacing w:after="0"/>
      </w:pPr>
      <w:r w:rsidRPr="007B3C3A">
        <w:t>Office:</w:t>
      </w:r>
    </w:p>
    <w:p w:rsidR="0058437A" w:rsidRPr="007B3C3A" w:rsidRDefault="0058437A" w:rsidP="0058437A">
      <w:pPr>
        <w:spacing w:after="0"/>
      </w:pPr>
      <w:r w:rsidRPr="007B3C3A">
        <w:t>Office Hours:</w:t>
      </w:r>
    </w:p>
    <w:p w:rsidR="0058437A" w:rsidRPr="007B3C3A" w:rsidRDefault="0058437A" w:rsidP="0058437A">
      <w:pPr>
        <w:spacing w:after="0"/>
      </w:pPr>
      <w:r w:rsidRPr="007B3C3A">
        <w:t>Phone:</w:t>
      </w:r>
    </w:p>
    <w:p w:rsidR="0058437A" w:rsidRPr="007B3C3A" w:rsidRDefault="0058437A" w:rsidP="0058437A">
      <w:pPr>
        <w:spacing w:after="0"/>
      </w:pPr>
      <w:r w:rsidRPr="007B3C3A">
        <w:t>Email:</w:t>
      </w:r>
    </w:p>
    <w:p w:rsidR="0058437A" w:rsidRPr="00662918" w:rsidRDefault="0058437A" w:rsidP="0058437A">
      <w:pPr>
        <w:spacing w:after="0"/>
        <w:rPr>
          <w:color w:val="C00000"/>
        </w:rPr>
      </w:pPr>
      <w:r w:rsidRPr="00662918">
        <w:rPr>
          <w:color w:val="C00000"/>
        </w:rPr>
        <w:t>Any statements about preferred way to contact you</w:t>
      </w:r>
    </w:p>
    <w:p w:rsidR="007B3C3A" w:rsidRPr="007B3C3A" w:rsidRDefault="007B3C3A" w:rsidP="00D81030"/>
    <w:p w:rsidR="00D81030" w:rsidRPr="007B3C3A" w:rsidRDefault="00D81030" w:rsidP="00D81030">
      <w:pPr>
        <w:pStyle w:val="Heading2"/>
      </w:pPr>
      <w:r w:rsidRPr="007B3C3A">
        <w:t>Pre-</w:t>
      </w:r>
      <w:r w:rsidR="007A7159" w:rsidRPr="007B3C3A">
        <w:t>requisit</w:t>
      </w:r>
      <w:r w:rsidR="007B3C3A" w:rsidRPr="007B3C3A">
        <w:t xml:space="preserve">es </w:t>
      </w:r>
    </w:p>
    <w:p w:rsidR="00D81030" w:rsidRPr="00662918" w:rsidRDefault="00351EAF" w:rsidP="0058437A">
      <w:pPr>
        <w:spacing w:after="0"/>
        <w:rPr>
          <w:color w:val="C00000"/>
        </w:rPr>
      </w:pPr>
      <w:r w:rsidRPr="00662918">
        <w:rPr>
          <w:color w:val="C00000"/>
        </w:rPr>
        <w:t xml:space="preserve">These must be consistent with what is in the </w:t>
      </w:r>
      <w:hyperlink r:id="rId7" w:history="1">
        <w:r w:rsidRPr="00E7482A">
          <w:rPr>
            <w:rStyle w:val="Hyperlink"/>
          </w:rPr>
          <w:t>graduate catalog</w:t>
        </w:r>
      </w:hyperlink>
      <w:r w:rsidRPr="00662918">
        <w:rPr>
          <w:color w:val="C00000"/>
        </w:rPr>
        <w:t xml:space="preserve">. </w:t>
      </w:r>
      <w:r w:rsidR="00A82DD9" w:rsidRPr="00662918">
        <w:rPr>
          <w:color w:val="C00000"/>
        </w:rPr>
        <w:t xml:space="preserve">Please check the graduate school catalog for updates. </w:t>
      </w:r>
      <w:r w:rsidR="007B3C3A" w:rsidRPr="00662918">
        <w:rPr>
          <w:color w:val="C00000"/>
        </w:rPr>
        <w:t>If not applicable, delete this subheading</w:t>
      </w:r>
    </w:p>
    <w:p w:rsidR="00351EAF" w:rsidRDefault="00351EAF" w:rsidP="0058437A">
      <w:pPr>
        <w:spacing w:after="0"/>
      </w:pPr>
    </w:p>
    <w:p w:rsidR="00351EAF" w:rsidRPr="007B3C3A" w:rsidRDefault="00351EAF" w:rsidP="00351EAF">
      <w:pPr>
        <w:pStyle w:val="Heading2"/>
      </w:pPr>
      <w:r w:rsidRPr="007B3C3A">
        <w:t>Required Text/Materials</w:t>
      </w:r>
    </w:p>
    <w:p w:rsidR="007B3C3A" w:rsidRPr="00662918" w:rsidRDefault="00662918" w:rsidP="0058437A">
      <w:pPr>
        <w:spacing w:after="0"/>
        <w:rPr>
          <w:color w:val="C00000"/>
        </w:rPr>
      </w:pPr>
      <w:r w:rsidRPr="00662918">
        <w:rPr>
          <w:color w:val="C00000"/>
        </w:rPr>
        <w:t>Please make sure this is consistent with the bookstore.  If students will need a software program (e.g. SPSS or Excel) or specific equipment (e.g. calculator or web camera), state it here as well.</w:t>
      </w:r>
    </w:p>
    <w:p w:rsidR="00F2398D" w:rsidRPr="007B3C3A" w:rsidRDefault="00F2398D" w:rsidP="0058437A">
      <w:pPr>
        <w:spacing w:after="0"/>
      </w:pPr>
    </w:p>
    <w:p w:rsidR="0058437A" w:rsidRPr="007B3C3A" w:rsidRDefault="0058437A" w:rsidP="0058437A">
      <w:pPr>
        <w:pStyle w:val="Heading2"/>
      </w:pPr>
      <w:r w:rsidRPr="007B3C3A">
        <w:t>Course Description</w:t>
      </w:r>
    </w:p>
    <w:p w:rsidR="0058437A" w:rsidRDefault="0058437A" w:rsidP="0058437A">
      <w:r w:rsidRPr="00247810">
        <w:rPr>
          <w:color w:val="C00000"/>
        </w:rPr>
        <w:t xml:space="preserve">This should come out of the current </w:t>
      </w:r>
      <w:hyperlink r:id="rId8" w:history="1">
        <w:r w:rsidRPr="00086124">
          <w:rPr>
            <w:rStyle w:val="Hyperlink"/>
          </w:rPr>
          <w:t>graduate school catalog</w:t>
        </w:r>
      </w:hyperlink>
      <w:r w:rsidRPr="007B3C3A">
        <w:t xml:space="preserve">. </w:t>
      </w:r>
    </w:p>
    <w:p w:rsidR="0058437A" w:rsidRPr="007B3C3A" w:rsidRDefault="0058437A" w:rsidP="0058437A">
      <w:pPr>
        <w:pStyle w:val="Heading2"/>
      </w:pPr>
      <w:r w:rsidRPr="007B3C3A">
        <w:t>Course Goals</w:t>
      </w:r>
      <w:r w:rsidR="00A93686">
        <w:t xml:space="preserve"> or Overview</w:t>
      </w:r>
    </w:p>
    <w:p w:rsidR="0058437A" w:rsidRPr="00247810" w:rsidRDefault="0058437A" w:rsidP="0058437A">
      <w:pPr>
        <w:rPr>
          <w:color w:val="C00000"/>
        </w:rPr>
      </w:pPr>
      <w:r w:rsidRPr="00247810">
        <w:rPr>
          <w:color w:val="C00000"/>
        </w:rPr>
        <w:t>Optional</w:t>
      </w:r>
    </w:p>
    <w:p w:rsidR="0058437A" w:rsidRPr="007B3C3A" w:rsidRDefault="00EA4C78" w:rsidP="00EA4C78">
      <w:pPr>
        <w:pStyle w:val="Heading2"/>
      </w:pPr>
      <w:r w:rsidRPr="007B3C3A">
        <w:t>Course Objectives</w:t>
      </w:r>
    </w:p>
    <w:p w:rsidR="00A93686" w:rsidRPr="00247810" w:rsidRDefault="00EA4C78" w:rsidP="00A93686">
      <w:pPr>
        <w:spacing w:after="0"/>
        <w:rPr>
          <w:b/>
          <w:color w:val="C00000"/>
        </w:rPr>
      </w:pPr>
      <w:r w:rsidRPr="00247810">
        <w:rPr>
          <w:color w:val="C00000"/>
        </w:rPr>
        <w:t xml:space="preserve">Learning objectives should identify what students will be able to do upon completing the course. Please use </w:t>
      </w:r>
      <w:r w:rsidRPr="00247810">
        <w:rPr>
          <w:b/>
          <w:color w:val="C00000"/>
        </w:rPr>
        <w:t>higher-order verbs</w:t>
      </w:r>
      <w:r w:rsidRPr="00247810">
        <w:rPr>
          <w:color w:val="C00000"/>
        </w:rPr>
        <w:t>, and avoid using verbs that cannot be demonstrably assessed, e.g. understand, know, appreciate, etc.</w:t>
      </w:r>
      <w:r w:rsidR="00E21AE9" w:rsidRPr="00247810">
        <w:rPr>
          <w:color w:val="C00000"/>
        </w:rPr>
        <w:t xml:space="preserve">  </w:t>
      </w:r>
      <w:r w:rsidR="00E21AE9" w:rsidRPr="00247810">
        <w:rPr>
          <w:b/>
          <w:color w:val="C00000"/>
        </w:rPr>
        <w:t>NOTE: If the course meets any of the MPH foundational knowledge objectives, please li</w:t>
      </w:r>
      <w:r w:rsidR="00D22090" w:rsidRPr="00247810">
        <w:rPr>
          <w:b/>
          <w:color w:val="C00000"/>
        </w:rPr>
        <w:t xml:space="preserve">st </w:t>
      </w:r>
      <w:r w:rsidR="00C0203E" w:rsidRPr="00247810">
        <w:rPr>
          <w:b/>
          <w:color w:val="C00000"/>
        </w:rPr>
        <w:t>them verbatim</w:t>
      </w:r>
      <w:r w:rsidR="00A16856" w:rsidRPr="00247810">
        <w:rPr>
          <w:b/>
          <w:color w:val="C00000"/>
        </w:rPr>
        <w:t xml:space="preserve"> (or higher-order version)</w:t>
      </w:r>
      <w:r w:rsidR="00086124" w:rsidRPr="00247810">
        <w:rPr>
          <w:b/>
          <w:color w:val="C00000"/>
        </w:rPr>
        <w:t>.</w:t>
      </w:r>
      <w:r w:rsidR="00C0203E" w:rsidRPr="00247810">
        <w:rPr>
          <w:b/>
          <w:color w:val="C00000"/>
        </w:rPr>
        <w:t xml:space="preserve"> </w:t>
      </w:r>
    </w:p>
    <w:p w:rsidR="00086124" w:rsidRPr="007B3C3A" w:rsidRDefault="00086124" w:rsidP="00A93686">
      <w:pPr>
        <w:spacing w:after="0"/>
      </w:pPr>
    </w:p>
    <w:p w:rsidR="00EA4C78" w:rsidRPr="007B3C3A" w:rsidRDefault="00EA4C78" w:rsidP="00EA4C78">
      <w:pPr>
        <w:pStyle w:val="Heading2"/>
      </w:pPr>
      <w:r w:rsidRPr="007B3C3A">
        <w:t>Course Assessments</w:t>
      </w:r>
    </w:p>
    <w:p w:rsidR="003C5DB2" w:rsidRDefault="003C5DB2" w:rsidP="00B11823">
      <w:pPr>
        <w:spacing w:after="0" w:line="240" w:lineRule="auto"/>
        <w:rPr>
          <w:rFonts w:eastAsia="Times New Roman" w:cs="Arial"/>
        </w:rPr>
      </w:pPr>
      <w:r w:rsidRPr="00247810">
        <w:rPr>
          <w:rFonts w:eastAsia="Times New Roman" w:cs="Arial"/>
          <w:color w:val="C00000"/>
        </w:rPr>
        <w:t>Describe the assessments used in class, noting which learning objectives are addressed by each</w:t>
      </w:r>
      <w:r w:rsidR="007B3C3A" w:rsidRPr="00247810">
        <w:rPr>
          <w:rFonts w:eastAsia="Times New Roman" w:cs="Arial"/>
          <w:color w:val="C00000"/>
        </w:rPr>
        <w:t xml:space="preserve"> assessment</w:t>
      </w:r>
      <w:r w:rsidRPr="007B3C3A">
        <w:rPr>
          <w:rFonts w:eastAsia="Times New Roman" w:cs="Arial"/>
        </w:rPr>
        <w:t>.</w:t>
      </w:r>
      <w:r w:rsidR="00353FD4">
        <w:rPr>
          <w:rFonts w:eastAsia="Times New Roman" w:cs="Arial"/>
        </w:rPr>
        <w:t xml:space="preserve"> </w:t>
      </w:r>
    </w:p>
    <w:p w:rsidR="003C5DB2" w:rsidRPr="007B3C3A" w:rsidRDefault="003C5DB2" w:rsidP="003C5DB2">
      <w:pPr>
        <w:pStyle w:val="Heading2"/>
        <w:rPr>
          <w:rFonts w:eastAsia="Times New Roman"/>
        </w:rPr>
      </w:pPr>
      <w:r w:rsidRPr="007B3C3A">
        <w:rPr>
          <w:rFonts w:eastAsia="Times New Roman"/>
        </w:rPr>
        <w:t>Grading</w:t>
      </w:r>
    </w:p>
    <w:p w:rsidR="00B11823" w:rsidRPr="00247810" w:rsidRDefault="003C5DB2" w:rsidP="00B11823">
      <w:pPr>
        <w:spacing w:after="0" w:line="240" w:lineRule="auto"/>
        <w:rPr>
          <w:rFonts w:eastAsia="Times New Roman" w:cs="Arial"/>
          <w:color w:val="C00000"/>
        </w:rPr>
      </w:pPr>
      <w:r w:rsidRPr="00247810">
        <w:rPr>
          <w:rFonts w:eastAsia="Times New Roman" w:cs="Arial"/>
          <w:color w:val="C00000"/>
        </w:rPr>
        <w:t xml:space="preserve">Specific weight/points </w:t>
      </w:r>
      <w:r w:rsidR="00B11823" w:rsidRPr="00247810">
        <w:rPr>
          <w:rFonts w:eastAsia="Times New Roman" w:cs="Arial"/>
          <w:color w:val="C00000"/>
        </w:rPr>
        <w:t xml:space="preserve">assigned to each </w:t>
      </w:r>
      <w:r w:rsidRPr="00247810">
        <w:rPr>
          <w:rFonts w:eastAsia="Times New Roman" w:cs="Arial"/>
          <w:color w:val="C00000"/>
        </w:rPr>
        <w:t>assessment and grading scale.</w:t>
      </w:r>
    </w:p>
    <w:p w:rsidR="003E67F7" w:rsidRDefault="003E67F7" w:rsidP="00B11823">
      <w:pPr>
        <w:spacing w:after="0" w:line="240" w:lineRule="auto"/>
        <w:rPr>
          <w:rFonts w:eastAsia="Times New Roman" w:cs="Arial"/>
        </w:rPr>
      </w:pPr>
    </w:p>
    <w:p w:rsidR="003E67F7" w:rsidRPr="007B3C3A" w:rsidRDefault="003E67F7" w:rsidP="003E67F7">
      <w:pPr>
        <w:pStyle w:val="Heading2"/>
      </w:pPr>
      <w:r w:rsidRPr="007B3C3A">
        <w:t xml:space="preserve">Academic </w:t>
      </w:r>
      <w:r>
        <w:t>Integrity</w:t>
      </w:r>
      <w:r w:rsidR="00264851">
        <w:t xml:space="preserve"> </w:t>
      </w:r>
      <w:r w:rsidR="00264851">
        <w:rPr>
          <w:color w:val="C00000"/>
        </w:rPr>
        <w:t>(voted in May 2021 to be used as consistent syllabi statement)</w:t>
      </w:r>
    </w:p>
    <w:p w:rsidR="008076B3" w:rsidRDefault="008076B3" w:rsidP="008076B3">
      <w:pPr>
        <w:pStyle w:val="xmsonormal"/>
      </w:pPr>
      <w:r>
        <w:rPr>
          <w:rFonts w:ascii="Calibri" w:hAnsi="Calibri" w:cs="Calibri"/>
          <w:sz w:val="22"/>
          <w:szCs w:val="22"/>
        </w:rPr>
        <w:t xml:space="preserve">Academic integrity is essential to students’ intellectual development, and is a core value of the MPH program. Thus, the work you do in this course – and all MPH courses </w:t>
      </w:r>
      <w:r>
        <w:rPr>
          <w:rFonts w:ascii="Calibri" w:hAnsi="Calibri" w:cs="Calibri"/>
          <w:color w:val="C00000"/>
          <w:sz w:val="22"/>
          <w:szCs w:val="22"/>
        </w:rPr>
        <w:t xml:space="preserve">-- </w:t>
      </w:r>
      <w:r>
        <w:rPr>
          <w:rFonts w:ascii="Calibri" w:hAnsi="Calibri" w:cs="Calibri"/>
          <w:sz w:val="22"/>
          <w:szCs w:val="22"/>
        </w:rPr>
        <w:t xml:space="preserve">is expected to reflect academic integrity through responsible behaviors, including avoiding plagiarism, unauthorized collaboration, cheating, or other types of </w:t>
      </w:r>
      <w:hyperlink r:id="rId9" w:history="1">
        <w:r>
          <w:rPr>
            <w:rStyle w:val="Hyperlink"/>
            <w:rFonts w:ascii="Calibri" w:hAnsi="Calibri" w:cs="Calibri"/>
            <w:sz w:val="22"/>
            <w:szCs w:val="22"/>
          </w:rPr>
          <w:t>academic dishonesty</w:t>
        </w:r>
      </w:hyperlink>
      <w:r>
        <w:rPr>
          <w:rFonts w:ascii="Calibri" w:hAnsi="Calibri" w:cs="Calibri"/>
          <w:sz w:val="22"/>
          <w:szCs w:val="22"/>
        </w:rPr>
        <w:t>. Students who commit any act of academic dishonesty may</w:t>
      </w:r>
      <w:r>
        <w:rPr>
          <w:rFonts w:ascii="Calibri" w:hAnsi="Calibri" w:cs="Calibri"/>
          <w:color w:val="C00000"/>
          <w:sz w:val="22"/>
          <w:szCs w:val="22"/>
        </w:rPr>
        <w:t xml:space="preserve"> </w:t>
      </w:r>
      <w:r>
        <w:rPr>
          <w:rFonts w:ascii="Calibri" w:hAnsi="Calibri" w:cs="Calibri"/>
          <w:sz w:val="22"/>
          <w:szCs w:val="22"/>
        </w:rPr>
        <w:t xml:space="preserve">receive a failing grade on the assignment/assessment, or a failing grade in the course. </w:t>
      </w:r>
      <w:hyperlink r:id="rId10" w:history="1">
        <w:r>
          <w:rPr>
            <w:rStyle w:val="Hyperlink"/>
            <w:rFonts w:ascii="Calibri" w:hAnsi="Calibri" w:cs="Calibri"/>
            <w:sz w:val="22"/>
            <w:szCs w:val="22"/>
          </w:rPr>
          <w:t>Per policy</w:t>
        </w:r>
      </w:hyperlink>
      <w:r>
        <w:rPr>
          <w:rFonts w:ascii="Calibri" w:hAnsi="Calibri" w:cs="Calibri"/>
          <w:sz w:val="22"/>
          <w:szCs w:val="22"/>
        </w:rPr>
        <w:t xml:space="preserve">, </w:t>
      </w:r>
      <w:r>
        <w:rPr>
          <w:rFonts w:ascii="Calibri" w:hAnsi="Calibri" w:cs="Calibri"/>
          <w:sz w:val="22"/>
          <w:szCs w:val="22"/>
        </w:rPr>
        <w:lastRenderedPageBreak/>
        <w:t xml:space="preserve">students may also be reported to the Office of Judicial Affairs for disciplinary sanctions and/or the Graduate School for dismissal from the program. A student who believes a faculty member has dealt unfairly with him/her/them in a course involving academic dishonesty may seek relief through the </w:t>
      </w:r>
      <w:hyperlink r:id="rId11" w:history="1">
        <w:r>
          <w:rPr>
            <w:rStyle w:val="Hyperlink"/>
            <w:rFonts w:ascii="Calibri" w:hAnsi="Calibri" w:cs="Calibri"/>
            <w:sz w:val="22"/>
            <w:szCs w:val="22"/>
          </w:rPr>
          <w:t>Student Complaint Procedure</w:t>
        </w:r>
      </w:hyperlink>
      <w:r>
        <w:rPr>
          <w:rFonts w:ascii="Calibri" w:hAnsi="Calibri" w:cs="Calibri"/>
          <w:sz w:val="22"/>
          <w:szCs w:val="22"/>
        </w:rPr>
        <w:t>.</w:t>
      </w:r>
    </w:p>
    <w:p w:rsidR="008076B3" w:rsidRDefault="008076B3" w:rsidP="008076B3">
      <w:pPr>
        <w:pStyle w:val="xmsonormal"/>
      </w:pPr>
      <w:r>
        <w:rPr>
          <w:rFonts w:ascii="Calibri" w:hAnsi="Calibri" w:cs="Calibri"/>
          <w:sz w:val="22"/>
          <w:szCs w:val="22"/>
        </w:rPr>
        <w:t> </w:t>
      </w:r>
    </w:p>
    <w:p w:rsidR="003E67F7" w:rsidRPr="00E7482A" w:rsidRDefault="003E67F7" w:rsidP="003E67F7">
      <w:pPr>
        <w:pStyle w:val="Heading2"/>
        <w:rPr>
          <w:color w:val="C00000"/>
        </w:rPr>
      </w:pPr>
      <w:r>
        <w:t xml:space="preserve">Diversity, </w:t>
      </w:r>
      <w:r w:rsidRPr="008143FB">
        <w:t>Inclusivity</w:t>
      </w:r>
      <w:r>
        <w:t>, &amp; Equity</w:t>
      </w:r>
      <w:r w:rsidRPr="008143FB">
        <w:t xml:space="preserve"> </w:t>
      </w:r>
      <w:r w:rsidR="00E7482A">
        <w:rPr>
          <w:color w:val="C00000"/>
        </w:rPr>
        <w:t xml:space="preserve">(voted in May 2021 to be used as consistent </w:t>
      </w:r>
      <w:r w:rsidR="008076B3">
        <w:rPr>
          <w:color w:val="C00000"/>
        </w:rPr>
        <w:t xml:space="preserve">syllabi </w:t>
      </w:r>
      <w:r w:rsidR="00E7482A">
        <w:rPr>
          <w:color w:val="C00000"/>
        </w:rPr>
        <w:t>statement)</w:t>
      </w:r>
    </w:p>
    <w:p w:rsidR="00E7482A" w:rsidRPr="00E7482A" w:rsidRDefault="00E7482A" w:rsidP="00E7482A">
      <w:r w:rsidRPr="00E7482A">
        <w:rPr>
          <w:rFonts w:ascii="Calibri" w:hAnsi="Calibri" w:cs="Calibri"/>
          <w:i/>
          <w:iCs/>
        </w:rPr>
        <w:t xml:space="preserve">We promote social justice by creating a respectful, collaborative, diverse, inclusive, and equitable environment through teaching, service, and research. </w:t>
      </w:r>
    </w:p>
    <w:p w:rsidR="00E7482A" w:rsidRPr="00E7482A" w:rsidRDefault="00E7482A" w:rsidP="00E7482A">
      <w:r w:rsidRPr="00E7482A">
        <w:rPr>
          <w:rFonts w:ascii="Calibri" w:hAnsi="Calibri" w:cs="Calibri"/>
        </w:rPr>
        <w:t xml:space="preserve">The strength and success of WKU’s MPH program is built on the foundation of a wide range of perspectives and experiences. We embrace diverse backgrounds, embodiments, and experiences and are committed to fostering </w:t>
      </w:r>
      <w:bookmarkStart w:id="0" w:name="_GoBack"/>
      <w:bookmarkEnd w:id="0"/>
      <w:r w:rsidRPr="00E7482A">
        <w:rPr>
          <w:rFonts w:ascii="Calibri" w:hAnsi="Calibri" w:cs="Calibri"/>
        </w:rPr>
        <w:t xml:space="preserve">inclusive and accessible environments.  </w:t>
      </w:r>
      <w:r w:rsidRPr="00E7482A">
        <w:rPr>
          <w:rFonts w:ascii="Calibri" w:hAnsi="Calibri" w:cs="Calibri"/>
          <w:bCs/>
        </w:rPr>
        <w:t>We</w:t>
      </w:r>
      <w:r w:rsidRPr="00E7482A">
        <w:rPr>
          <w:rFonts w:ascii="Calibri" w:hAnsi="Calibri" w:cs="Calibri"/>
        </w:rPr>
        <w:t xml:space="preserve"> respect physical, social, and cultural differences among us, which may include, but are not limited to: age, cultural background, disability, ethnicity, family status, gender identity and presentation, citizenship and immigration status, national origin, race, religious and political beliefs, sex, sexual orientation, socioeconomic status, and veteran status. Please talk with your instructor, advisor, or MPH staff member right away if you experience disrespect in this class or while part of our program. Whenever possible, we will work to address it in an educational manner.   Resources on inclusive language and document accessibility are provided in the MPH Guidebook and MPH Student organizational site on Blackboard</w:t>
      </w:r>
    </w:p>
    <w:p w:rsidR="003E67F7" w:rsidRPr="00662918" w:rsidRDefault="00D02A16" w:rsidP="003E67F7">
      <w:pPr>
        <w:pStyle w:val="Heading2"/>
        <w:rPr>
          <w:color w:val="C00000"/>
        </w:rPr>
      </w:pPr>
      <w:r>
        <w:t xml:space="preserve">ADA </w:t>
      </w:r>
      <w:r w:rsidR="004458B5">
        <w:t>Accommodations (</w:t>
      </w:r>
      <w:r w:rsidR="00662918">
        <w:rPr>
          <w:color w:val="C00000"/>
        </w:rPr>
        <w:t>Must be used verbatim)</w:t>
      </w:r>
    </w:p>
    <w:p w:rsidR="003E67F7" w:rsidRDefault="003E67F7" w:rsidP="003E67F7">
      <w:pPr>
        <w:spacing w:after="0"/>
      </w:pPr>
      <w:r>
        <w:t>In compliance with University policy, students with disabilities who require academic and/or auxiliary accommodations for this course must contact the Student Accessibility Resource Center located in Downing Student Union, Room 1074.  The SARC can be reached by phone number at 270-745-5004 [270-745-3030 TTY] or via email at </w:t>
      </w:r>
      <w:hyperlink r:id="rId12" w:history="1">
        <w:r>
          <w:rPr>
            <w:rStyle w:val="Hyperlink"/>
          </w:rPr>
          <w:t>sarc.connect@wku.edu</w:t>
        </w:r>
      </w:hyperlink>
      <w:r>
        <w:t>. Please do not request accommodations directly from the professor or instructor without a faculty notification letter (FNL) from The Student Accessibility Resource Center.</w:t>
      </w:r>
    </w:p>
    <w:p w:rsidR="00834C9E" w:rsidRDefault="00834C9E" w:rsidP="003E67F7">
      <w:pPr>
        <w:spacing w:after="0"/>
        <w:rPr>
          <w:iCs/>
        </w:rPr>
      </w:pPr>
    </w:p>
    <w:p w:rsidR="002D6531" w:rsidRPr="00662918" w:rsidRDefault="002D6531" w:rsidP="002D6531">
      <w:pPr>
        <w:pStyle w:val="Heading2"/>
        <w:rPr>
          <w:color w:val="C00000"/>
        </w:rPr>
      </w:pPr>
      <w:r w:rsidRPr="002D6531">
        <w:t>Title IX</w:t>
      </w:r>
      <w:r w:rsidR="00086124">
        <w:t>/ Discrimination &amp; Harassment</w:t>
      </w:r>
      <w:r w:rsidR="00662918">
        <w:t xml:space="preserve"> (</w:t>
      </w:r>
      <w:r w:rsidR="00662918">
        <w:rPr>
          <w:color w:val="C00000"/>
        </w:rPr>
        <w:t>Must be used verbatim)</w:t>
      </w:r>
    </w:p>
    <w:p w:rsidR="00264851" w:rsidRDefault="00086124" w:rsidP="00353FD4">
      <w:pPr>
        <w:spacing w:after="0"/>
      </w:pPr>
      <w:r>
        <w:t xml:space="preserve">Western Kentucky University (WKU) is committed to supporting faculty, staff and students by upholding WKU’s </w:t>
      </w:r>
      <w:hyperlink r:id="rId13" w:history="1">
        <w:r>
          <w:rPr>
            <w:rStyle w:val="Hyperlink"/>
          </w:rPr>
          <w:t>Sex and Gender-Based Discrimination, Harassment, and Retaliation</w:t>
        </w:r>
      </w:hyperlink>
      <w:r>
        <w:t xml:space="preserve"> (#0.070) and </w:t>
      </w:r>
      <w:hyperlink r:id="rId14" w:tgtFrame="_blank" w:history="1">
        <w:r>
          <w:rPr>
            <w:rStyle w:val="Hyperlink"/>
          </w:rPr>
          <w:t>Discrimination and Harassment Policy</w:t>
        </w:r>
      </w:hyperlink>
      <w:r>
        <w:t xml:space="preserve"> (#0.2040). Under these policies, discrimination, harassment and/or sexual misconduct based on sex/gender are prohibited. If you experience an incident of sex/gender-based discrimination, harassment and/or sexual misconduct, you are encouraged to report it to the Title IX Coordinator, Deborah Wilkins, 270-745-5398 or Title IX Investigators, Michael Crowe, 270-745-5429 or Joshua Hayes, 270-745-5121. Please note that while you may report an incident of sex/gender based discrimination, harassment and/or sexual misconduct to a faculty member, WKU faculty are “Responsible Employees” of the University and MUST report what you share to WKU’s Title IX Coordinator or Title IX Investigator. If you would like to speak with someone who may be able to afford you confidentiality, you may contact WKU’s </w:t>
      </w:r>
      <w:hyperlink r:id="rId15" w:tgtFrame="_blank" w:history="1">
        <w:r>
          <w:rPr>
            <w:rStyle w:val="Hyperlink"/>
          </w:rPr>
          <w:t>Counseling and Testing Center</w:t>
        </w:r>
      </w:hyperlink>
      <w:r>
        <w:t xml:space="preserve"> at 270-745-3159.</w:t>
      </w:r>
    </w:p>
    <w:p w:rsidR="00264851" w:rsidRDefault="00264851" w:rsidP="00264851">
      <w:r>
        <w:br w:type="page"/>
      </w:r>
    </w:p>
    <w:p w:rsidR="00F2398D" w:rsidRPr="00E96708" w:rsidRDefault="00160454" w:rsidP="00834C9E">
      <w:pPr>
        <w:pStyle w:val="Heading1"/>
        <w:rPr>
          <w:rFonts w:cstheme="minorHAnsi"/>
        </w:rPr>
      </w:pPr>
      <w:r w:rsidRPr="00E96708">
        <w:rPr>
          <w:rFonts w:cstheme="minorHAnsi"/>
        </w:rPr>
        <w:t xml:space="preserve">  </w:t>
      </w:r>
      <w:r w:rsidR="00834C9E" w:rsidRPr="00E96708">
        <w:rPr>
          <w:rFonts w:cstheme="minorHAnsi"/>
        </w:rPr>
        <w:t>MPH Competencies</w:t>
      </w:r>
      <w:r w:rsidR="00F97CF1" w:rsidRPr="00E96708">
        <w:rPr>
          <w:rFonts w:cstheme="minorHAnsi"/>
          <w:noProof/>
        </w:rPr>
        <w:drawing>
          <wp:inline distT="0" distB="0" distL="0" distR="0" wp14:anchorId="2953E177" wp14:editId="11FD63FB">
            <wp:extent cx="508635" cy="367665"/>
            <wp:effectExtent l="0" t="0" r="5715" b="0"/>
            <wp:docPr id="1" name="Picture 1" descr="Graphic of CEPH logo: Three intersecting rings in with this text:  CEPH ACCREDITED BACHELOR'S MASTER'S.  " title="CE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ph bach mast white jpe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8635" cy="367665"/>
                    </a:xfrm>
                    <a:prstGeom prst="rect">
                      <a:avLst/>
                    </a:prstGeom>
                  </pic:spPr>
                </pic:pic>
              </a:graphicData>
            </a:graphic>
          </wp:inline>
        </w:drawing>
      </w:r>
    </w:p>
    <w:p w:rsidR="00353FD4" w:rsidRDefault="00086124" w:rsidP="00160454">
      <w:pPr>
        <w:spacing w:after="0" w:line="240" w:lineRule="auto"/>
      </w:pPr>
      <w:r w:rsidRPr="00662918">
        <w:rPr>
          <w:color w:val="C00000"/>
        </w:rPr>
        <w:t xml:space="preserve">Note: Please align your course objectives to the competencies using the grid below.  Not all objectives will align, so please do not try to force them.  Instead, only list the objectives that substantially contribute to all </w:t>
      </w:r>
      <w:r w:rsidRPr="00662918">
        <w:rPr>
          <w:b/>
          <w:color w:val="C00000"/>
        </w:rPr>
        <w:t>or part</w:t>
      </w:r>
      <w:r w:rsidRPr="00662918">
        <w:rPr>
          <w:color w:val="C00000"/>
        </w:rPr>
        <w:t xml:space="preserve"> of the competencies</w:t>
      </w:r>
      <w:r>
        <w:t>.</w:t>
      </w:r>
      <w:r w:rsidR="00C30597">
        <w:t xml:space="preserve"> </w:t>
      </w:r>
      <w:r w:rsidR="00C30597" w:rsidRPr="00C30597">
        <w:rPr>
          <w:b/>
          <w:color w:val="C00000"/>
        </w:rPr>
        <w:t>T</w:t>
      </w:r>
      <w:r w:rsidR="00C30597">
        <w:rPr>
          <w:b/>
          <w:color w:val="C00000"/>
        </w:rPr>
        <w:t xml:space="preserve">HE CEPH COMPTENCIES </w:t>
      </w:r>
      <w:r w:rsidR="00C30597" w:rsidRPr="00C30597">
        <w:rPr>
          <w:b/>
          <w:color w:val="C00000"/>
        </w:rPr>
        <w:t>HAVE BEEN UPDATED TO NEW CRITERIA AND MAY NEED TO BE MODIFIED.</w:t>
      </w:r>
      <w:r w:rsidR="00C30597">
        <w:rPr>
          <w:b/>
          <w:color w:val="C00000"/>
        </w:rPr>
        <w:t xml:space="preserve"> THE WKU COMPETENCIES MAY NEED TO BE UPDATED AS WELL.</w:t>
      </w:r>
      <w:r w:rsidR="00353FD4">
        <w:t xml:space="preserve"> </w:t>
      </w:r>
    </w:p>
    <w:p w:rsidR="00B6113E" w:rsidRDefault="00B6113E" w:rsidP="00F2398D">
      <w:pPr>
        <w:spacing w:after="0" w:line="240" w:lineRule="auto"/>
      </w:pPr>
      <w:r>
        <w:t>This course contributes to the development of the following competencies</w:t>
      </w:r>
      <w:r w:rsidR="00A93B05">
        <w:t>:</w:t>
      </w:r>
    </w:p>
    <w:tbl>
      <w:tblPr>
        <w:tblStyle w:val="TableGrid"/>
        <w:tblW w:w="9990" w:type="dxa"/>
        <w:tblInd w:w="-185" w:type="dxa"/>
        <w:tblLayout w:type="fixed"/>
        <w:tblLook w:val="0600" w:firstRow="0" w:lastRow="0" w:firstColumn="0" w:lastColumn="0" w:noHBand="1" w:noVBand="1"/>
        <w:tblCaption w:val="MPH Competencies"/>
        <w:tblDescription w:val="This two column table lists the 27 competencies that guide the MPH program in the left column.  The right column identifies the course objective numbers that correspond to the competency."/>
      </w:tblPr>
      <w:tblGrid>
        <w:gridCol w:w="9090"/>
        <w:gridCol w:w="900"/>
      </w:tblGrid>
      <w:tr w:rsidR="00DC5143" w:rsidRPr="00E96708" w:rsidTr="00353FD4">
        <w:trPr>
          <w:trHeight w:val="287"/>
          <w:tblHeader/>
        </w:trPr>
        <w:tc>
          <w:tcPr>
            <w:tcW w:w="9090" w:type="dxa"/>
            <w:shd w:val="clear" w:color="auto" w:fill="D0CECE" w:themeFill="background2" w:themeFillShade="E6"/>
          </w:tcPr>
          <w:p w:rsidR="00DC5143" w:rsidRPr="00E96708" w:rsidRDefault="00DC5143" w:rsidP="00FB7BE6">
            <w:pPr>
              <w:rPr>
                <w:rFonts w:cstheme="minorHAnsi"/>
                <w:sz w:val="20"/>
                <w:szCs w:val="20"/>
              </w:rPr>
            </w:pPr>
            <w:r w:rsidRPr="00E96708">
              <w:rPr>
                <w:rFonts w:cstheme="minorHAnsi"/>
                <w:sz w:val="20"/>
                <w:szCs w:val="20"/>
              </w:rPr>
              <w:t>MPH COMPETENCY</w:t>
            </w:r>
          </w:p>
        </w:tc>
        <w:tc>
          <w:tcPr>
            <w:tcW w:w="900" w:type="dxa"/>
            <w:shd w:val="clear" w:color="auto" w:fill="D0CECE" w:themeFill="background2" w:themeFillShade="E6"/>
          </w:tcPr>
          <w:p w:rsidR="00DC5143" w:rsidRPr="00E96708" w:rsidRDefault="00DC5143" w:rsidP="00FB7BE6">
            <w:pPr>
              <w:rPr>
                <w:rFonts w:cstheme="minorHAnsi"/>
                <w:sz w:val="20"/>
                <w:szCs w:val="20"/>
              </w:rPr>
            </w:pPr>
            <w:r w:rsidRPr="00E96708">
              <w:rPr>
                <w:rFonts w:cstheme="minorHAnsi"/>
                <w:sz w:val="20"/>
                <w:szCs w:val="20"/>
              </w:rPr>
              <w:t>Obj.</w:t>
            </w:r>
          </w:p>
        </w:tc>
      </w:tr>
      <w:tr w:rsidR="00FB7BE6" w:rsidRPr="00E96708" w:rsidTr="00353FD4">
        <w:trPr>
          <w:trHeight w:val="287"/>
        </w:trPr>
        <w:tc>
          <w:tcPr>
            <w:tcW w:w="9090" w:type="dxa"/>
            <w:shd w:val="clear" w:color="auto" w:fill="D0CECE" w:themeFill="background2" w:themeFillShade="E6"/>
          </w:tcPr>
          <w:p w:rsidR="00FB7BE6" w:rsidRPr="00E96708" w:rsidRDefault="00FB7BE6" w:rsidP="00FB7BE6">
            <w:pPr>
              <w:rPr>
                <w:rFonts w:cstheme="minorHAnsi"/>
                <w:sz w:val="20"/>
                <w:szCs w:val="20"/>
              </w:rPr>
            </w:pPr>
            <w:r w:rsidRPr="00E96708">
              <w:rPr>
                <w:rFonts w:cstheme="minorHAnsi"/>
                <w:sz w:val="20"/>
                <w:szCs w:val="20"/>
              </w:rPr>
              <w:t xml:space="preserve">Evidence-based Approaches to Public Health </w:t>
            </w:r>
          </w:p>
        </w:tc>
        <w:tc>
          <w:tcPr>
            <w:tcW w:w="900" w:type="dxa"/>
            <w:shd w:val="clear" w:color="auto" w:fill="D0CECE" w:themeFill="background2" w:themeFillShade="E6"/>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FB7BE6" w:rsidP="00FB7BE6">
            <w:pPr>
              <w:pStyle w:val="xdefault"/>
              <w:spacing w:before="0" w:beforeAutospacing="0" w:after="0" w:afterAutospacing="0"/>
              <w:rPr>
                <w:rFonts w:asciiTheme="minorHAnsi" w:hAnsiTheme="minorHAnsi" w:cstheme="minorHAnsi"/>
                <w:sz w:val="20"/>
                <w:szCs w:val="20"/>
              </w:rPr>
            </w:pPr>
            <w:r w:rsidRPr="00E96708">
              <w:rPr>
                <w:rFonts w:asciiTheme="minorHAnsi" w:hAnsiTheme="minorHAnsi" w:cstheme="minorHAnsi"/>
                <w:sz w:val="20"/>
                <w:szCs w:val="20"/>
              </w:rPr>
              <w:t xml:space="preserve">1. Apply epidemiological methods to the breadth of settings and situations in public health practice </w:t>
            </w:r>
          </w:p>
        </w:tc>
        <w:tc>
          <w:tcPr>
            <w:tcW w:w="900" w:type="dxa"/>
          </w:tcPr>
          <w:p w:rsidR="00FB7BE6" w:rsidRPr="00E96708" w:rsidRDefault="00FB7BE6" w:rsidP="00FB7BE6">
            <w:pPr>
              <w:pStyle w:val="xdefault"/>
              <w:spacing w:before="0" w:beforeAutospacing="0" w:after="0" w:afterAutospacing="0"/>
              <w:rPr>
                <w:rFonts w:asciiTheme="minorHAnsi" w:hAnsiTheme="minorHAnsi" w:cstheme="minorHAnsi"/>
                <w:sz w:val="20"/>
                <w:szCs w:val="20"/>
              </w:rPr>
            </w:pPr>
            <w:r w:rsidRPr="00E96708">
              <w:rPr>
                <w:rFonts w:asciiTheme="minorHAnsi" w:hAnsiTheme="minorHAnsi" w:cstheme="minorHAnsi"/>
                <w:sz w:val="20"/>
                <w:szCs w:val="20"/>
              </w:rPr>
              <w:t xml:space="preserve"> </w:t>
            </w:r>
          </w:p>
        </w:tc>
      </w:tr>
      <w:tr w:rsidR="00FB7BE6" w:rsidRPr="00E96708" w:rsidTr="00353FD4">
        <w:tc>
          <w:tcPr>
            <w:tcW w:w="9090" w:type="dxa"/>
          </w:tcPr>
          <w:p w:rsidR="00FB7BE6" w:rsidRPr="00E96708" w:rsidRDefault="00FB7BE6" w:rsidP="00FB7BE6">
            <w:pPr>
              <w:pStyle w:val="xdefault"/>
              <w:spacing w:before="0" w:beforeAutospacing="0" w:after="0" w:afterAutospacing="0"/>
              <w:rPr>
                <w:rFonts w:asciiTheme="minorHAnsi" w:hAnsiTheme="minorHAnsi" w:cstheme="minorHAnsi"/>
                <w:sz w:val="20"/>
                <w:szCs w:val="20"/>
              </w:rPr>
            </w:pPr>
            <w:r w:rsidRPr="00E96708">
              <w:rPr>
                <w:rFonts w:asciiTheme="minorHAnsi" w:hAnsiTheme="minorHAnsi" w:cstheme="minorHAnsi"/>
                <w:sz w:val="20"/>
                <w:szCs w:val="20"/>
              </w:rPr>
              <w:t xml:space="preserve">2. Select quantitative and qualitative data collection methods appropriate for a given public health context </w:t>
            </w:r>
          </w:p>
        </w:tc>
        <w:tc>
          <w:tcPr>
            <w:tcW w:w="900" w:type="dxa"/>
          </w:tcPr>
          <w:p w:rsidR="00FB7BE6" w:rsidRPr="00E96708" w:rsidRDefault="00FB7BE6" w:rsidP="00FB7BE6">
            <w:pPr>
              <w:pStyle w:val="xdefault"/>
              <w:spacing w:before="0" w:beforeAutospacing="0" w:after="0" w:afterAutospacing="0"/>
              <w:rPr>
                <w:rFonts w:asciiTheme="minorHAnsi" w:hAnsiTheme="minorHAnsi" w:cstheme="minorHAnsi"/>
                <w:sz w:val="20"/>
                <w:szCs w:val="20"/>
              </w:rPr>
            </w:pPr>
          </w:p>
        </w:tc>
      </w:tr>
      <w:tr w:rsidR="00FB7BE6" w:rsidRPr="00E96708" w:rsidTr="00353FD4">
        <w:tc>
          <w:tcPr>
            <w:tcW w:w="9090" w:type="dxa"/>
          </w:tcPr>
          <w:p w:rsidR="00FB7BE6" w:rsidRPr="00E96708" w:rsidRDefault="00FB7BE6" w:rsidP="00FB7BE6">
            <w:pPr>
              <w:pStyle w:val="xdefault"/>
              <w:spacing w:before="0" w:beforeAutospacing="0" w:after="0" w:afterAutospacing="0"/>
              <w:rPr>
                <w:rFonts w:asciiTheme="minorHAnsi" w:hAnsiTheme="minorHAnsi" w:cstheme="minorHAnsi"/>
                <w:sz w:val="20"/>
                <w:szCs w:val="20"/>
              </w:rPr>
            </w:pPr>
            <w:r w:rsidRPr="00E96708">
              <w:rPr>
                <w:rFonts w:asciiTheme="minorHAnsi" w:hAnsiTheme="minorHAnsi" w:cstheme="minorHAnsi"/>
                <w:sz w:val="20"/>
                <w:szCs w:val="20"/>
              </w:rPr>
              <w:t xml:space="preserve">3. Analyze quantitative and qualitative data using biostatistics, informatics, computer-based programming and software, as appropriate </w:t>
            </w:r>
          </w:p>
        </w:tc>
        <w:tc>
          <w:tcPr>
            <w:tcW w:w="900" w:type="dxa"/>
          </w:tcPr>
          <w:p w:rsidR="00FB7BE6" w:rsidRPr="00E96708" w:rsidRDefault="00FB7BE6" w:rsidP="00FB7BE6">
            <w:pPr>
              <w:pStyle w:val="xdefault"/>
              <w:spacing w:before="0" w:beforeAutospacing="0" w:after="0" w:afterAutospacing="0"/>
              <w:rPr>
                <w:rFonts w:asciiTheme="minorHAnsi" w:hAnsiTheme="minorHAnsi" w:cstheme="minorHAnsi"/>
                <w:sz w:val="20"/>
                <w:szCs w:val="20"/>
              </w:rPr>
            </w:pPr>
          </w:p>
        </w:tc>
      </w:tr>
      <w:tr w:rsidR="00FB7BE6" w:rsidRPr="00E96708" w:rsidTr="00353FD4">
        <w:tc>
          <w:tcPr>
            <w:tcW w:w="9090" w:type="dxa"/>
          </w:tcPr>
          <w:p w:rsidR="00FB7BE6" w:rsidRPr="00E96708" w:rsidRDefault="00FB7BE6" w:rsidP="00FB7BE6">
            <w:pPr>
              <w:pStyle w:val="xdefault"/>
              <w:spacing w:before="0" w:beforeAutospacing="0" w:after="0" w:afterAutospacing="0"/>
              <w:rPr>
                <w:rFonts w:asciiTheme="minorHAnsi" w:hAnsiTheme="minorHAnsi" w:cstheme="minorHAnsi"/>
                <w:sz w:val="20"/>
                <w:szCs w:val="20"/>
              </w:rPr>
            </w:pPr>
            <w:r w:rsidRPr="00E96708">
              <w:rPr>
                <w:rFonts w:asciiTheme="minorHAnsi" w:hAnsiTheme="minorHAnsi" w:cstheme="minorHAnsi"/>
                <w:sz w:val="20"/>
                <w:szCs w:val="20"/>
              </w:rPr>
              <w:t xml:space="preserve">4. Interpret results of data analysis for public health research, policy or practice </w:t>
            </w:r>
          </w:p>
        </w:tc>
        <w:tc>
          <w:tcPr>
            <w:tcW w:w="900" w:type="dxa"/>
          </w:tcPr>
          <w:p w:rsidR="00FB7BE6" w:rsidRPr="00E96708" w:rsidRDefault="00FB7BE6" w:rsidP="00FB7BE6">
            <w:pPr>
              <w:pStyle w:val="xdefault"/>
              <w:spacing w:before="0" w:beforeAutospacing="0" w:after="0" w:afterAutospacing="0"/>
              <w:rPr>
                <w:rFonts w:asciiTheme="minorHAnsi" w:hAnsiTheme="minorHAnsi" w:cstheme="minorHAnsi"/>
                <w:sz w:val="20"/>
                <w:szCs w:val="20"/>
              </w:rPr>
            </w:pPr>
          </w:p>
        </w:tc>
      </w:tr>
      <w:tr w:rsidR="00FB7BE6" w:rsidRPr="00E96708" w:rsidTr="00353FD4">
        <w:tc>
          <w:tcPr>
            <w:tcW w:w="9090" w:type="dxa"/>
            <w:shd w:val="clear" w:color="auto" w:fill="D0CECE" w:themeFill="background2" w:themeFillShade="E6"/>
          </w:tcPr>
          <w:p w:rsidR="00FB7BE6" w:rsidRPr="00E96708" w:rsidRDefault="00FB7BE6" w:rsidP="00FB7BE6">
            <w:pPr>
              <w:rPr>
                <w:rFonts w:cstheme="minorHAnsi"/>
                <w:sz w:val="20"/>
                <w:szCs w:val="20"/>
              </w:rPr>
            </w:pPr>
            <w:r w:rsidRPr="00E96708">
              <w:rPr>
                <w:rFonts w:eastAsia="Times New Roman" w:cstheme="minorHAnsi"/>
                <w:color w:val="000000"/>
                <w:sz w:val="20"/>
                <w:szCs w:val="20"/>
              </w:rPr>
              <w:t xml:space="preserve">Public Health &amp; Health Care Systems </w:t>
            </w:r>
          </w:p>
        </w:tc>
        <w:tc>
          <w:tcPr>
            <w:tcW w:w="900" w:type="dxa"/>
            <w:shd w:val="clear" w:color="auto" w:fill="D0CECE" w:themeFill="background2" w:themeFillShade="E6"/>
          </w:tcPr>
          <w:p w:rsidR="00FB7BE6" w:rsidRPr="00E96708" w:rsidRDefault="00FB7BE6" w:rsidP="00FB7BE6">
            <w:pPr>
              <w:rPr>
                <w:rFonts w:eastAsia="Times New Roman" w:cstheme="minorHAnsi"/>
                <w:color w:val="000000"/>
                <w:sz w:val="20"/>
                <w:szCs w:val="20"/>
              </w:rPr>
            </w:pPr>
          </w:p>
        </w:tc>
      </w:tr>
      <w:tr w:rsidR="00FB7BE6" w:rsidRPr="00E96708" w:rsidTr="00353FD4">
        <w:tc>
          <w:tcPr>
            <w:tcW w:w="9090" w:type="dxa"/>
          </w:tcPr>
          <w:p w:rsidR="00FB7BE6" w:rsidRPr="00E96708" w:rsidRDefault="00FB7BE6" w:rsidP="007F1140">
            <w:pPr>
              <w:rPr>
                <w:rFonts w:eastAsia="Times New Roman" w:cstheme="minorHAnsi"/>
                <w:sz w:val="20"/>
                <w:szCs w:val="20"/>
              </w:rPr>
            </w:pPr>
            <w:r w:rsidRPr="00E96708">
              <w:rPr>
                <w:rFonts w:eastAsia="Times New Roman" w:cstheme="minorHAnsi"/>
                <w:color w:val="000000"/>
                <w:sz w:val="20"/>
                <w:szCs w:val="20"/>
              </w:rPr>
              <w:t xml:space="preserve">5. </w:t>
            </w:r>
            <w:r w:rsidR="0023526C" w:rsidRPr="00E96708">
              <w:rPr>
                <w:rFonts w:cstheme="minorHAnsi"/>
                <w:bCs/>
                <w:sz w:val="20"/>
                <w:szCs w:val="20"/>
              </w:rPr>
              <w:t xml:space="preserve">Compare the organization, structure and function of health systems across national and international settings </w:t>
            </w:r>
            <w:r w:rsidR="0023526C" w:rsidRPr="00E96708">
              <w:rPr>
                <w:rFonts w:cstheme="minorHAnsi"/>
                <w:sz w:val="20"/>
                <w:szCs w:val="20"/>
              </w:rPr>
              <w:t xml:space="preserve"> </w:t>
            </w:r>
          </w:p>
        </w:tc>
        <w:tc>
          <w:tcPr>
            <w:tcW w:w="900" w:type="dxa"/>
          </w:tcPr>
          <w:p w:rsidR="00FB7BE6" w:rsidRPr="00E96708" w:rsidRDefault="00FB7BE6" w:rsidP="00FB7BE6">
            <w:pPr>
              <w:rPr>
                <w:rFonts w:eastAsia="Times New Roman" w:cstheme="minorHAnsi"/>
                <w:color w:val="000000"/>
                <w:sz w:val="20"/>
                <w:szCs w:val="20"/>
              </w:rPr>
            </w:pPr>
          </w:p>
        </w:tc>
      </w:tr>
      <w:tr w:rsidR="00FB7BE6" w:rsidRPr="00E96708" w:rsidTr="00353FD4">
        <w:tc>
          <w:tcPr>
            <w:tcW w:w="9090" w:type="dxa"/>
          </w:tcPr>
          <w:p w:rsidR="00FB7BE6" w:rsidRPr="00E96708" w:rsidRDefault="0023526C" w:rsidP="007F1140">
            <w:pPr>
              <w:pStyle w:val="Default"/>
              <w:rPr>
                <w:rFonts w:asciiTheme="minorHAnsi" w:eastAsia="Times New Roman" w:hAnsiTheme="minorHAnsi" w:cstheme="minorHAnsi"/>
                <w:color w:val="auto"/>
                <w:sz w:val="20"/>
                <w:szCs w:val="20"/>
              </w:rPr>
            </w:pPr>
            <w:r w:rsidRPr="00E96708">
              <w:rPr>
                <w:rFonts w:asciiTheme="minorHAnsi" w:hAnsiTheme="minorHAnsi" w:cstheme="minorHAnsi"/>
                <w:bCs/>
                <w:color w:val="auto"/>
                <w:sz w:val="20"/>
                <w:szCs w:val="20"/>
              </w:rPr>
              <w:t>6. Discuss the means by which structural bias, social inequities, and racism undermine health and create challe</w:t>
            </w:r>
            <w:r w:rsidR="007F1140" w:rsidRPr="00E96708">
              <w:rPr>
                <w:rFonts w:asciiTheme="minorHAnsi" w:hAnsiTheme="minorHAnsi" w:cstheme="minorHAnsi"/>
                <w:bCs/>
                <w:color w:val="auto"/>
                <w:sz w:val="20"/>
                <w:szCs w:val="20"/>
              </w:rPr>
              <w:t>nges to achieving health equity.</w:t>
            </w:r>
          </w:p>
        </w:tc>
        <w:tc>
          <w:tcPr>
            <w:tcW w:w="900" w:type="dxa"/>
          </w:tcPr>
          <w:p w:rsidR="00FB7BE6" w:rsidRPr="00E96708" w:rsidRDefault="00FB7BE6" w:rsidP="00FB7BE6">
            <w:pPr>
              <w:rPr>
                <w:rFonts w:eastAsia="Times New Roman" w:cstheme="minorHAnsi"/>
                <w:color w:val="000000"/>
                <w:sz w:val="20"/>
                <w:szCs w:val="20"/>
              </w:rPr>
            </w:pPr>
          </w:p>
        </w:tc>
      </w:tr>
      <w:tr w:rsidR="00FB7BE6" w:rsidRPr="00E96708" w:rsidTr="00353FD4">
        <w:tc>
          <w:tcPr>
            <w:tcW w:w="9090" w:type="dxa"/>
            <w:shd w:val="clear" w:color="auto" w:fill="D0CECE" w:themeFill="background2" w:themeFillShade="E6"/>
          </w:tcPr>
          <w:p w:rsidR="00FB7BE6" w:rsidRPr="00E96708" w:rsidRDefault="00FB7BE6" w:rsidP="00FB7BE6">
            <w:pPr>
              <w:rPr>
                <w:rFonts w:cstheme="minorHAnsi"/>
                <w:sz w:val="20"/>
                <w:szCs w:val="20"/>
              </w:rPr>
            </w:pPr>
            <w:r w:rsidRPr="00E96708">
              <w:rPr>
                <w:rFonts w:eastAsia="Times New Roman" w:cstheme="minorHAnsi"/>
                <w:color w:val="000000"/>
                <w:sz w:val="20"/>
                <w:szCs w:val="20"/>
              </w:rPr>
              <w:t xml:space="preserve">Planning &amp; Management to Promote Health </w:t>
            </w:r>
          </w:p>
        </w:tc>
        <w:tc>
          <w:tcPr>
            <w:tcW w:w="900" w:type="dxa"/>
            <w:shd w:val="clear" w:color="auto" w:fill="D0CECE" w:themeFill="background2" w:themeFillShade="E6"/>
          </w:tcPr>
          <w:p w:rsidR="00FB7BE6" w:rsidRPr="00E96708" w:rsidRDefault="00FB7BE6" w:rsidP="00FB7BE6">
            <w:pPr>
              <w:rPr>
                <w:rFonts w:eastAsia="Times New Roman" w:cstheme="minorHAnsi"/>
                <w:color w:val="000000"/>
                <w:sz w:val="20"/>
                <w:szCs w:val="20"/>
              </w:rPr>
            </w:pPr>
          </w:p>
        </w:tc>
      </w:tr>
      <w:tr w:rsidR="00FB7BE6" w:rsidRPr="00E96708" w:rsidTr="00353FD4">
        <w:tc>
          <w:tcPr>
            <w:tcW w:w="9090" w:type="dxa"/>
          </w:tcPr>
          <w:p w:rsidR="00FB7BE6" w:rsidRPr="00E96708" w:rsidRDefault="00FB7BE6" w:rsidP="00FB7BE6">
            <w:pPr>
              <w:rPr>
                <w:rFonts w:eastAsia="Times New Roman" w:cstheme="minorHAnsi"/>
                <w:sz w:val="20"/>
                <w:szCs w:val="20"/>
              </w:rPr>
            </w:pPr>
            <w:r w:rsidRPr="00E96708">
              <w:rPr>
                <w:rFonts w:eastAsia="Times New Roman" w:cstheme="minorHAnsi"/>
                <w:color w:val="000000"/>
                <w:sz w:val="20"/>
                <w:szCs w:val="20"/>
              </w:rPr>
              <w:t xml:space="preserve">7. Assess population needs, assets and capacities that affect communities’ health </w:t>
            </w:r>
          </w:p>
        </w:tc>
        <w:tc>
          <w:tcPr>
            <w:tcW w:w="900" w:type="dxa"/>
          </w:tcPr>
          <w:p w:rsidR="00FB7BE6" w:rsidRPr="00E96708" w:rsidRDefault="00FB7BE6" w:rsidP="00FB7BE6">
            <w:pPr>
              <w:rPr>
                <w:rFonts w:eastAsia="Times New Roman" w:cstheme="minorHAnsi"/>
                <w:color w:val="000000"/>
                <w:sz w:val="20"/>
                <w:szCs w:val="20"/>
              </w:rPr>
            </w:pPr>
          </w:p>
        </w:tc>
      </w:tr>
      <w:tr w:rsidR="00FB7BE6" w:rsidRPr="00E96708" w:rsidTr="00353FD4">
        <w:tc>
          <w:tcPr>
            <w:tcW w:w="9090" w:type="dxa"/>
          </w:tcPr>
          <w:p w:rsidR="00FB7BE6" w:rsidRPr="00E96708" w:rsidRDefault="00FB7BE6" w:rsidP="00FB7BE6">
            <w:pPr>
              <w:rPr>
                <w:rFonts w:eastAsia="Times New Roman" w:cstheme="minorHAnsi"/>
                <w:sz w:val="20"/>
                <w:szCs w:val="20"/>
              </w:rPr>
            </w:pPr>
            <w:r w:rsidRPr="00E96708">
              <w:rPr>
                <w:rFonts w:eastAsia="Times New Roman" w:cstheme="minorHAnsi"/>
                <w:color w:val="000000"/>
                <w:sz w:val="20"/>
                <w:szCs w:val="20"/>
              </w:rPr>
              <w:t xml:space="preserve">8. Apply awareness of cultural values and practices </w:t>
            </w:r>
            <w:r w:rsidR="007F1140" w:rsidRPr="00E96708">
              <w:rPr>
                <w:rFonts w:eastAsia="Times New Roman" w:cstheme="minorHAnsi"/>
                <w:color w:val="000000"/>
                <w:sz w:val="20"/>
                <w:szCs w:val="20"/>
              </w:rPr>
              <w:t>to the design,</w:t>
            </w:r>
            <w:r w:rsidRPr="00E96708">
              <w:rPr>
                <w:rFonts w:eastAsia="Times New Roman" w:cstheme="minorHAnsi"/>
                <w:color w:val="000000"/>
                <w:sz w:val="20"/>
                <w:szCs w:val="20"/>
              </w:rPr>
              <w:t xml:space="preserve"> implementation</w:t>
            </w:r>
            <w:r w:rsidR="007F1140" w:rsidRPr="00E96708">
              <w:rPr>
                <w:rFonts w:eastAsia="Times New Roman" w:cstheme="minorHAnsi"/>
                <w:color w:val="000000"/>
                <w:sz w:val="20"/>
                <w:szCs w:val="20"/>
              </w:rPr>
              <w:t>,</w:t>
            </w:r>
            <w:r w:rsidRPr="00E96708">
              <w:rPr>
                <w:rFonts w:eastAsia="Times New Roman" w:cstheme="minorHAnsi"/>
                <w:color w:val="000000"/>
                <w:sz w:val="20"/>
                <w:szCs w:val="20"/>
              </w:rPr>
              <w:t xml:space="preserve"> </w:t>
            </w:r>
            <w:r w:rsidR="0023526C" w:rsidRPr="00E96708">
              <w:rPr>
                <w:rFonts w:eastAsia="Times New Roman" w:cstheme="minorHAnsi"/>
                <w:color w:val="000000"/>
                <w:sz w:val="20"/>
                <w:szCs w:val="20"/>
              </w:rPr>
              <w:t xml:space="preserve">or critique </w:t>
            </w:r>
            <w:r w:rsidRPr="00E96708">
              <w:rPr>
                <w:rFonts w:eastAsia="Times New Roman" w:cstheme="minorHAnsi"/>
                <w:color w:val="000000"/>
                <w:sz w:val="20"/>
                <w:szCs w:val="20"/>
              </w:rPr>
              <w:t xml:space="preserve">of public health policies or programs </w:t>
            </w:r>
          </w:p>
        </w:tc>
        <w:tc>
          <w:tcPr>
            <w:tcW w:w="900" w:type="dxa"/>
          </w:tcPr>
          <w:p w:rsidR="00FB7BE6" w:rsidRPr="00E96708" w:rsidRDefault="00FB7BE6" w:rsidP="00FB7BE6">
            <w:pPr>
              <w:rPr>
                <w:rFonts w:eastAsia="Times New Roman" w:cstheme="minorHAnsi"/>
                <w:color w:val="000000"/>
                <w:sz w:val="20"/>
                <w:szCs w:val="20"/>
              </w:rPr>
            </w:pPr>
          </w:p>
        </w:tc>
      </w:tr>
      <w:tr w:rsidR="00FB7BE6" w:rsidRPr="00E96708" w:rsidTr="00353FD4">
        <w:tc>
          <w:tcPr>
            <w:tcW w:w="9090" w:type="dxa"/>
          </w:tcPr>
          <w:p w:rsidR="00FB7BE6" w:rsidRPr="00E96708" w:rsidRDefault="00FB7BE6" w:rsidP="00FB7BE6">
            <w:pPr>
              <w:rPr>
                <w:rFonts w:eastAsia="Times New Roman" w:cstheme="minorHAnsi"/>
                <w:sz w:val="20"/>
                <w:szCs w:val="20"/>
              </w:rPr>
            </w:pPr>
            <w:r w:rsidRPr="00E96708">
              <w:rPr>
                <w:rFonts w:eastAsia="Times New Roman" w:cstheme="minorHAnsi"/>
                <w:color w:val="000000"/>
                <w:sz w:val="20"/>
                <w:szCs w:val="20"/>
              </w:rPr>
              <w:t xml:space="preserve">9. Design a population-based policy, program, project or intervention </w:t>
            </w:r>
          </w:p>
        </w:tc>
        <w:tc>
          <w:tcPr>
            <w:tcW w:w="900" w:type="dxa"/>
          </w:tcPr>
          <w:p w:rsidR="00FB7BE6" w:rsidRPr="00E96708" w:rsidRDefault="00FB7BE6" w:rsidP="00FB7BE6">
            <w:pPr>
              <w:rPr>
                <w:rFonts w:eastAsia="Times New Roman" w:cstheme="minorHAnsi"/>
                <w:color w:val="000000"/>
                <w:sz w:val="20"/>
                <w:szCs w:val="20"/>
              </w:rPr>
            </w:pPr>
          </w:p>
        </w:tc>
      </w:tr>
      <w:tr w:rsidR="00FB7BE6" w:rsidRPr="00E96708" w:rsidTr="00353FD4">
        <w:tc>
          <w:tcPr>
            <w:tcW w:w="9090" w:type="dxa"/>
          </w:tcPr>
          <w:p w:rsidR="00FB7BE6" w:rsidRPr="00E96708" w:rsidRDefault="00FB7BE6" w:rsidP="0023526C">
            <w:pPr>
              <w:pStyle w:val="Default"/>
              <w:rPr>
                <w:rFonts w:asciiTheme="minorHAnsi" w:eastAsia="Times New Roman" w:hAnsiTheme="minorHAnsi" w:cstheme="minorHAnsi"/>
                <w:sz w:val="20"/>
                <w:szCs w:val="20"/>
              </w:rPr>
            </w:pPr>
            <w:r w:rsidRPr="00E96708">
              <w:rPr>
                <w:rFonts w:asciiTheme="minorHAnsi" w:eastAsia="Times New Roman" w:hAnsiTheme="minorHAnsi" w:cstheme="minorHAnsi"/>
                <w:sz w:val="20"/>
                <w:szCs w:val="20"/>
              </w:rPr>
              <w:t xml:space="preserve">10. Explain basic principles and tools of budget and resource </w:t>
            </w:r>
            <w:r w:rsidR="0023526C" w:rsidRPr="00E96708">
              <w:rPr>
                <w:rFonts w:asciiTheme="minorHAnsi" w:hAnsiTheme="minorHAnsi" w:cstheme="minorHAnsi"/>
                <w:bCs/>
                <w:sz w:val="20"/>
                <w:szCs w:val="20"/>
              </w:rPr>
              <w:t>management</w:t>
            </w:r>
            <w:r w:rsidR="0023526C" w:rsidRPr="00E96708">
              <w:rPr>
                <w:rFonts w:asciiTheme="minorHAnsi" w:hAnsiTheme="minorHAnsi" w:cstheme="minorHAnsi"/>
                <w:bCs/>
                <w:color w:val="auto"/>
                <w:sz w:val="20"/>
                <w:szCs w:val="20"/>
              </w:rPr>
              <w:t xml:space="preserve">, specifically after funding for a project is secured </w:t>
            </w:r>
            <w:r w:rsidR="0023526C" w:rsidRPr="00E96708">
              <w:rPr>
                <w:rFonts w:asciiTheme="minorHAnsi" w:hAnsiTheme="minorHAnsi" w:cstheme="minorHAnsi"/>
                <w:color w:val="auto"/>
                <w:sz w:val="20"/>
                <w:szCs w:val="20"/>
              </w:rPr>
              <w:t xml:space="preserve"> </w:t>
            </w:r>
          </w:p>
        </w:tc>
        <w:tc>
          <w:tcPr>
            <w:tcW w:w="900" w:type="dxa"/>
          </w:tcPr>
          <w:p w:rsidR="00FB7BE6" w:rsidRPr="00E96708" w:rsidRDefault="00FB7BE6" w:rsidP="00FB7BE6">
            <w:pPr>
              <w:rPr>
                <w:rFonts w:eastAsia="Times New Roman" w:cstheme="minorHAnsi"/>
                <w:color w:val="000000"/>
                <w:sz w:val="20"/>
                <w:szCs w:val="20"/>
              </w:rPr>
            </w:pPr>
          </w:p>
        </w:tc>
      </w:tr>
      <w:tr w:rsidR="00FB7BE6" w:rsidRPr="00E96708" w:rsidTr="00353FD4">
        <w:tc>
          <w:tcPr>
            <w:tcW w:w="9090" w:type="dxa"/>
          </w:tcPr>
          <w:p w:rsidR="00FB7BE6" w:rsidRPr="00E96708" w:rsidRDefault="00FB7BE6" w:rsidP="00FB7BE6">
            <w:pPr>
              <w:rPr>
                <w:rFonts w:eastAsia="Times New Roman" w:cstheme="minorHAnsi"/>
                <w:color w:val="000000"/>
                <w:sz w:val="20"/>
                <w:szCs w:val="20"/>
              </w:rPr>
            </w:pPr>
            <w:r w:rsidRPr="00E96708">
              <w:rPr>
                <w:rFonts w:eastAsia="Times New Roman" w:cstheme="minorHAnsi"/>
                <w:color w:val="000000"/>
                <w:sz w:val="20"/>
                <w:szCs w:val="20"/>
              </w:rPr>
              <w:t xml:space="preserve">11. Select methods to evaluate public health programs </w:t>
            </w:r>
          </w:p>
        </w:tc>
        <w:tc>
          <w:tcPr>
            <w:tcW w:w="900" w:type="dxa"/>
          </w:tcPr>
          <w:p w:rsidR="00FB7BE6" w:rsidRPr="00E96708" w:rsidRDefault="00FB7BE6" w:rsidP="00FB7BE6">
            <w:pPr>
              <w:rPr>
                <w:rFonts w:eastAsia="Times New Roman" w:cstheme="minorHAnsi"/>
                <w:color w:val="000000"/>
                <w:sz w:val="20"/>
                <w:szCs w:val="20"/>
              </w:rPr>
            </w:pPr>
          </w:p>
        </w:tc>
      </w:tr>
      <w:tr w:rsidR="00FB7BE6" w:rsidRPr="00E96708" w:rsidTr="00353FD4">
        <w:tc>
          <w:tcPr>
            <w:tcW w:w="9090" w:type="dxa"/>
            <w:shd w:val="clear" w:color="auto" w:fill="D0CECE" w:themeFill="background2" w:themeFillShade="E6"/>
          </w:tcPr>
          <w:p w:rsidR="00FB7BE6" w:rsidRPr="00E96708" w:rsidRDefault="00FB7BE6" w:rsidP="00FB7BE6">
            <w:pPr>
              <w:rPr>
                <w:rFonts w:cstheme="minorHAnsi"/>
                <w:sz w:val="20"/>
                <w:szCs w:val="20"/>
              </w:rPr>
            </w:pPr>
            <w:r w:rsidRPr="00E96708">
              <w:rPr>
                <w:rFonts w:cstheme="minorHAnsi"/>
                <w:sz w:val="20"/>
                <w:szCs w:val="20"/>
              </w:rPr>
              <w:t xml:space="preserve">Policy in Public Health </w:t>
            </w:r>
          </w:p>
        </w:tc>
        <w:tc>
          <w:tcPr>
            <w:tcW w:w="900" w:type="dxa"/>
            <w:shd w:val="clear" w:color="auto" w:fill="D0CECE" w:themeFill="background2" w:themeFillShade="E6"/>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23526C" w:rsidP="007F1140">
            <w:pPr>
              <w:rPr>
                <w:rFonts w:cstheme="minorHAnsi"/>
                <w:sz w:val="20"/>
                <w:szCs w:val="20"/>
              </w:rPr>
            </w:pPr>
            <w:r w:rsidRPr="00E96708">
              <w:rPr>
                <w:rFonts w:cstheme="minorHAnsi"/>
                <w:sz w:val="20"/>
                <w:szCs w:val="20"/>
              </w:rPr>
              <w:t xml:space="preserve">12. </w:t>
            </w:r>
            <w:r w:rsidRPr="00E96708">
              <w:rPr>
                <w:rFonts w:cstheme="minorHAnsi"/>
                <w:bCs/>
                <w:sz w:val="20"/>
                <w:szCs w:val="20"/>
              </w:rPr>
              <w:t>Discuss the policy-making process</w:t>
            </w:r>
            <w:r w:rsidR="007F1140" w:rsidRPr="00E96708">
              <w:rPr>
                <w:rFonts w:cstheme="minorHAnsi"/>
                <w:bCs/>
                <w:sz w:val="20"/>
                <w:szCs w:val="20"/>
              </w:rPr>
              <w:t>.</w:t>
            </w:r>
            <w:r w:rsidRPr="00E96708">
              <w:rPr>
                <w:rFonts w:cstheme="minorHAnsi"/>
                <w:bCs/>
                <w:sz w:val="20"/>
                <w:szCs w:val="20"/>
              </w:rPr>
              <w:t xml:space="preserve"> </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FB7BE6" w:rsidP="00FB7BE6">
            <w:pPr>
              <w:rPr>
                <w:rFonts w:cstheme="minorHAnsi"/>
                <w:sz w:val="20"/>
                <w:szCs w:val="20"/>
              </w:rPr>
            </w:pPr>
            <w:r w:rsidRPr="00E96708">
              <w:rPr>
                <w:rFonts w:cstheme="minorHAnsi"/>
                <w:sz w:val="20"/>
                <w:szCs w:val="20"/>
              </w:rPr>
              <w:t xml:space="preserve">13. Propose strategies to identify stakeholders and build coalitions and partnerships for influencing public health outcomes </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FB7BE6" w:rsidP="00FB7BE6">
            <w:pPr>
              <w:rPr>
                <w:rFonts w:cstheme="minorHAnsi"/>
                <w:sz w:val="20"/>
                <w:szCs w:val="20"/>
              </w:rPr>
            </w:pPr>
            <w:r w:rsidRPr="00E96708">
              <w:rPr>
                <w:rFonts w:cstheme="minorHAnsi"/>
                <w:sz w:val="20"/>
                <w:szCs w:val="20"/>
              </w:rPr>
              <w:t xml:space="preserve">14. Advocate for political, social or economic policies and programs that will improve health in diverse populations </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FB7BE6" w:rsidP="00FB7BE6">
            <w:pPr>
              <w:rPr>
                <w:rFonts w:cstheme="minorHAnsi"/>
                <w:sz w:val="20"/>
                <w:szCs w:val="20"/>
              </w:rPr>
            </w:pPr>
            <w:r w:rsidRPr="00E96708">
              <w:rPr>
                <w:rFonts w:cstheme="minorHAnsi"/>
                <w:sz w:val="20"/>
                <w:szCs w:val="20"/>
              </w:rPr>
              <w:t xml:space="preserve">15. Evaluate policies for their impact on public health and health equity </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shd w:val="clear" w:color="auto" w:fill="D0CECE" w:themeFill="background2" w:themeFillShade="E6"/>
          </w:tcPr>
          <w:p w:rsidR="00FB7BE6" w:rsidRPr="00E96708" w:rsidRDefault="00FB7BE6" w:rsidP="00FB7BE6">
            <w:pPr>
              <w:rPr>
                <w:rFonts w:cstheme="minorHAnsi"/>
                <w:sz w:val="20"/>
                <w:szCs w:val="20"/>
              </w:rPr>
            </w:pPr>
            <w:r w:rsidRPr="00E96708">
              <w:rPr>
                <w:rFonts w:cstheme="minorHAnsi"/>
                <w:sz w:val="20"/>
                <w:szCs w:val="20"/>
              </w:rPr>
              <w:t xml:space="preserve">Leadership </w:t>
            </w:r>
          </w:p>
        </w:tc>
        <w:tc>
          <w:tcPr>
            <w:tcW w:w="900" w:type="dxa"/>
            <w:shd w:val="clear" w:color="auto" w:fill="D0CECE" w:themeFill="background2" w:themeFillShade="E6"/>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FB7BE6" w:rsidP="007F1140">
            <w:pPr>
              <w:rPr>
                <w:rFonts w:cstheme="minorHAnsi"/>
                <w:sz w:val="20"/>
                <w:szCs w:val="20"/>
              </w:rPr>
            </w:pPr>
            <w:r w:rsidRPr="00E96708">
              <w:rPr>
                <w:rFonts w:cstheme="minorHAnsi"/>
                <w:sz w:val="20"/>
                <w:szCs w:val="20"/>
              </w:rPr>
              <w:t xml:space="preserve">16. </w:t>
            </w:r>
            <w:r w:rsidR="00D25F00" w:rsidRPr="00E96708">
              <w:rPr>
                <w:rFonts w:cstheme="minorHAnsi"/>
                <w:bCs/>
                <w:sz w:val="20"/>
                <w:szCs w:val="20"/>
              </w:rPr>
              <w:t>Apply leadership and/or management principles to address a relevant issue; such principles may include creating a vision, empowering others, fostering collaboration, and guiding decision making</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FB7BE6" w:rsidP="00FB7BE6">
            <w:pPr>
              <w:rPr>
                <w:rFonts w:cstheme="minorHAnsi"/>
                <w:sz w:val="20"/>
                <w:szCs w:val="20"/>
              </w:rPr>
            </w:pPr>
            <w:r w:rsidRPr="00E96708">
              <w:rPr>
                <w:rFonts w:cstheme="minorHAnsi"/>
                <w:sz w:val="20"/>
                <w:szCs w:val="20"/>
              </w:rPr>
              <w:t xml:space="preserve">17. Apply negotiation and mediation skills to address organizational or community challenges </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shd w:val="clear" w:color="auto" w:fill="D0CECE" w:themeFill="background2" w:themeFillShade="E6"/>
          </w:tcPr>
          <w:p w:rsidR="00FB7BE6" w:rsidRPr="00E96708" w:rsidRDefault="00FB7BE6" w:rsidP="00FB7BE6">
            <w:pPr>
              <w:rPr>
                <w:rFonts w:cstheme="minorHAnsi"/>
                <w:sz w:val="20"/>
                <w:szCs w:val="20"/>
              </w:rPr>
            </w:pPr>
            <w:r w:rsidRPr="00E96708">
              <w:rPr>
                <w:rFonts w:cstheme="minorHAnsi"/>
                <w:sz w:val="20"/>
                <w:szCs w:val="20"/>
              </w:rPr>
              <w:t xml:space="preserve">Communication </w:t>
            </w:r>
          </w:p>
        </w:tc>
        <w:tc>
          <w:tcPr>
            <w:tcW w:w="900" w:type="dxa"/>
            <w:shd w:val="clear" w:color="auto" w:fill="D0CECE" w:themeFill="background2" w:themeFillShade="E6"/>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FB7BE6" w:rsidP="00FB7BE6">
            <w:pPr>
              <w:rPr>
                <w:rFonts w:cstheme="minorHAnsi"/>
                <w:sz w:val="20"/>
                <w:szCs w:val="20"/>
              </w:rPr>
            </w:pPr>
            <w:r w:rsidRPr="00E96708">
              <w:rPr>
                <w:rFonts w:cstheme="minorHAnsi"/>
                <w:sz w:val="20"/>
                <w:szCs w:val="20"/>
              </w:rPr>
              <w:t xml:space="preserve">18. Select communication strategies for different audiences and sectors </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FB7BE6" w:rsidP="00FB7BE6">
            <w:pPr>
              <w:rPr>
                <w:rFonts w:cstheme="minorHAnsi"/>
                <w:sz w:val="20"/>
                <w:szCs w:val="20"/>
              </w:rPr>
            </w:pPr>
            <w:r w:rsidRPr="00E96708">
              <w:rPr>
                <w:rFonts w:cstheme="minorHAnsi"/>
                <w:sz w:val="20"/>
                <w:szCs w:val="20"/>
              </w:rPr>
              <w:t xml:space="preserve">19. Communicate audience-appropriate </w:t>
            </w:r>
            <w:r w:rsidR="007F1140" w:rsidRPr="00E96708">
              <w:rPr>
                <w:rFonts w:cstheme="minorHAnsi"/>
                <w:bCs/>
                <w:sz w:val="20"/>
                <w:szCs w:val="20"/>
              </w:rPr>
              <w:t xml:space="preserve">(i.e., non-academic, non-peer audience) </w:t>
            </w:r>
            <w:r w:rsidRPr="00E96708">
              <w:rPr>
                <w:rFonts w:cstheme="minorHAnsi"/>
                <w:sz w:val="20"/>
                <w:szCs w:val="20"/>
              </w:rPr>
              <w:t xml:space="preserve">public health content, both in writing and through oral presentation </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FB7BE6" w:rsidP="00FB7BE6">
            <w:pPr>
              <w:rPr>
                <w:rFonts w:cstheme="minorHAnsi"/>
                <w:sz w:val="20"/>
                <w:szCs w:val="20"/>
              </w:rPr>
            </w:pPr>
            <w:r w:rsidRPr="00E96708">
              <w:rPr>
                <w:rFonts w:cstheme="minorHAnsi"/>
                <w:sz w:val="20"/>
                <w:szCs w:val="20"/>
              </w:rPr>
              <w:t xml:space="preserve">20. Describe the importance of cultural competence in communicating public health content </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shd w:val="clear" w:color="auto" w:fill="D0CECE" w:themeFill="background2" w:themeFillShade="E6"/>
          </w:tcPr>
          <w:p w:rsidR="00FB7BE6" w:rsidRPr="00E96708" w:rsidRDefault="00FB7BE6" w:rsidP="00FB7BE6">
            <w:pPr>
              <w:rPr>
                <w:rFonts w:cstheme="minorHAnsi"/>
                <w:sz w:val="20"/>
                <w:szCs w:val="20"/>
              </w:rPr>
            </w:pPr>
            <w:r w:rsidRPr="00E96708">
              <w:rPr>
                <w:rFonts w:cstheme="minorHAnsi"/>
                <w:sz w:val="20"/>
                <w:szCs w:val="20"/>
              </w:rPr>
              <w:t xml:space="preserve">Interprofessional </w:t>
            </w:r>
            <w:r w:rsidR="007F1140" w:rsidRPr="00E96708">
              <w:rPr>
                <w:rFonts w:cstheme="minorHAnsi"/>
                <w:sz w:val="20"/>
                <w:szCs w:val="20"/>
              </w:rPr>
              <w:t xml:space="preserve">and/or Intersectoral </w:t>
            </w:r>
            <w:r w:rsidRPr="00E96708">
              <w:rPr>
                <w:rFonts w:cstheme="minorHAnsi"/>
                <w:sz w:val="20"/>
                <w:szCs w:val="20"/>
              </w:rPr>
              <w:t xml:space="preserve">Practice </w:t>
            </w:r>
          </w:p>
        </w:tc>
        <w:tc>
          <w:tcPr>
            <w:tcW w:w="900" w:type="dxa"/>
            <w:shd w:val="clear" w:color="auto" w:fill="D0CECE" w:themeFill="background2" w:themeFillShade="E6"/>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FB7BE6" w:rsidP="00FB7BE6">
            <w:pPr>
              <w:rPr>
                <w:rFonts w:cstheme="minorHAnsi"/>
                <w:sz w:val="20"/>
                <w:szCs w:val="20"/>
              </w:rPr>
            </w:pPr>
            <w:r w:rsidRPr="00E96708">
              <w:rPr>
                <w:rFonts w:cstheme="minorHAnsi"/>
                <w:sz w:val="20"/>
                <w:szCs w:val="20"/>
              </w:rPr>
              <w:t xml:space="preserve">21. </w:t>
            </w:r>
            <w:r w:rsidR="007F1140" w:rsidRPr="00E96708">
              <w:rPr>
                <w:rFonts w:cstheme="minorHAnsi"/>
                <w:bCs/>
                <w:sz w:val="20"/>
                <w:szCs w:val="20"/>
              </w:rPr>
              <w:t>Integrate perspectives from other sectors and/or professions to promote and advance population health</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shd w:val="clear" w:color="auto" w:fill="D0CECE" w:themeFill="background2" w:themeFillShade="E6"/>
          </w:tcPr>
          <w:p w:rsidR="00FB7BE6" w:rsidRPr="00E96708" w:rsidRDefault="00FB7BE6" w:rsidP="00FB7BE6">
            <w:pPr>
              <w:rPr>
                <w:rFonts w:cstheme="minorHAnsi"/>
                <w:sz w:val="20"/>
                <w:szCs w:val="20"/>
              </w:rPr>
            </w:pPr>
            <w:r w:rsidRPr="00E96708">
              <w:rPr>
                <w:rFonts w:cstheme="minorHAnsi"/>
                <w:sz w:val="20"/>
                <w:szCs w:val="20"/>
              </w:rPr>
              <w:t>Sy</w:t>
            </w:r>
            <w:r w:rsidR="00703D8C" w:rsidRPr="00E96708">
              <w:rPr>
                <w:rFonts w:cstheme="minorHAnsi"/>
                <w:sz w:val="20"/>
                <w:szCs w:val="20"/>
              </w:rPr>
              <w:t xml:space="preserve">stems Thinking </w:t>
            </w:r>
          </w:p>
        </w:tc>
        <w:tc>
          <w:tcPr>
            <w:tcW w:w="900" w:type="dxa"/>
            <w:shd w:val="clear" w:color="auto" w:fill="D0CECE" w:themeFill="background2" w:themeFillShade="E6"/>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FB7BE6" w:rsidP="00FB7BE6">
            <w:pPr>
              <w:rPr>
                <w:rFonts w:cstheme="minorHAnsi"/>
                <w:sz w:val="20"/>
                <w:szCs w:val="20"/>
              </w:rPr>
            </w:pPr>
            <w:r w:rsidRPr="00E96708">
              <w:rPr>
                <w:rFonts w:cstheme="minorHAnsi"/>
                <w:sz w:val="20"/>
                <w:szCs w:val="20"/>
              </w:rPr>
              <w:t xml:space="preserve">22. </w:t>
            </w:r>
            <w:r w:rsidR="00D25F00" w:rsidRPr="00E96708">
              <w:rPr>
                <w:rFonts w:cstheme="minorHAnsi"/>
                <w:bCs/>
                <w:sz w:val="20"/>
                <w:szCs w:val="20"/>
              </w:rPr>
              <w:t>Apply a systems thinking tool to visually represent a public health issue in a format other</w:t>
            </w:r>
            <w:r w:rsidR="00D25F00" w:rsidRPr="00E96708">
              <w:rPr>
                <w:rFonts w:cstheme="minorHAnsi"/>
                <w:sz w:val="20"/>
                <w:szCs w:val="20"/>
              </w:rPr>
              <w:t xml:space="preserve"> </w:t>
            </w:r>
            <w:r w:rsidR="00D25F00" w:rsidRPr="00E96708">
              <w:rPr>
                <w:rFonts w:cstheme="minorHAnsi"/>
                <w:bCs/>
                <w:sz w:val="20"/>
                <w:szCs w:val="20"/>
              </w:rPr>
              <w:t>than standard narrative</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shd w:val="clear" w:color="auto" w:fill="D9D9D9" w:themeFill="background1" w:themeFillShade="D9"/>
          </w:tcPr>
          <w:p w:rsidR="00FB7BE6" w:rsidRPr="00E96708" w:rsidRDefault="00FB7BE6" w:rsidP="00FB7BE6">
            <w:pPr>
              <w:rPr>
                <w:rFonts w:cstheme="minorHAnsi"/>
                <w:sz w:val="20"/>
                <w:szCs w:val="20"/>
              </w:rPr>
            </w:pPr>
            <w:r w:rsidRPr="00E96708">
              <w:rPr>
                <w:rFonts w:cstheme="minorHAnsi"/>
                <w:sz w:val="20"/>
                <w:szCs w:val="20"/>
              </w:rPr>
              <w:t>WKU MPH Program Competencies</w:t>
            </w:r>
          </w:p>
        </w:tc>
        <w:tc>
          <w:tcPr>
            <w:tcW w:w="900" w:type="dxa"/>
            <w:shd w:val="clear" w:color="auto" w:fill="D9D9D9" w:themeFill="background1" w:themeFillShade="D9"/>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5067CF" w:rsidP="005067CF">
            <w:pPr>
              <w:rPr>
                <w:rFonts w:cstheme="minorHAnsi"/>
                <w:color w:val="000000"/>
                <w:sz w:val="20"/>
                <w:szCs w:val="20"/>
              </w:rPr>
            </w:pPr>
            <w:r w:rsidRPr="00E96708">
              <w:rPr>
                <w:rFonts w:cstheme="minorHAnsi"/>
                <w:color w:val="000000"/>
                <w:sz w:val="20"/>
                <w:szCs w:val="20"/>
              </w:rPr>
              <w:t>23. Apply health behavior theories and models to address public health problems.</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5067CF" w:rsidP="00FB7BE6">
            <w:pPr>
              <w:rPr>
                <w:rFonts w:cstheme="minorHAnsi"/>
                <w:color w:val="000000"/>
                <w:sz w:val="20"/>
                <w:szCs w:val="20"/>
              </w:rPr>
            </w:pPr>
            <w:r w:rsidRPr="00E96708">
              <w:rPr>
                <w:rFonts w:cstheme="minorHAnsi"/>
                <w:color w:val="000000"/>
                <w:sz w:val="20"/>
                <w:szCs w:val="20"/>
              </w:rPr>
              <w:t>24. Locate, cite, and integrate credible and/or peer-reviewed literature into professionally written products.</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5067CF" w:rsidP="00FB7BE6">
            <w:pPr>
              <w:rPr>
                <w:rFonts w:cstheme="minorHAnsi"/>
                <w:color w:val="000000"/>
                <w:sz w:val="20"/>
                <w:szCs w:val="20"/>
              </w:rPr>
            </w:pPr>
            <w:r w:rsidRPr="00E96708">
              <w:rPr>
                <w:rFonts w:cstheme="minorHAnsi"/>
                <w:color w:val="000000"/>
                <w:sz w:val="20"/>
                <w:szCs w:val="20"/>
              </w:rPr>
              <w:t>25. Apply methods of field epidemiology.</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5067CF" w:rsidP="00FB7BE6">
            <w:pPr>
              <w:rPr>
                <w:rFonts w:cstheme="minorHAnsi"/>
                <w:color w:val="000000"/>
                <w:sz w:val="20"/>
                <w:szCs w:val="20"/>
              </w:rPr>
            </w:pPr>
            <w:r w:rsidRPr="00E96708">
              <w:rPr>
                <w:rFonts w:cstheme="minorHAnsi"/>
                <w:color w:val="000000"/>
                <w:sz w:val="20"/>
                <w:szCs w:val="20"/>
              </w:rPr>
              <w:t>26. Describe the impact and importance of social determinants of health.</w:t>
            </w:r>
          </w:p>
        </w:tc>
        <w:tc>
          <w:tcPr>
            <w:tcW w:w="900" w:type="dxa"/>
          </w:tcPr>
          <w:p w:rsidR="00FB7BE6" w:rsidRPr="00E96708" w:rsidRDefault="00FB7BE6" w:rsidP="00FB7BE6">
            <w:pPr>
              <w:rPr>
                <w:rFonts w:cstheme="minorHAnsi"/>
                <w:sz w:val="20"/>
                <w:szCs w:val="20"/>
              </w:rPr>
            </w:pPr>
          </w:p>
        </w:tc>
      </w:tr>
      <w:tr w:rsidR="00FB7BE6" w:rsidRPr="00E96708" w:rsidTr="00353FD4">
        <w:tc>
          <w:tcPr>
            <w:tcW w:w="9090" w:type="dxa"/>
          </w:tcPr>
          <w:p w:rsidR="00FB7BE6" w:rsidRPr="00E96708" w:rsidRDefault="005067CF" w:rsidP="00FB7BE6">
            <w:pPr>
              <w:rPr>
                <w:rFonts w:cstheme="minorHAnsi"/>
                <w:sz w:val="20"/>
                <w:szCs w:val="20"/>
              </w:rPr>
            </w:pPr>
            <w:r w:rsidRPr="00E96708">
              <w:rPr>
                <w:rFonts w:cstheme="minorHAnsi"/>
                <w:color w:val="000000"/>
                <w:sz w:val="20"/>
                <w:szCs w:val="20"/>
              </w:rPr>
              <w:t>27. Identify the direct and indirect population health effects of environmental hazards (biological, chemical and physical) on humans, animals and the ecology.</w:t>
            </w:r>
          </w:p>
        </w:tc>
        <w:tc>
          <w:tcPr>
            <w:tcW w:w="900" w:type="dxa"/>
          </w:tcPr>
          <w:p w:rsidR="00FB7BE6" w:rsidRPr="00E96708" w:rsidRDefault="00FB7BE6" w:rsidP="00FB7BE6">
            <w:pPr>
              <w:rPr>
                <w:rFonts w:cstheme="minorHAnsi"/>
                <w:sz w:val="20"/>
                <w:szCs w:val="20"/>
              </w:rPr>
            </w:pPr>
          </w:p>
        </w:tc>
      </w:tr>
    </w:tbl>
    <w:p w:rsidR="00F2398D" w:rsidRDefault="00F2398D" w:rsidP="00FB7BE6">
      <w:pPr>
        <w:spacing w:after="0" w:line="240" w:lineRule="auto"/>
        <w:rPr>
          <w:rFonts w:eastAsia="Times New Roman" w:cs="Arial"/>
        </w:rPr>
      </w:pPr>
    </w:p>
    <w:p w:rsidR="00FB7BE6" w:rsidRDefault="00FB7BE6" w:rsidP="00662918">
      <w:pPr>
        <w:pStyle w:val="Heading1"/>
        <w:rPr>
          <w:rFonts w:eastAsia="Times New Roman"/>
        </w:rPr>
      </w:pPr>
      <w:r w:rsidRPr="00DB4F6A">
        <w:rPr>
          <w:rFonts w:eastAsia="Times New Roman"/>
        </w:rPr>
        <w:t>Foundational Knowledge</w:t>
      </w:r>
    </w:p>
    <w:p w:rsidR="00086124" w:rsidRPr="00662918" w:rsidRDefault="00B6113E" w:rsidP="00B6113E">
      <w:pPr>
        <w:rPr>
          <w:color w:val="C00000"/>
        </w:rPr>
      </w:pPr>
      <w:r w:rsidRPr="00662918">
        <w:rPr>
          <w:color w:val="C00000"/>
        </w:rPr>
        <w:t>Some required core classes meet CEPH’s foundational knowledge requirements.</w:t>
      </w:r>
      <w:r w:rsidR="00086124" w:rsidRPr="00662918">
        <w:rPr>
          <w:color w:val="C00000"/>
        </w:rPr>
        <w:t xml:space="preserve"> If so, please show the alignments as discussed above.</w:t>
      </w:r>
      <w:r w:rsidRPr="00662918">
        <w:rPr>
          <w:color w:val="C00000"/>
        </w:rPr>
        <w:t xml:space="preserve">  If your course doesn’t</w:t>
      </w:r>
      <w:r w:rsidR="00086124" w:rsidRPr="00662918">
        <w:rPr>
          <w:color w:val="C00000"/>
        </w:rPr>
        <w:t xml:space="preserve"> address foundational knowledge, please do not include</w:t>
      </w:r>
      <w:r w:rsidRPr="00662918">
        <w:rPr>
          <w:color w:val="C00000"/>
        </w:rPr>
        <w:t xml:space="preserve"> this </w:t>
      </w:r>
      <w:r w:rsidR="00662918">
        <w:rPr>
          <w:color w:val="C00000"/>
        </w:rPr>
        <w:t>table</w:t>
      </w:r>
      <w:r w:rsidRPr="00662918">
        <w:rPr>
          <w:color w:val="C00000"/>
        </w:rPr>
        <w:t xml:space="preserve"> </w:t>
      </w:r>
    </w:p>
    <w:p w:rsidR="00B6113E" w:rsidRPr="00B6113E" w:rsidRDefault="00B6113E" w:rsidP="00B6113E">
      <w:r>
        <w:t>This course contributes to the foundational knowledge of public hea</w:t>
      </w:r>
      <w:r w:rsidR="00086124">
        <w:t>lth by addressing the following:</w:t>
      </w:r>
    </w:p>
    <w:tbl>
      <w:tblPr>
        <w:tblpPr w:leftFromText="180" w:rightFromText="180" w:vertAnchor="text" w:horzAnchor="margin" w:tblpX="-185" w:tblpY="19"/>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oundational Knowledge"/>
        <w:tblDescription w:val="This two column table lists the foundational knowledge items in the left column. The objectives that meet the foundational knowledge are noted in the right column."/>
      </w:tblPr>
      <w:tblGrid>
        <w:gridCol w:w="9085"/>
        <w:gridCol w:w="900"/>
      </w:tblGrid>
      <w:tr w:rsidR="00DC5143" w:rsidRPr="00F2398D" w:rsidTr="00FB7BE6">
        <w:trPr>
          <w:trHeight w:val="260"/>
        </w:trPr>
        <w:tc>
          <w:tcPr>
            <w:tcW w:w="9085" w:type="dxa"/>
            <w:shd w:val="pct15" w:color="auto" w:fill="auto"/>
          </w:tcPr>
          <w:p w:rsidR="00DC5143" w:rsidRPr="00F2398D" w:rsidRDefault="00DC5143" w:rsidP="00FB7BE6">
            <w:pPr>
              <w:spacing w:after="0" w:line="240" w:lineRule="auto"/>
              <w:rPr>
                <w:rFonts w:eastAsia="Times New Roman" w:cs="Arial"/>
                <w:color w:val="000000"/>
              </w:rPr>
            </w:pPr>
            <w:r>
              <w:rPr>
                <w:rFonts w:eastAsia="Times New Roman" w:cs="Arial"/>
                <w:color w:val="000000"/>
              </w:rPr>
              <w:t>FOUNDATIONAL KNOWLEDGE</w:t>
            </w:r>
          </w:p>
        </w:tc>
        <w:tc>
          <w:tcPr>
            <w:tcW w:w="900" w:type="dxa"/>
            <w:shd w:val="pct15" w:color="auto" w:fill="auto"/>
          </w:tcPr>
          <w:p w:rsidR="00DC5143" w:rsidRDefault="00DC5143" w:rsidP="00FB7BE6">
            <w:pPr>
              <w:spacing w:after="0" w:line="240" w:lineRule="auto"/>
              <w:rPr>
                <w:rFonts w:eastAsia="Times New Roman" w:cs="Arial"/>
                <w:color w:val="000000"/>
              </w:rPr>
            </w:pPr>
            <w:r>
              <w:rPr>
                <w:rFonts w:eastAsia="Times New Roman" w:cs="Arial"/>
                <w:color w:val="000000"/>
              </w:rPr>
              <w:t>Obj</w:t>
            </w:r>
          </w:p>
        </w:tc>
      </w:tr>
      <w:tr w:rsidR="00FB7BE6" w:rsidRPr="00F2398D" w:rsidTr="00FB7BE6">
        <w:trPr>
          <w:trHeight w:val="260"/>
        </w:trPr>
        <w:tc>
          <w:tcPr>
            <w:tcW w:w="9085" w:type="dxa"/>
            <w:shd w:val="pct15" w:color="auto" w:fill="auto"/>
            <w:hideMark/>
          </w:tcPr>
          <w:p w:rsidR="00FB7BE6" w:rsidRPr="0064748B" w:rsidRDefault="00FB7BE6" w:rsidP="00FB7BE6">
            <w:pPr>
              <w:spacing w:after="0" w:line="240" w:lineRule="auto"/>
              <w:rPr>
                <w:rFonts w:eastAsia="Times New Roman" w:cs="Arial"/>
                <w:color w:val="000000"/>
                <w:sz w:val="20"/>
                <w:szCs w:val="20"/>
              </w:rPr>
            </w:pPr>
            <w:r w:rsidRPr="0064748B">
              <w:rPr>
                <w:rFonts w:eastAsia="Times New Roman" w:cs="Arial"/>
                <w:color w:val="000000"/>
                <w:sz w:val="20"/>
                <w:szCs w:val="20"/>
              </w:rPr>
              <w:t xml:space="preserve">Profession &amp; Science of Public Health </w:t>
            </w:r>
          </w:p>
        </w:tc>
        <w:tc>
          <w:tcPr>
            <w:tcW w:w="900" w:type="dxa"/>
            <w:shd w:val="pct15" w:color="auto" w:fill="auto"/>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332"/>
        </w:trPr>
        <w:tc>
          <w:tcPr>
            <w:tcW w:w="9085" w:type="dxa"/>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1. Explain public health history, philosophy and values </w:t>
            </w:r>
          </w:p>
        </w:tc>
        <w:tc>
          <w:tcPr>
            <w:tcW w:w="900" w:type="dxa"/>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305"/>
        </w:trPr>
        <w:tc>
          <w:tcPr>
            <w:tcW w:w="9085" w:type="dxa"/>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2. Identify the core functions of public health and the 10 Essential Services. </w:t>
            </w:r>
          </w:p>
        </w:tc>
        <w:tc>
          <w:tcPr>
            <w:tcW w:w="900" w:type="dxa"/>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467"/>
        </w:trPr>
        <w:tc>
          <w:tcPr>
            <w:tcW w:w="9085" w:type="dxa"/>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3. Explain the role of quantitative and qualitative methods and sciences in describing and assessing a population’s health </w:t>
            </w:r>
          </w:p>
        </w:tc>
        <w:tc>
          <w:tcPr>
            <w:tcW w:w="900" w:type="dxa"/>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476"/>
        </w:trPr>
        <w:tc>
          <w:tcPr>
            <w:tcW w:w="9085" w:type="dxa"/>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4. List major causes and trends of morbidity and mortality in the US or other community relevant to the school or program </w:t>
            </w:r>
          </w:p>
        </w:tc>
        <w:tc>
          <w:tcPr>
            <w:tcW w:w="900" w:type="dxa"/>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485"/>
        </w:trPr>
        <w:tc>
          <w:tcPr>
            <w:tcW w:w="9085" w:type="dxa"/>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5. Discuss the science of primary, secondary and tertiary prevention in population health, including health promotion, screening, etc. </w:t>
            </w:r>
          </w:p>
        </w:tc>
        <w:tc>
          <w:tcPr>
            <w:tcW w:w="900" w:type="dxa"/>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58"/>
        </w:trPr>
        <w:tc>
          <w:tcPr>
            <w:tcW w:w="9085" w:type="dxa"/>
            <w:tcBorders>
              <w:bottom w:val="single" w:sz="4" w:space="0" w:color="auto"/>
            </w:tcBorders>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6. Explain the critical importance of evidence in advancing public health knowledge </w:t>
            </w:r>
          </w:p>
        </w:tc>
        <w:tc>
          <w:tcPr>
            <w:tcW w:w="900" w:type="dxa"/>
            <w:tcBorders>
              <w:bottom w:val="single" w:sz="4" w:space="0" w:color="auto"/>
            </w:tcBorders>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260"/>
        </w:trPr>
        <w:tc>
          <w:tcPr>
            <w:tcW w:w="9085" w:type="dxa"/>
            <w:shd w:val="pct15"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Factors Related to Human Health </w:t>
            </w:r>
          </w:p>
        </w:tc>
        <w:tc>
          <w:tcPr>
            <w:tcW w:w="900" w:type="dxa"/>
            <w:shd w:val="pct15" w:color="auto" w:fill="auto"/>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242"/>
        </w:trPr>
        <w:tc>
          <w:tcPr>
            <w:tcW w:w="9085" w:type="dxa"/>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7. Explain effects of environmental factors on a population’s health </w:t>
            </w:r>
          </w:p>
        </w:tc>
        <w:tc>
          <w:tcPr>
            <w:tcW w:w="900" w:type="dxa"/>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242"/>
        </w:trPr>
        <w:tc>
          <w:tcPr>
            <w:tcW w:w="9085" w:type="dxa"/>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8. Explain biological and genetic factors that affect a population’s health </w:t>
            </w:r>
          </w:p>
        </w:tc>
        <w:tc>
          <w:tcPr>
            <w:tcW w:w="900" w:type="dxa"/>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242"/>
        </w:trPr>
        <w:tc>
          <w:tcPr>
            <w:tcW w:w="9085" w:type="dxa"/>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9. Explain behavioral and psychological factors that affect a population’s health </w:t>
            </w:r>
          </w:p>
        </w:tc>
        <w:tc>
          <w:tcPr>
            <w:tcW w:w="900" w:type="dxa"/>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512"/>
        </w:trPr>
        <w:tc>
          <w:tcPr>
            <w:tcW w:w="9085" w:type="dxa"/>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10. Explain the social, political and economic determinants of health and how they contribute to population health and health inequities </w:t>
            </w:r>
          </w:p>
        </w:tc>
        <w:tc>
          <w:tcPr>
            <w:tcW w:w="900" w:type="dxa"/>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251"/>
        </w:trPr>
        <w:tc>
          <w:tcPr>
            <w:tcW w:w="9085" w:type="dxa"/>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 xml:space="preserve">11. Explain how globalization affects global burdens of disease </w:t>
            </w:r>
          </w:p>
        </w:tc>
        <w:tc>
          <w:tcPr>
            <w:tcW w:w="900" w:type="dxa"/>
          </w:tcPr>
          <w:p w:rsidR="00FB7BE6" w:rsidRPr="00F2398D" w:rsidRDefault="00FB7BE6" w:rsidP="00FB7BE6">
            <w:pPr>
              <w:spacing w:after="0" w:line="240" w:lineRule="auto"/>
              <w:rPr>
                <w:rFonts w:eastAsia="Times New Roman" w:cs="Arial"/>
                <w:color w:val="000000"/>
              </w:rPr>
            </w:pPr>
          </w:p>
        </w:tc>
      </w:tr>
      <w:tr w:rsidR="00FB7BE6" w:rsidRPr="00F2398D" w:rsidTr="00FB7BE6">
        <w:trPr>
          <w:trHeight w:val="431"/>
        </w:trPr>
        <w:tc>
          <w:tcPr>
            <w:tcW w:w="9085" w:type="dxa"/>
            <w:shd w:val="clear" w:color="auto" w:fill="auto"/>
            <w:hideMark/>
          </w:tcPr>
          <w:p w:rsidR="00FB7BE6" w:rsidRPr="00DC5143" w:rsidRDefault="00FB7BE6" w:rsidP="00FB7BE6">
            <w:pPr>
              <w:spacing w:after="0" w:line="240" w:lineRule="auto"/>
              <w:rPr>
                <w:rFonts w:eastAsia="Times New Roman" w:cs="Arial"/>
                <w:color w:val="000000"/>
                <w:sz w:val="20"/>
                <w:szCs w:val="20"/>
              </w:rPr>
            </w:pPr>
            <w:r w:rsidRPr="00DC5143">
              <w:rPr>
                <w:rFonts w:eastAsia="Times New Roman" w:cs="Arial"/>
                <w:color w:val="000000"/>
                <w:sz w:val="20"/>
                <w:szCs w:val="20"/>
              </w:rPr>
              <w:t>12. Explain an ecological perspective on the connections among human health, animal health and ecosystem health (</w:t>
            </w:r>
            <w:r w:rsidR="004458B5" w:rsidRPr="00DC5143">
              <w:rPr>
                <w:rFonts w:eastAsia="Times New Roman" w:cs="Arial"/>
                <w:color w:val="000000"/>
                <w:sz w:val="20"/>
                <w:szCs w:val="20"/>
              </w:rPr>
              <w:t>e.g.</w:t>
            </w:r>
            <w:r w:rsidRPr="00DC5143">
              <w:rPr>
                <w:rFonts w:eastAsia="Times New Roman" w:cs="Arial"/>
                <w:color w:val="000000"/>
                <w:sz w:val="20"/>
                <w:szCs w:val="20"/>
              </w:rPr>
              <w:t xml:space="preserve">, One Health) </w:t>
            </w:r>
          </w:p>
        </w:tc>
        <w:tc>
          <w:tcPr>
            <w:tcW w:w="900" w:type="dxa"/>
          </w:tcPr>
          <w:p w:rsidR="00FB7BE6" w:rsidRPr="00F2398D" w:rsidRDefault="00FB7BE6" w:rsidP="00FB7BE6">
            <w:pPr>
              <w:spacing w:after="0" w:line="240" w:lineRule="auto"/>
              <w:rPr>
                <w:rFonts w:eastAsia="Times New Roman" w:cs="Arial"/>
                <w:color w:val="000000"/>
              </w:rPr>
            </w:pPr>
          </w:p>
        </w:tc>
      </w:tr>
    </w:tbl>
    <w:p w:rsidR="00FB7BE6" w:rsidRDefault="00FB7BE6" w:rsidP="00FB7BE6">
      <w:pPr>
        <w:rPr>
          <w:rFonts w:eastAsia="Times New Roman" w:cs="Arial"/>
        </w:rPr>
      </w:pPr>
    </w:p>
    <w:p w:rsidR="00B6113E" w:rsidRDefault="00B6113E" w:rsidP="00B6113E">
      <w:pPr>
        <w:pStyle w:val="Heading2"/>
        <w:rPr>
          <w:rFonts w:eastAsia="Times New Roman"/>
        </w:rPr>
      </w:pPr>
      <w:r w:rsidRPr="00922973">
        <w:rPr>
          <w:rFonts w:eastAsia="Times New Roman"/>
        </w:rPr>
        <w:t>Course Topics/Schedule</w:t>
      </w:r>
    </w:p>
    <w:p w:rsidR="00A16856" w:rsidRPr="00586E78" w:rsidRDefault="00B6113E" w:rsidP="00922973">
      <w:pPr>
        <w:rPr>
          <w:color w:val="C00000"/>
        </w:rPr>
      </w:pPr>
      <w:r w:rsidRPr="00662918">
        <w:rPr>
          <w:color w:val="C00000"/>
        </w:rPr>
        <w:t>Many of us include this in our Bb si</w:t>
      </w:r>
      <w:r w:rsidR="00086124" w:rsidRPr="00662918">
        <w:rPr>
          <w:color w:val="C00000"/>
        </w:rPr>
        <w:t xml:space="preserve">tes rather than on the syllabus that is posted on TopNet.  </w:t>
      </w:r>
      <w:r w:rsidRPr="00662918">
        <w:rPr>
          <w:color w:val="C00000"/>
        </w:rPr>
        <w:t xml:space="preserve"> For the syllabi we have to turn in to CEPH, please include this</w:t>
      </w:r>
      <w:r w:rsidR="00086124" w:rsidRPr="00662918">
        <w:rPr>
          <w:color w:val="C00000"/>
        </w:rPr>
        <w:t xml:space="preserve"> information, making sure the didactic content is communicated.  For example, instead of just putting “Chapter 2,” include the major topics included in chapter 2 also.</w:t>
      </w:r>
    </w:p>
    <w:sectPr w:rsidR="00A16856" w:rsidRPr="00586E78" w:rsidSect="00E92C6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1F" w:rsidRDefault="00DB3B1F" w:rsidP="00586E78">
      <w:pPr>
        <w:spacing w:after="0" w:line="240" w:lineRule="auto"/>
      </w:pPr>
      <w:r>
        <w:separator/>
      </w:r>
    </w:p>
  </w:endnote>
  <w:endnote w:type="continuationSeparator" w:id="0">
    <w:p w:rsidR="00DB3B1F" w:rsidRDefault="00DB3B1F" w:rsidP="0058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1F" w:rsidRDefault="00DB3B1F" w:rsidP="00586E78">
      <w:pPr>
        <w:spacing w:after="0" w:line="240" w:lineRule="auto"/>
      </w:pPr>
      <w:r>
        <w:separator/>
      </w:r>
    </w:p>
  </w:footnote>
  <w:footnote w:type="continuationSeparator" w:id="0">
    <w:p w:rsidR="00DB3B1F" w:rsidRDefault="00DB3B1F" w:rsidP="00586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887652"/>
      <w:docPartObj>
        <w:docPartGallery w:val="Page Numbers (Top of Page)"/>
        <w:docPartUnique/>
      </w:docPartObj>
    </w:sdtPr>
    <w:sdtEndPr>
      <w:rPr>
        <w:noProof/>
      </w:rPr>
    </w:sdtEndPr>
    <w:sdtContent>
      <w:p w:rsidR="00586E78" w:rsidRDefault="00586E78">
        <w:pPr>
          <w:pStyle w:val="Header"/>
          <w:jc w:val="right"/>
        </w:pPr>
        <w:r>
          <w:fldChar w:fldCharType="begin"/>
        </w:r>
        <w:r>
          <w:instrText xml:space="preserve"> PAGE   \* MERGEFORMAT </w:instrText>
        </w:r>
        <w:r>
          <w:fldChar w:fldCharType="separate"/>
        </w:r>
        <w:r w:rsidR="00DB3B1F">
          <w:rPr>
            <w:noProof/>
          </w:rPr>
          <w:t>1</w:t>
        </w:r>
        <w:r>
          <w:rPr>
            <w:noProof/>
          </w:rPr>
          <w:fldChar w:fldCharType="end"/>
        </w:r>
      </w:p>
    </w:sdtContent>
  </w:sdt>
  <w:p w:rsidR="00586E78" w:rsidRDefault="0058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4710A"/>
    <w:multiLevelType w:val="hybridMultilevel"/>
    <w:tmpl w:val="B650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95E37"/>
    <w:multiLevelType w:val="hybridMultilevel"/>
    <w:tmpl w:val="6180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0664CF"/>
    <w:multiLevelType w:val="hybridMultilevel"/>
    <w:tmpl w:val="D9D67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7A"/>
    <w:rsid w:val="00086124"/>
    <w:rsid w:val="000A06CA"/>
    <w:rsid w:val="000C13E7"/>
    <w:rsid w:val="000F4B04"/>
    <w:rsid w:val="000F5BF9"/>
    <w:rsid w:val="00114D17"/>
    <w:rsid w:val="00160454"/>
    <w:rsid w:val="00177A82"/>
    <w:rsid w:val="001B7C9C"/>
    <w:rsid w:val="001E608E"/>
    <w:rsid w:val="00223CD4"/>
    <w:rsid w:val="0023065F"/>
    <w:rsid w:val="00230C05"/>
    <w:rsid w:val="0023526C"/>
    <w:rsid w:val="00247810"/>
    <w:rsid w:val="00264851"/>
    <w:rsid w:val="002A7D25"/>
    <w:rsid w:val="002D6531"/>
    <w:rsid w:val="00310726"/>
    <w:rsid w:val="00323619"/>
    <w:rsid w:val="003237F7"/>
    <w:rsid w:val="00351EAF"/>
    <w:rsid w:val="00353FD4"/>
    <w:rsid w:val="003800E0"/>
    <w:rsid w:val="003A60F1"/>
    <w:rsid w:val="003C5DB2"/>
    <w:rsid w:val="003E67F7"/>
    <w:rsid w:val="004121BC"/>
    <w:rsid w:val="00434341"/>
    <w:rsid w:val="004458B5"/>
    <w:rsid w:val="004E1AD6"/>
    <w:rsid w:val="005067CF"/>
    <w:rsid w:val="00525912"/>
    <w:rsid w:val="005606BE"/>
    <w:rsid w:val="0058437A"/>
    <w:rsid w:val="00586E78"/>
    <w:rsid w:val="005B4215"/>
    <w:rsid w:val="005C410F"/>
    <w:rsid w:val="006307D4"/>
    <w:rsid w:val="0064748B"/>
    <w:rsid w:val="00662918"/>
    <w:rsid w:val="006851CF"/>
    <w:rsid w:val="006A1421"/>
    <w:rsid w:val="00703D8C"/>
    <w:rsid w:val="00712D58"/>
    <w:rsid w:val="0075641F"/>
    <w:rsid w:val="007A7159"/>
    <w:rsid w:val="007B3C3A"/>
    <w:rsid w:val="007B5A39"/>
    <w:rsid w:val="007C48CD"/>
    <w:rsid w:val="007E7981"/>
    <w:rsid w:val="007F1140"/>
    <w:rsid w:val="008076B3"/>
    <w:rsid w:val="00832F87"/>
    <w:rsid w:val="00834C9E"/>
    <w:rsid w:val="00842E6D"/>
    <w:rsid w:val="008763BD"/>
    <w:rsid w:val="008A1DD7"/>
    <w:rsid w:val="008A7E91"/>
    <w:rsid w:val="00922973"/>
    <w:rsid w:val="00973E24"/>
    <w:rsid w:val="009E39E7"/>
    <w:rsid w:val="00A16856"/>
    <w:rsid w:val="00A33529"/>
    <w:rsid w:val="00A82DD9"/>
    <w:rsid w:val="00A93686"/>
    <w:rsid w:val="00A93B05"/>
    <w:rsid w:val="00AC3184"/>
    <w:rsid w:val="00B11823"/>
    <w:rsid w:val="00B122DA"/>
    <w:rsid w:val="00B26C5C"/>
    <w:rsid w:val="00B31351"/>
    <w:rsid w:val="00B6113E"/>
    <w:rsid w:val="00B61291"/>
    <w:rsid w:val="00BB2DE0"/>
    <w:rsid w:val="00BB703D"/>
    <w:rsid w:val="00BF737D"/>
    <w:rsid w:val="00C0203E"/>
    <w:rsid w:val="00C30597"/>
    <w:rsid w:val="00CE4016"/>
    <w:rsid w:val="00D02A07"/>
    <w:rsid w:val="00D02A16"/>
    <w:rsid w:val="00D22090"/>
    <w:rsid w:val="00D25F00"/>
    <w:rsid w:val="00D715B8"/>
    <w:rsid w:val="00D81030"/>
    <w:rsid w:val="00D83EF9"/>
    <w:rsid w:val="00DB3B1F"/>
    <w:rsid w:val="00DB4F6A"/>
    <w:rsid w:val="00DC5143"/>
    <w:rsid w:val="00DD33F7"/>
    <w:rsid w:val="00DD6FBF"/>
    <w:rsid w:val="00E21AE9"/>
    <w:rsid w:val="00E221D6"/>
    <w:rsid w:val="00E37AB0"/>
    <w:rsid w:val="00E43CDC"/>
    <w:rsid w:val="00E6421D"/>
    <w:rsid w:val="00E7482A"/>
    <w:rsid w:val="00E92C69"/>
    <w:rsid w:val="00E96708"/>
    <w:rsid w:val="00EA4C78"/>
    <w:rsid w:val="00F2398D"/>
    <w:rsid w:val="00F841F0"/>
    <w:rsid w:val="00F97CF1"/>
    <w:rsid w:val="00FA5C63"/>
    <w:rsid w:val="00FB7BE6"/>
    <w:rsid w:val="00FD3B97"/>
    <w:rsid w:val="00FE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2DE5"/>
  <w15:chartTrackingRefBased/>
  <w15:docId w15:val="{FBC2D98D-FD0A-494D-9522-4A535F30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6124"/>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8612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86124"/>
    <w:pPr>
      <w:keepNext/>
      <w:keepLines/>
      <w:spacing w:before="40" w:after="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24"/>
    <w:rPr>
      <w:rFonts w:eastAsiaTheme="majorEastAsia" w:cstheme="majorBidi"/>
      <w:b/>
      <w:sz w:val="28"/>
      <w:szCs w:val="32"/>
    </w:rPr>
  </w:style>
  <w:style w:type="character" w:customStyle="1" w:styleId="Heading2Char">
    <w:name w:val="Heading 2 Char"/>
    <w:basedOn w:val="DefaultParagraphFont"/>
    <w:link w:val="Heading2"/>
    <w:uiPriority w:val="9"/>
    <w:rsid w:val="00086124"/>
    <w:rPr>
      <w:rFonts w:eastAsiaTheme="majorEastAsia" w:cstheme="majorBidi"/>
      <w:b/>
      <w:sz w:val="24"/>
      <w:szCs w:val="26"/>
    </w:rPr>
  </w:style>
  <w:style w:type="paragraph" w:styleId="ListParagraph">
    <w:name w:val="List Paragraph"/>
    <w:basedOn w:val="Normal"/>
    <w:uiPriority w:val="34"/>
    <w:qFormat/>
    <w:rsid w:val="00D22090"/>
    <w:pPr>
      <w:ind w:left="720"/>
      <w:contextualSpacing/>
    </w:pPr>
  </w:style>
  <w:style w:type="table" w:styleId="TableGrid">
    <w:name w:val="Table Grid"/>
    <w:basedOn w:val="TableNormal"/>
    <w:uiPriority w:val="39"/>
    <w:rsid w:val="00D81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0726"/>
    <w:rPr>
      <w:color w:val="0000FF"/>
      <w:u w:val="single"/>
    </w:rPr>
  </w:style>
  <w:style w:type="paragraph" w:customStyle="1" w:styleId="Default">
    <w:name w:val="Default"/>
    <w:rsid w:val="00A82DD9"/>
    <w:pPr>
      <w:autoSpaceDE w:val="0"/>
      <w:autoSpaceDN w:val="0"/>
      <w:adjustRightInd w:val="0"/>
      <w:spacing w:after="0" w:line="240" w:lineRule="auto"/>
    </w:pPr>
    <w:rPr>
      <w:rFonts w:ascii="Arial" w:hAnsi="Arial" w:cs="Arial"/>
      <w:color w:val="000000"/>
      <w:sz w:val="24"/>
      <w:szCs w:val="24"/>
    </w:rPr>
  </w:style>
  <w:style w:type="paragraph" w:customStyle="1" w:styleId="xdefault">
    <w:name w:val="x_default"/>
    <w:basedOn w:val="Normal"/>
    <w:rsid w:val="008A7E9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5606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606BE"/>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086124"/>
    <w:rPr>
      <w:rFonts w:eastAsiaTheme="majorEastAsia" w:cstheme="majorBidi"/>
      <w:szCs w:val="24"/>
      <w:u w:val="single"/>
    </w:rPr>
  </w:style>
  <w:style w:type="paragraph" w:styleId="NormalWeb">
    <w:name w:val="Normal (Web)"/>
    <w:basedOn w:val="Normal"/>
    <w:uiPriority w:val="99"/>
    <w:unhideWhenUsed/>
    <w:rsid w:val="00A335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3529"/>
    <w:rPr>
      <w:i/>
      <w:iCs/>
    </w:rPr>
  </w:style>
  <w:style w:type="character" w:styleId="Strong">
    <w:name w:val="Strong"/>
    <w:basedOn w:val="DefaultParagraphFont"/>
    <w:uiPriority w:val="22"/>
    <w:qFormat/>
    <w:rsid w:val="00E6421D"/>
    <w:rPr>
      <w:b/>
      <w:bCs/>
    </w:rPr>
  </w:style>
  <w:style w:type="paragraph" w:styleId="Header">
    <w:name w:val="header"/>
    <w:basedOn w:val="Normal"/>
    <w:link w:val="HeaderChar"/>
    <w:uiPriority w:val="99"/>
    <w:unhideWhenUsed/>
    <w:rsid w:val="00586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E78"/>
  </w:style>
  <w:style w:type="paragraph" w:styleId="Footer">
    <w:name w:val="footer"/>
    <w:basedOn w:val="Normal"/>
    <w:link w:val="FooterChar"/>
    <w:uiPriority w:val="99"/>
    <w:unhideWhenUsed/>
    <w:rsid w:val="00586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E78"/>
  </w:style>
  <w:style w:type="paragraph" w:customStyle="1" w:styleId="xmsonormal">
    <w:name w:val="x_msonormal"/>
    <w:basedOn w:val="Normal"/>
    <w:uiPriority w:val="99"/>
    <w:rsid w:val="008076B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7591">
      <w:bodyDiv w:val="1"/>
      <w:marLeft w:val="0"/>
      <w:marRight w:val="0"/>
      <w:marTop w:val="0"/>
      <w:marBottom w:val="0"/>
      <w:divBdr>
        <w:top w:val="none" w:sz="0" w:space="0" w:color="auto"/>
        <w:left w:val="none" w:sz="0" w:space="0" w:color="auto"/>
        <w:bottom w:val="none" w:sz="0" w:space="0" w:color="auto"/>
        <w:right w:val="none" w:sz="0" w:space="0" w:color="auto"/>
      </w:divBdr>
    </w:div>
    <w:div w:id="645860288">
      <w:bodyDiv w:val="1"/>
      <w:marLeft w:val="0"/>
      <w:marRight w:val="0"/>
      <w:marTop w:val="0"/>
      <w:marBottom w:val="0"/>
      <w:divBdr>
        <w:top w:val="none" w:sz="0" w:space="0" w:color="auto"/>
        <w:left w:val="none" w:sz="0" w:space="0" w:color="auto"/>
        <w:bottom w:val="none" w:sz="0" w:space="0" w:color="auto"/>
        <w:right w:val="none" w:sz="0" w:space="0" w:color="auto"/>
      </w:divBdr>
    </w:div>
    <w:div w:id="926502667">
      <w:bodyDiv w:val="1"/>
      <w:marLeft w:val="0"/>
      <w:marRight w:val="0"/>
      <w:marTop w:val="0"/>
      <w:marBottom w:val="0"/>
      <w:divBdr>
        <w:top w:val="none" w:sz="0" w:space="0" w:color="auto"/>
        <w:left w:val="none" w:sz="0" w:space="0" w:color="auto"/>
        <w:bottom w:val="none" w:sz="0" w:space="0" w:color="auto"/>
        <w:right w:val="none" w:sz="0" w:space="0" w:color="auto"/>
      </w:divBdr>
    </w:div>
    <w:div w:id="994919802">
      <w:bodyDiv w:val="1"/>
      <w:marLeft w:val="0"/>
      <w:marRight w:val="0"/>
      <w:marTop w:val="0"/>
      <w:marBottom w:val="0"/>
      <w:divBdr>
        <w:top w:val="none" w:sz="0" w:space="0" w:color="auto"/>
        <w:left w:val="none" w:sz="0" w:space="0" w:color="auto"/>
        <w:bottom w:val="none" w:sz="0" w:space="0" w:color="auto"/>
        <w:right w:val="none" w:sz="0" w:space="0" w:color="auto"/>
      </w:divBdr>
    </w:div>
    <w:div w:id="1146623663">
      <w:bodyDiv w:val="1"/>
      <w:marLeft w:val="0"/>
      <w:marRight w:val="0"/>
      <w:marTop w:val="0"/>
      <w:marBottom w:val="0"/>
      <w:divBdr>
        <w:top w:val="none" w:sz="0" w:space="0" w:color="auto"/>
        <w:left w:val="none" w:sz="0" w:space="0" w:color="auto"/>
        <w:bottom w:val="none" w:sz="0" w:space="0" w:color="auto"/>
        <w:right w:val="none" w:sz="0" w:space="0" w:color="auto"/>
      </w:divBdr>
    </w:div>
    <w:div w:id="1554999936">
      <w:bodyDiv w:val="1"/>
      <w:marLeft w:val="0"/>
      <w:marRight w:val="0"/>
      <w:marTop w:val="0"/>
      <w:marBottom w:val="0"/>
      <w:divBdr>
        <w:top w:val="none" w:sz="0" w:space="0" w:color="auto"/>
        <w:left w:val="none" w:sz="0" w:space="0" w:color="auto"/>
        <w:bottom w:val="none" w:sz="0" w:space="0" w:color="auto"/>
        <w:right w:val="none" w:sz="0" w:space="0" w:color="auto"/>
      </w:divBdr>
    </w:div>
    <w:div w:id="2057045594">
      <w:bodyDiv w:val="1"/>
      <w:marLeft w:val="0"/>
      <w:marRight w:val="0"/>
      <w:marTop w:val="0"/>
      <w:marBottom w:val="0"/>
      <w:divBdr>
        <w:top w:val="none" w:sz="0" w:space="0" w:color="auto"/>
        <w:left w:val="none" w:sz="0" w:space="0" w:color="auto"/>
        <w:bottom w:val="none" w:sz="0" w:space="0" w:color="auto"/>
        <w:right w:val="none" w:sz="0" w:space="0" w:color="auto"/>
      </w:divBdr>
      <w:divsChild>
        <w:div w:id="223611367">
          <w:marLeft w:val="0"/>
          <w:marRight w:val="0"/>
          <w:marTop w:val="0"/>
          <w:marBottom w:val="0"/>
          <w:divBdr>
            <w:top w:val="none" w:sz="0" w:space="0" w:color="auto"/>
            <w:left w:val="none" w:sz="0" w:space="0" w:color="auto"/>
            <w:bottom w:val="none" w:sz="0" w:space="0" w:color="auto"/>
            <w:right w:val="none" w:sz="0" w:space="0" w:color="auto"/>
          </w:divBdr>
        </w:div>
        <w:div w:id="660499534">
          <w:marLeft w:val="0"/>
          <w:marRight w:val="0"/>
          <w:marTop w:val="0"/>
          <w:marBottom w:val="0"/>
          <w:divBdr>
            <w:top w:val="none" w:sz="0" w:space="0" w:color="auto"/>
            <w:left w:val="none" w:sz="0" w:space="0" w:color="auto"/>
            <w:bottom w:val="none" w:sz="0" w:space="0" w:color="auto"/>
            <w:right w:val="none" w:sz="0" w:space="0" w:color="auto"/>
          </w:divBdr>
        </w:div>
        <w:div w:id="1688096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ku.edu/graduate/" TargetMode="External"/><Relationship Id="rId13" Type="http://schemas.openxmlformats.org/officeDocument/2006/relationships/hyperlink" Target="https://www.wku.edu/policies/docs/index.php?policy=1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wku.edu/graduate/" TargetMode="External"/><Relationship Id="rId12" Type="http://schemas.openxmlformats.org/officeDocument/2006/relationships/hyperlink" Target="mailto:sarc.connect@wku.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www.wku.edu%2Fhandbook%2Facademic-complaint.php&amp;data=04%7C01%7Ckristen.brewer%40siu.edu%7C35e1b600f7a640fe75bf08d910c930fd%7Cd57a98e7744d43f9bc9108de1ff3710d%7C0%7C0%7C637559278570516553%7CUnknown%7CTWFpbGZsb3d8eyJWIjoiMC4wLjAwMDAiLCJQIjoiV2luMzIiLCJBTiI6Ik1haWwiLCJXVCI6Mn0%3D%7C1000&amp;sdata=yZmLHEKCdwoQc0vypKamDiblqcdr29ut8knMjobGaXo%3D&amp;reserved=0" TargetMode="External"/><Relationship Id="rId5" Type="http://schemas.openxmlformats.org/officeDocument/2006/relationships/footnotes" Target="footnotes.xml"/><Relationship Id="rId15" Type="http://schemas.openxmlformats.org/officeDocument/2006/relationships/hyperlink" Target="https://www.wku.edu/heretohelp/" TargetMode="External"/><Relationship Id="rId10" Type="http://schemas.openxmlformats.org/officeDocument/2006/relationships/hyperlink" Target="https://www.wku.edu/studentconduct/process-for-academic-dishonesty.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m11.safelinks.protection.outlook.com/?url=https%3A%2F%2Fwww.wku.edu%2Fhandbook%2Facademic-dishonesty.php%2F&amp;data=04%7C01%7Ckristen.brewer%40siu.edu%7C35e1b600f7a640fe75bf08d910c930fd%7Cd57a98e7744d43f9bc9108de1ff3710d%7C0%7C0%7C637559278570506555%7CUnknown%7CTWFpbGZsb3d8eyJWIjoiMC4wLjAwMDAiLCJQIjoiV2luMzIiLCJBTiI6Ik1haWwiLCJXVCI6Mn0%3D%7C1000&amp;sdata=Erm1c1PVDhoJbEpcqjnVFr8Aj5u44lip07%2BQrnMGhvg%3D&amp;reserved=0" TargetMode="External"/><Relationship Id="rId14" Type="http://schemas.openxmlformats.org/officeDocument/2006/relationships/hyperlink" Target="http://www.wku.edu/policies/docs/2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1800</Words>
  <Characters>10265</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PHXXX: Course Title</vt:lpstr>
      <vt:lpstr>    Contact Information</vt:lpstr>
      <vt:lpstr>    Pre-requisites </vt:lpstr>
      <vt:lpstr>    Required Text/Materials</vt:lpstr>
      <vt:lpstr>    Course Description</vt:lpstr>
      <vt:lpstr>    Course Goals or Overview</vt:lpstr>
      <vt:lpstr>    Course Objectives</vt:lpstr>
      <vt:lpstr>    Course Assessments</vt:lpstr>
      <vt:lpstr>    Grading</vt:lpstr>
      <vt:lpstr>    Academic Integrity (voted in May 2021 to be used as consistent syllabi statement</vt:lpstr>
      <vt:lpstr>    Diversity, Inclusivity, &amp; Equity (voted in May 2021 to be used as consistent syl</vt:lpstr>
      <vt:lpstr>    ADA Accommodations (Must be used verbatim)</vt:lpstr>
      <vt:lpstr>    Title IX/ Discrimination &amp; Harassment (Must be used verbatim)</vt:lpstr>
      <vt:lpstr>MPH Competencies/</vt:lpstr>
      <vt:lpstr>Foundational Knowledge</vt:lpstr>
      <vt:lpstr>    Course Topics/Schedule</vt:lpstr>
    </vt:vector>
  </TitlesOfParts>
  <Company>Western Kentucky University</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Marilyn</dc:creator>
  <cp:keywords/>
  <dc:description/>
  <cp:lastModifiedBy>Gardner, Marilyn</cp:lastModifiedBy>
  <cp:revision>2</cp:revision>
  <dcterms:created xsi:type="dcterms:W3CDTF">2021-07-20T19:41:00Z</dcterms:created>
  <dcterms:modified xsi:type="dcterms:W3CDTF">2021-08-05T15:18:00Z</dcterms:modified>
</cp:coreProperties>
</file>