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CBB9" w14:textId="1A020284" w:rsidR="00ED4D51" w:rsidRPr="00ED4D51" w:rsidRDefault="00ED4D51" w:rsidP="00ED4D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D4D51">
        <w:rPr>
          <w:rFonts w:asciiTheme="minorHAnsi" w:hAnsiTheme="minorHAnsi" w:cstheme="minorHAnsi"/>
          <w:sz w:val="22"/>
          <w:szCs w:val="22"/>
        </w:rPr>
        <w:t>Minutes February 18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Pr="00ED4D51">
        <w:rPr>
          <w:rFonts w:asciiTheme="minorHAnsi" w:hAnsiTheme="minorHAnsi" w:cstheme="minorHAnsi"/>
          <w:sz w:val="22"/>
          <w:szCs w:val="22"/>
        </w:rPr>
        <w:t xml:space="preserve"> Workday</w:t>
      </w:r>
    </w:p>
    <w:p w14:paraId="3197BC54" w14:textId="77777777" w:rsidR="00ED4D51" w:rsidRDefault="00ED4D51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920DC3" w14:textId="5A275293" w:rsidR="00ED4D51" w:rsidRPr="00ED4D51" w:rsidRDefault="00ED4D51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D51">
        <w:rPr>
          <w:rFonts w:asciiTheme="minorHAnsi" w:hAnsiTheme="minorHAnsi" w:cstheme="minorHAnsi"/>
          <w:sz w:val="22"/>
          <w:szCs w:val="22"/>
        </w:rPr>
        <w:t>In attendance: Brewer, Ding, Eagle, Kim, Gardner, Lartey, Parker</w:t>
      </w:r>
    </w:p>
    <w:p w14:paraId="1A905A79" w14:textId="77777777" w:rsidR="00ED4D51" w:rsidRPr="00ED4D51" w:rsidRDefault="00ED4D51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A3B49D" w14:textId="53A2C65E" w:rsidR="007777E3" w:rsidRDefault="00ED4D51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Brewer/Parker motion to approve </w:t>
      </w:r>
      <w:hyperlink r:id="rId4" w:history="1">
        <w:r w:rsidRPr="00ED4D51">
          <w:rPr>
            <w:rStyle w:val="Hyperlink"/>
            <w:rFonts w:asciiTheme="minorHAnsi" w:hAnsiTheme="minorHAnsi" w:cstheme="minorHAnsi"/>
            <w:sz w:val="22"/>
            <w:szCs w:val="22"/>
          </w:rPr>
          <w:t>minutes</w:t>
        </w:r>
        <w:r w:rsidRPr="00ED4D5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from November </w:t>
        </w:r>
      </w:hyperlink>
      <w:r w:rsidRPr="00ED4D51">
        <w:rPr>
          <w:rFonts w:asciiTheme="minorHAnsi" w:hAnsiTheme="minorHAnsi" w:cstheme="minorHAnsi"/>
          <w:sz w:val="22"/>
          <w:szCs w:val="22"/>
        </w:rPr>
        <w:t>2021</w:t>
      </w:r>
      <w:r w:rsidR="007777E3">
        <w:rPr>
          <w:rFonts w:asciiTheme="minorHAnsi" w:hAnsiTheme="minorHAnsi" w:cstheme="minorHAnsi"/>
          <w:sz w:val="22"/>
          <w:szCs w:val="22"/>
        </w:rPr>
        <w:t xml:space="preserve"> meeting.  Lartey reports no action yet in name change for PH 100 but will do so when she can.  Motion passed unanimously.</w:t>
      </w:r>
    </w:p>
    <w:p w14:paraId="790897AF" w14:textId="1166222A" w:rsidR="007777E3" w:rsidRDefault="007777E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A18428" w14:textId="142108BC" w:rsidR="00ED4D51" w:rsidRDefault="007777E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Eagle/Brewer motion to approve</w:t>
      </w:r>
      <w:r w:rsidR="00ED4D51" w:rsidRPr="00ED4D5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January addendum 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which covered </w:t>
      </w:r>
      <w:r w:rsidR="00ED4D51" w:rsidRPr="00ED4D51">
        <w:rPr>
          <w:rFonts w:asciiTheme="minorHAnsi" w:hAnsiTheme="minorHAnsi" w:cstheme="minorHAnsi"/>
          <w:sz w:val="22"/>
          <w:szCs w:val="22"/>
        </w:rPr>
        <w:t>MPH course changes voted in via email</w:t>
      </w:r>
      <w:r>
        <w:rPr>
          <w:rFonts w:asciiTheme="minorHAnsi" w:hAnsiTheme="minorHAnsi" w:cstheme="minorHAnsi"/>
          <w:sz w:val="22"/>
          <w:szCs w:val="22"/>
        </w:rPr>
        <w:t>. No discussion. Motion passed unanimously.</w:t>
      </w:r>
    </w:p>
    <w:p w14:paraId="5258D662" w14:textId="77777777" w:rsidR="007777E3" w:rsidRPr="00ED4D51" w:rsidRDefault="007777E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0D74BCF" w14:textId="77777777" w:rsidR="00231A75" w:rsidRDefault="007777E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Lartey had no </w:t>
      </w:r>
      <w:r w:rsidR="00ED4D51" w:rsidRPr="00ED4D51">
        <w:rPr>
          <w:rFonts w:asciiTheme="minorHAnsi" w:hAnsiTheme="minorHAnsi" w:cstheme="minorHAnsi"/>
          <w:sz w:val="22"/>
          <w:szCs w:val="22"/>
        </w:rPr>
        <w:t>BSPH</w:t>
      </w:r>
      <w:r>
        <w:rPr>
          <w:rFonts w:asciiTheme="minorHAnsi" w:hAnsiTheme="minorHAnsi" w:cstheme="minorHAnsi"/>
          <w:sz w:val="22"/>
          <w:szCs w:val="22"/>
        </w:rPr>
        <w:t xml:space="preserve"> report; will summarize activities for March meeting. Gardner briefly discussed </w:t>
      </w:r>
      <w:hyperlink r:id="rId6" w:history="1"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>MPH  </w:t>
        </w:r>
      </w:hyperlink>
      <w:r>
        <w:rPr>
          <w:rFonts w:asciiTheme="minorHAnsi" w:hAnsiTheme="minorHAnsi" w:cstheme="minorHAnsi"/>
          <w:sz w:val="22"/>
          <w:szCs w:val="22"/>
        </w:rPr>
        <w:t xml:space="preserve">report. </w:t>
      </w:r>
    </w:p>
    <w:p w14:paraId="5E1C7052" w14:textId="77777777" w:rsidR="00231A75" w:rsidRDefault="00231A75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5B61FF" w14:textId="64178315" w:rsidR="00ED4D51" w:rsidRDefault="00231A75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Eagle/Parker motion to approve </w:t>
      </w:r>
      <w:r w:rsidR="00ED4D51" w:rsidRPr="00ED4D51">
        <w:rPr>
          <w:rFonts w:asciiTheme="minorHAnsi" w:hAnsiTheme="minorHAnsi" w:cstheme="minorHAnsi"/>
          <w:sz w:val="22"/>
          <w:szCs w:val="22"/>
        </w:rPr>
        <w:t xml:space="preserve"> MPH Curriculum Committee</w:t>
      </w:r>
      <w:r>
        <w:rPr>
          <w:rFonts w:asciiTheme="minorHAnsi" w:hAnsiTheme="minorHAnsi" w:cstheme="minorHAnsi"/>
          <w:sz w:val="22"/>
          <w:szCs w:val="22"/>
        </w:rPr>
        <w:t>s</w:t>
      </w:r>
      <w:r w:rsidR="00ED4D51" w:rsidRPr="00ED4D51">
        <w:rPr>
          <w:rFonts w:asciiTheme="minorHAnsi" w:hAnsiTheme="minorHAnsi" w:cstheme="minorHAnsi"/>
          <w:sz w:val="22"/>
          <w:szCs w:val="22"/>
        </w:rPr>
        <w:t> </w:t>
      </w:r>
      <w:hyperlink r:id="rId7" w:history="1"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inutes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from </w:t>
        </w:r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>12/3/21;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inutes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from </w:t>
        </w:r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>1/18/22</w:t>
        </w:r>
      </w:hyperlink>
      <w:r>
        <w:rPr>
          <w:rFonts w:asciiTheme="minorHAnsi" w:hAnsiTheme="minorHAnsi" w:cstheme="minorHAnsi"/>
          <w:sz w:val="22"/>
          <w:szCs w:val="22"/>
        </w:rPr>
        <w:t>.  No discussion. Passed unanimously.</w:t>
      </w:r>
    </w:p>
    <w:p w14:paraId="6DE04A9B" w14:textId="77777777" w:rsidR="00231A75" w:rsidRDefault="00231A75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200AB7" w14:textId="7DA05095" w:rsidR="00ED4D51" w:rsidRDefault="00231A75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Gardner stated that the </w:t>
      </w:r>
      <w:r w:rsidR="00ED4D51" w:rsidRPr="00ED4D51">
        <w:rPr>
          <w:rFonts w:asciiTheme="minorHAnsi" w:hAnsiTheme="minorHAnsi" w:cstheme="minorHAnsi"/>
          <w:sz w:val="22"/>
          <w:szCs w:val="22"/>
        </w:rPr>
        <w:t xml:space="preserve">spring 2022 syllabi review for MPH &amp; BSPH </w:t>
      </w:r>
      <w:r>
        <w:rPr>
          <w:rFonts w:asciiTheme="minorHAnsi" w:hAnsiTheme="minorHAnsi" w:cstheme="minorHAnsi"/>
          <w:sz w:val="22"/>
          <w:szCs w:val="22"/>
        </w:rPr>
        <w:t xml:space="preserve">had been completed and were </w:t>
      </w:r>
      <w:r w:rsidR="00ED4D51" w:rsidRPr="00ED4D51">
        <w:rPr>
          <w:rFonts w:asciiTheme="minorHAnsi" w:hAnsiTheme="minorHAnsi" w:cstheme="minorHAnsi"/>
          <w:sz w:val="22"/>
          <w:szCs w:val="22"/>
        </w:rPr>
        <w:t>in shared drive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231A75">
        <w:rPr>
          <w:rFonts w:asciiTheme="minorHAnsi" w:hAnsiTheme="minorHAnsi" w:cstheme="minorHAnsi"/>
          <w:color w:val="C00000"/>
          <w:sz w:val="22"/>
          <w:szCs w:val="22"/>
        </w:rPr>
        <w:t xml:space="preserve">Faculty are to review findings and revise syllabi accordingly for fall.  </w:t>
      </w:r>
      <w:r>
        <w:rPr>
          <w:rFonts w:asciiTheme="minorHAnsi" w:hAnsiTheme="minorHAnsi" w:cstheme="minorHAnsi"/>
          <w:sz w:val="22"/>
          <w:szCs w:val="22"/>
        </w:rPr>
        <w:t>Gardner stated the MPH program voted an 80% minimum threshold for higher-order objectives.</w:t>
      </w:r>
    </w:p>
    <w:p w14:paraId="0A4071F9" w14:textId="77777777" w:rsidR="00231A75" w:rsidRPr="00ED4D51" w:rsidRDefault="00231A75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4F1BF6" w14:textId="2FA20879" w:rsidR="00ED4D51" w:rsidRDefault="00231A75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Lartey delivered </w:t>
      </w:r>
      <w:hyperlink r:id="rId9" w:history="1"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>PHUGAS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report.  With Adams leaving, there is gap</w:t>
      </w:r>
      <w:r w:rsidR="00BE2B83">
        <w:rPr>
          <w:rFonts w:asciiTheme="minorHAnsi" w:hAnsiTheme="minorHAnsi" w:cstheme="minorHAnsi"/>
          <w:sz w:val="22"/>
          <w:szCs w:val="22"/>
        </w:rPr>
        <w:t xml:space="preserve"> in leadership. Lartey stated </w:t>
      </w:r>
      <w:r w:rsidR="00C02038">
        <w:rPr>
          <w:rFonts w:asciiTheme="minorHAnsi" w:hAnsiTheme="minorHAnsi" w:cstheme="minorHAnsi"/>
          <w:sz w:val="22"/>
          <w:szCs w:val="22"/>
        </w:rPr>
        <w:t>she needs to step down as faculty sponsor. Discussion ensued about ways to improve participation at both the MPH and BSPH levels including embedding in courses and creating PHUGAS website</w:t>
      </w:r>
      <w:r w:rsidR="00C02038" w:rsidRPr="007E5D68">
        <w:rPr>
          <w:rFonts w:asciiTheme="minorHAnsi" w:hAnsiTheme="minorHAnsi" w:cstheme="minorHAnsi"/>
          <w:color w:val="C00000"/>
          <w:sz w:val="22"/>
          <w:szCs w:val="22"/>
        </w:rPr>
        <w:t>. Gardner will check with IT about ability of org site to blast to classes</w:t>
      </w:r>
      <w:r w:rsidR="00C02038">
        <w:rPr>
          <w:rFonts w:asciiTheme="minorHAnsi" w:hAnsiTheme="minorHAnsi" w:cstheme="minorHAnsi"/>
          <w:sz w:val="22"/>
          <w:szCs w:val="22"/>
        </w:rPr>
        <w:t>. She will also temporarily take over as faculty sponsor.</w:t>
      </w:r>
    </w:p>
    <w:p w14:paraId="762BD662" w14:textId="77777777" w:rsidR="00C02038" w:rsidRPr="00ED4D51" w:rsidRDefault="00C02038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F07CEB" w14:textId="64296B0A" w:rsidR="00ED4D51" w:rsidRDefault="00C02038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Lartey gave</w:t>
      </w:r>
      <w:r w:rsidR="00ED4D51" w:rsidRPr="00ED4D51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D4D51" w:rsidRPr="00ED4D51">
          <w:rPr>
            <w:rStyle w:val="Hyperlink"/>
            <w:rFonts w:asciiTheme="minorHAnsi" w:hAnsiTheme="minorHAnsi" w:cstheme="minorHAnsi"/>
            <w:sz w:val="22"/>
            <w:szCs w:val="22"/>
          </w:rPr>
          <w:t>KPHA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report. Executive committee met last to discuss project for this year. Will not be able to compete in KPHA student chapter award, as they were inactive last year.</w:t>
      </w:r>
    </w:p>
    <w:p w14:paraId="23FC5D57" w14:textId="77777777" w:rsidR="00C02038" w:rsidRPr="00ED4D51" w:rsidRDefault="00C02038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32C30C" w14:textId="05F55A02" w:rsidR="00ED4D51" w:rsidRDefault="005B17A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Eagle discussed the potential for program involvement with the BRITE coalition. Local data are </w:t>
      </w:r>
      <w:proofErr w:type="gramStart"/>
      <w:r>
        <w:rPr>
          <w:rFonts w:asciiTheme="minorHAnsi" w:hAnsiTheme="minorHAnsi" w:cstheme="minorHAnsi"/>
          <w:sz w:val="22"/>
          <w:szCs w:val="22"/>
        </w:rPr>
        <w:t>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a health equity workgroup is being discussed. Initiatives may provide opportunities for embedded </w:t>
      </w:r>
      <w:proofErr w:type="spellStart"/>
      <w:r>
        <w:rPr>
          <w:rFonts w:asciiTheme="minorHAnsi" w:hAnsiTheme="minorHAnsi" w:cstheme="minorHAnsi"/>
          <w:sz w:val="22"/>
          <w:szCs w:val="22"/>
        </w:rPr>
        <w:t>GrAPEs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08AA22B" w14:textId="517C223D" w:rsidR="005B17A3" w:rsidRDefault="005B17A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23A571A" w14:textId="3F11A7EE" w:rsidR="005B17A3" w:rsidRDefault="005B17A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Brewer </w:t>
      </w:r>
      <w:r w:rsidR="007E5D68">
        <w:rPr>
          <w:rFonts w:asciiTheme="minorHAnsi" w:hAnsiTheme="minorHAnsi" w:cstheme="minorHAnsi"/>
          <w:sz w:val="22"/>
          <w:szCs w:val="22"/>
        </w:rPr>
        <w:t>announced</w:t>
      </w:r>
      <w:r>
        <w:rPr>
          <w:rFonts w:asciiTheme="minorHAnsi" w:hAnsiTheme="minorHAnsi" w:cstheme="minorHAnsi"/>
          <w:sz w:val="22"/>
          <w:szCs w:val="22"/>
        </w:rPr>
        <w:t xml:space="preserve"> PH 575 students will have a booth at Healthy Days as part of their embedded </w:t>
      </w:r>
      <w:proofErr w:type="spellStart"/>
      <w:r>
        <w:rPr>
          <w:rFonts w:asciiTheme="minorHAnsi" w:hAnsiTheme="minorHAnsi" w:cstheme="minorHAnsi"/>
          <w:sz w:val="22"/>
          <w:szCs w:val="22"/>
        </w:rPr>
        <w:t>GrAPE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 Kentucky Cancer.</w:t>
      </w:r>
    </w:p>
    <w:p w14:paraId="42763682" w14:textId="77777777" w:rsidR="005B17A3" w:rsidRPr="00ED4D51" w:rsidRDefault="005B17A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E8E136" w14:textId="3E518FEC" w:rsidR="00ED4D51" w:rsidRDefault="005B17A3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Eagle discussed the </w:t>
      </w:r>
      <w:hyperlink r:id="rId11" w:history="1">
        <w:r w:rsidR="00ED4D51" w:rsidRPr="005B17A3">
          <w:rPr>
            <w:rStyle w:val="Hyperlink"/>
            <w:rFonts w:asciiTheme="minorHAnsi" w:hAnsiTheme="minorHAnsi" w:cstheme="minorHAnsi"/>
            <w:sz w:val="22"/>
            <w:szCs w:val="22"/>
          </w:rPr>
          <w:t>Racial Wealth Gap Learning Simulation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4520F">
        <w:rPr>
          <w:rFonts w:asciiTheme="minorHAnsi" w:hAnsiTheme="minorHAnsi" w:cstheme="minorHAnsi"/>
          <w:color w:val="C00000"/>
          <w:sz w:val="22"/>
          <w:szCs w:val="22"/>
        </w:rPr>
        <w:t xml:space="preserve">We will look </w:t>
      </w:r>
      <w:r w:rsidR="00800934">
        <w:rPr>
          <w:rFonts w:asciiTheme="minorHAnsi" w:hAnsiTheme="minorHAnsi" w:cstheme="minorHAnsi"/>
          <w:color w:val="C00000"/>
          <w:sz w:val="22"/>
          <w:szCs w:val="22"/>
        </w:rPr>
        <w:t>at</w:t>
      </w:r>
      <w:r w:rsidRPr="0054520F">
        <w:rPr>
          <w:rFonts w:asciiTheme="minorHAnsi" w:hAnsiTheme="minorHAnsi" w:cstheme="minorHAnsi"/>
          <w:color w:val="C00000"/>
          <w:sz w:val="22"/>
          <w:szCs w:val="22"/>
        </w:rPr>
        <w:t xml:space="preserve"> potentially holding a simulation in AY 2</w:t>
      </w:r>
      <w:r w:rsidR="0054520F" w:rsidRPr="0054520F">
        <w:rPr>
          <w:rFonts w:asciiTheme="minorHAnsi" w:hAnsiTheme="minorHAnsi" w:cstheme="minorHAnsi"/>
          <w:color w:val="C00000"/>
          <w:sz w:val="22"/>
          <w:szCs w:val="22"/>
        </w:rPr>
        <w:t>2-23.</w:t>
      </w:r>
      <w:r w:rsidR="0054520F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76542D52" w14:textId="77777777" w:rsidR="0054520F" w:rsidRPr="0054520F" w:rsidRDefault="0054520F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</w:p>
    <w:p w14:paraId="6214B7BF" w14:textId="7AEBA50D" w:rsidR="00ED4D51" w:rsidRDefault="00ED4D51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D51">
        <w:rPr>
          <w:rFonts w:asciiTheme="minorHAnsi" w:hAnsiTheme="minorHAnsi" w:cstheme="minorHAnsi"/>
          <w:sz w:val="22"/>
          <w:szCs w:val="22"/>
        </w:rPr>
        <w:t> </w:t>
      </w:r>
      <w:r w:rsidR="00800934">
        <w:rPr>
          <w:rFonts w:asciiTheme="minorHAnsi" w:hAnsiTheme="minorHAnsi" w:cstheme="minorHAnsi"/>
          <w:sz w:val="22"/>
          <w:szCs w:val="22"/>
        </w:rPr>
        <w:t xml:space="preserve">Parker </w:t>
      </w:r>
      <w:r w:rsidR="007E5D68">
        <w:rPr>
          <w:rFonts w:asciiTheme="minorHAnsi" w:hAnsiTheme="minorHAnsi" w:cstheme="minorHAnsi"/>
          <w:sz w:val="22"/>
          <w:szCs w:val="22"/>
        </w:rPr>
        <w:t>announced HIV testing 8a-12p on March 29</w:t>
      </w:r>
      <w:r w:rsidR="007E5D68" w:rsidRPr="007E5D6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E5D68">
        <w:rPr>
          <w:rFonts w:asciiTheme="minorHAnsi" w:hAnsiTheme="minorHAnsi" w:cstheme="minorHAnsi"/>
          <w:sz w:val="22"/>
          <w:szCs w:val="22"/>
        </w:rPr>
        <w:t>. Faculty are encouraged to announce and attend.</w:t>
      </w:r>
    </w:p>
    <w:p w14:paraId="3D27E93F" w14:textId="3F2BE3BD" w:rsidR="007E5D68" w:rsidRDefault="007E5D68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CC98F0" w14:textId="68601633" w:rsidR="007E5D68" w:rsidRPr="00757542" w:rsidRDefault="008C3E04" w:rsidP="00ED4D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MPH competency alignments were discussed at length.  </w:t>
      </w:r>
      <w:r w:rsidRPr="008C3E04">
        <w:rPr>
          <w:rFonts w:asciiTheme="minorHAnsi" w:hAnsiTheme="minorHAnsi" w:cstheme="minorHAnsi"/>
          <w:color w:val="C00000"/>
          <w:sz w:val="22"/>
          <w:szCs w:val="22"/>
        </w:rPr>
        <w:t>Gardner will check with CEPH to clarify interpretations of competencies 3, 4, and 10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757542">
        <w:rPr>
          <w:rFonts w:asciiTheme="minorHAnsi" w:hAnsiTheme="minorHAnsi" w:cstheme="minorHAnsi"/>
          <w:sz w:val="22"/>
          <w:szCs w:val="22"/>
        </w:rPr>
        <w:t>Several alignments need content and/or assessment clarification</w:t>
      </w:r>
      <w:r w:rsidR="00AF1DF8">
        <w:rPr>
          <w:rFonts w:asciiTheme="minorHAnsi" w:hAnsiTheme="minorHAnsi" w:cstheme="minorHAnsi"/>
          <w:sz w:val="22"/>
          <w:szCs w:val="22"/>
        </w:rPr>
        <w:t xml:space="preserve"> (see attached). </w:t>
      </w:r>
      <w:r w:rsidR="00757542">
        <w:rPr>
          <w:rFonts w:asciiTheme="minorHAnsi" w:hAnsiTheme="minorHAnsi" w:cstheme="minorHAnsi"/>
          <w:color w:val="C00000"/>
          <w:sz w:val="22"/>
          <w:szCs w:val="22"/>
        </w:rPr>
        <w:t>Faculty will make necessary revisions</w:t>
      </w:r>
      <w:r w:rsidR="00AF1DF8">
        <w:rPr>
          <w:rFonts w:asciiTheme="minorHAnsi" w:hAnsiTheme="minorHAnsi" w:cstheme="minorHAnsi"/>
          <w:color w:val="C00000"/>
          <w:sz w:val="22"/>
          <w:szCs w:val="22"/>
        </w:rPr>
        <w:t xml:space="preserve"> prior to end of semester. </w:t>
      </w:r>
    </w:p>
    <w:p w14:paraId="00F8A178" w14:textId="4940891B" w:rsidR="000028F6" w:rsidRDefault="000028F6" w:rsidP="00ED4D51">
      <w:pPr>
        <w:spacing w:after="0" w:line="240" w:lineRule="auto"/>
        <w:rPr>
          <w:rFonts w:cstheme="minorHAnsi"/>
        </w:rPr>
      </w:pPr>
    </w:p>
    <w:p w14:paraId="320C7A30" w14:textId="401637B8" w:rsidR="00C501ED" w:rsidRDefault="00AF1DF8" w:rsidP="00C501ED">
      <w:pPr>
        <w:spacing w:after="0" w:line="240" w:lineRule="auto"/>
        <w:rPr>
          <w:rFonts w:cstheme="minorHAnsi"/>
          <w:color w:val="C00000"/>
        </w:rPr>
      </w:pPr>
      <w:r>
        <w:rPr>
          <w:rFonts w:cstheme="minorHAnsi"/>
        </w:rPr>
        <w:t xml:space="preserve">Gardner suggested substantial revisions to BSPH alignments (384 and 385 excluded) before moving forward with review. </w:t>
      </w:r>
      <w:r w:rsidRPr="00AF1DF8">
        <w:rPr>
          <w:rFonts w:cstheme="minorHAnsi"/>
          <w:color w:val="C00000"/>
        </w:rPr>
        <w:t>Lartey set April 1</w:t>
      </w:r>
      <w:r w:rsidRPr="00AF1DF8">
        <w:rPr>
          <w:rFonts w:cstheme="minorHAnsi"/>
          <w:color w:val="C00000"/>
          <w:vertAlign w:val="superscript"/>
        </w:rPr>
        <w:t>st</w:t>
      </w:r>
      <w:r w:rsidRPr="00AF1DF8">
        <w:rPr>
          <w:rFonts w:cstheme="minorHAnsi"/>
          <w:color w:val="C00000"/>
        </w:rPr>
        <w:t xml:space="preserve"> deadline for revisions.</w:t>
      </w:r>
      <w:r>
        <w:rPr>
          <w:rFonts w:cstheme="minorHAnsi"/>
          <w:color w:val="C00000"/>
        </w:rPr>
        <w:t xml:space="preserve"> </w:t>
      </w:r>
      <w:r w:rsidR="00C501ED">
        <w:rPr>
          <w:rFonts w:cstheme="minorHAnsi"/>
          <w:color w:val="C00000"/>
        </w:rPr>
        <w:t xml:space="preserve"> </w:t>
      </w:r>
      <w:r w:rsidR="00C501ED">
        <w:rPr>
          <w:rFonts w:cstheme="minorHAnsi"/>
        </w:rPr>
        <w:t>Workday will be held after end of spring semester for BSPH review</w:t>
      </w:r>
      <w:r w:rsidR="00C501ED">
        <w:rPr>
          <w:rFonts w:cstheme="minorHAnsi"/>
          <w:color w:val="C00000"/>
        </w:rPr>
        <w:br w:type="page"/>
      </w:r>
    </w:p>
    <w:p w14:paraId="4E9AC4A5" w14:textId="7910BBC4" w:rsidR="00C501ED" w:rsidRDefault="00C501ED" w:rsidP="00ED4D51">
      <w:pPr>
        <w:spacing w:after="0" w:line="240" w:lineRule="auto"/>
        <w:rPr>
          <w:rFonts w:cstheme="minorHAnsi"/>
          <w:color w:val="C00000"/>
        </w:rPr>
        <w:sectPr w:rsidR="00C501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76DE90" w14:textId="77777777" w:rsidR="00C501ED" w:rsidRDefault="00C501ED" w:rsidP="00C501ED">
      <w:pPr>
        <w:pStyle w:val="Header"/>
      </w:pPr>
      <w:r>
        <w:lastRenderedPageBreak/>
        <w:t>Green fill = met at 100%; no changes needed</w:t>
      </w:r>
    </w:p>
    <w:p w14:paraId="4544EE03" w14:textId="77777777" w:rsidR="00C501ED" w:rsidRDefault="00C501ED" w:rsidP="00C501ED">
      <w:pPr>
        <w:pStyle w:val="Header"/>
      </w:pPr>
      <w:r>
        <w:t>Blue highlights = revisions required per discussion</w:t>
      </w:r>
    </w:p>
    <w:p w14:paraId="006BCFAC" w14:textId="77777777" w:rsidR="00C501ED" w:rsidRDefault="00C501ED" w:rsidP="00C501ED">
      <w:pPr>
        <w:pStyle w:val="Header"/>
      </w:pPr>
      <w:r>
        <w:t>Yellow highlights = revisions pending info from CEPH</w:t>
      </w:r>
    </w:p>
    <w:p w14:paraId="430AA026" w14:textId="77777777" w:rsidR="00C501ED" w:rsidRDefault="00C501ED" w:rsidP="00C501ED"/>
    <w:tbl>
      <w:tblPr>
        <w:tblStyle w:val="TableGrid"/>
        <w:tblW w:w="14670" w:type="dxa"/>
        <w:tblInd w:w="-185" w:type="dxa"/>
        <w:tblLayout w:type="fixed"/>
        <w:tblLook w:val="0620" w:firstRow="1" w:lastRow="0" w:firstColumn="0" w:lastColumn="0" w:noHBand="1" w:noVBand="1"/>
        <w:tblCaption w:val="MPH Competencies"/>
        <w:tblDescription w:val="This two column table lists the 27 competencies that guide the MPH program in the left column.  The right column identifies the course objective numbers that correspond to the competency."/>
      </w:tblPr>
      <w:tblGrid>
        <w:gridCol w:w="909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C501ED" w:rsidRPr="005606BE" w14:paraId="2CFB4AB9" w14:textId="77777777" w:rsidTr="00C407B1">
        <w:trPr>
          <w:trHeight w:val="287"/>
        </w:trPr>
        <w:tc>
          <w:tcPr>
            <w:tcW w:w="9090" w:type="dxa"/>
            <w:shd w:val="clear" w:color="auto" w:fill="D0CECE" w:themeFill="background2" w:themeFillShade="E6"/>
          </w:tcPr>
          <w:p w14:paraId="09AEA129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MPH COMPETENCY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B694830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10305F1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C07EAB5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6C3FAC4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7782951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7D5C26C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E907357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6A59CBC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A7AA0C0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D75D863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6D2A4413" w14:textId="77777777" w:rsidTr="00C407B1">
        <w:trPr>
          <w:trHeight w:val="287"/>
        </w:trPr>
        <w:tc>
          <w:tcPr>
            <w:tcW w:w="9090" w:type="dxa"/>
            <w:shd w:val="clear" w:color="auto" w:fill="D0CECE" w:themeFill="background2" w:themeFillShade="E6"/>
          </w:tcPr>
          <w:p w14:paraId="3F6E5F5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Evidence-based Approaches to Public Health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84B848A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Biostats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4285B0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Org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B380A09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Plan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FE5B87D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</w:p>
        </w:tc>
        <w:tc>
          <w:tcPr>
            <w:tcW w:w="540" w:type="dxa"/>
            <w:shd w:val="clear" w:color="auto" w:fill="D0CECE" w:themeFill="background2" w:themeFillShade="E6"/>
          </w:tcPr>
          <w:p w14:paraId="4AE3563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E7089A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M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E5C97B2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1342F9B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 He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A12F9AB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</w:t>
            </w:r>
            <w:proofErr w:type="spellStart"/>
            <w:r>
              <w:rPr>
                <w:sz w:val="20"/>
                <w:szCs w:val="20"/>
              </w:rPr>
              <w:t>Behav</w:t>
            </w:r>
            <w:proofErr w:type="spellEnd"/>
          </w:p>
        </w:tc>
        <w:tc>
          <w:tcPr>
            <w:tcW w:w="630" w:type="dxa"/>
            <w:shd w:val="clear" w:color="auto" w:fill="D0CECE" w:themeFill="background2" w:themeFillShade="E6"/>
          </w:tcPr>
          <w:p w14:paraId="6500DCFA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 Eval</w:t>
            </w:r>
          </w:p>
        </w:tc>
      </w:tr>
      <w:tr w:rsidR="00C501ED" w:rsidRPr="005606BE" w14:paraId="2246F5BE" w14:textId="77777777" w:rsidTr="00C407B1">
        <w:tc>
          <w:tcPr>
            <w:tcW w:w="9090" w:type="dxa"/>
          </w:tcPr>
          <w:p w14:paraId="09828444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1. Apply epidemiological methods to the breadth of settings and situations in public health practice </w:t>
            </w:r>
          </w:p>
        </w:tc>
        <w:tc>
          <w:tcPr>
            <w:tcW w:w="630" w:type="dxa"/>
          </w:tcPr>
          <w:p w14:paraId="6F18E5D0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93556D9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518717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B86968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B06B8E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C1B304F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  <w:shd w:val="clear" w:color="auto" w:fill="92D050"/>
          </w:tcPr>
          <w:p w14:paraId="0A18F4C9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A736B54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E96B14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BDB7F4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1ED" w:rsidRPr="005606BE" w14:paraId="50F27750" w14:textId="77777777" w:rsidTr="00C407B1">
        <w:tc>
          <w:tcPr>
            <w:tcW w:w="9090" w:type="dxa"/>
          </w:tcPr>
          <w:p w14:paraId="174E354B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2. Select quantitative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(QN) 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>and qualitative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(QL)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 xml:space="preserve"> data collection methods appropriate for a given public health context</w:t>
            </w:r>
          </w:p>
          <w:p w14:paraId="2E5F4BB9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Methods: interviewing, focus groups</w:t>
            </w:r>
          </w:p>
        </w:tc>
        <w:tc>
          <w:tcPr>
            <w:tcW w:w="630" w:type="dxa"/>
          </w:tcPr>
          <w:p w14:paraId="18E8CB01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</w:t>
            </w:r>
          </w:p>
        </w:tc>
        <w:tc>
          <w:tcPr>
            <w:tcW w:w="540" w:type="dxa"/>
          </w:tcPr>
          <w:p w14:paraId="35C0B430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CD7293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  <w:p w14:paraId="30B142C7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Segoe UI Symbol" w:hAnsi="Segoe UI Symbol"/>
                <w:sz w:val="20"/>
                <w:szCs w:val="20"/>
              </w:rPr>
              <w:t>foc</w:t>
            </w:r>
            <w:proofErr w:type="spellEnd"/>
          </w:p>
        </w:tc>
        <w:tc>
          <w:tcPr>
            <w:tcW w:w="540" w:type="dxa"/>
          </w:tcPr>
          <w:p w14:paraId="1B5B89D0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C2A8E9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43D6BCE6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  <w:p w14:paraId="20199D9F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int</w:t>
            </w:r>
          </w:p>
        </w:tc>
        <w:tc>
          <w:tcPr>
            <w:tcW w:w="540" w:type="dxa"/>
          </w:tcPr>
          <w:p w14:paraId="11C09CFA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52EFD9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9C8272E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93F744" w14:textId="77777777" w:rsidR="00C501ED" w:rsidRDefault="00C501ED" w:rsidP="00C407B1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  <w:p w14:paraId="5D81A060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="Segoe UI Symbol" w:hAnsi="Segoe UI Symbol"/>
                <w:sz w:val="20"/>
                <w:szCs w:val="20"/>
              </w:rPr>
              <w:t>foc</w:t>
            </w:r>
            <w:proofErr w:type="spellEnd"/>
          </w:p>
        </w:tc>
      </w:tr>
      <w:tr w:rsidR="00C501ED" w:rsidRPr="005606BE" w14:paraId="007D25CC" w14:textId="77777777" w:rsidTr="00C407B1">
        <w:tc>
          <w:tcPr>
            <w:tcW w:w="9090" w:type="dxa"/>
          </w:tcPr>
          <w:p w14:paraId="00D81C3F" w14:textId="77777777" w:rsidR="00C501ED" w:rsidRPr="00D354A3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4616BE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Analyze 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 xml:space="preserve">quantitative </w:t>
            </w:r>
            <w:r w:rsidRPr="00D354A3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and qualitative data 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 xml:space="preserve">using biostatistics, informatics, computer-based programming and software, as appropriate 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>NOTE: Students do not get exposure to qualitative software</w:t>
            </w:r>
          </w:p>
        </w:tc>
        <w:tc>
          <w:tcPr>
            <w:tcW w:w="630" w:type="dxa"/>
            <w:shd w:val="clear" w:color="auto" w:fill="92D050"/>
          </w:tcPr>
          <w:p w14:paraId="7DC04ABD" w14:textId="77777777" w:rsidR="00C501ED" w:rsidRPr="00A42BDF" w:rsidRDefault="00C501ED" w:rsidP="00C407B1">
            <w:pPr>
              <w:pStyle w:val="xdefault"/>
              <w:spacing w:before="0" w:beforeAutospacing="0" w:after="0" w:afterAutospacing="0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QN, soft</w:t>
            </w:r>
          </w:p>
        </w:tc>
        <w:tc>
          <w:tcPr>
            <w:tcW w:w="540" w:type="dxa"/>
          </w:tcPr>
          <w:p w14:paraId="55003B28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EA54B6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C0822A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4E5A00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8DF9C8D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43D9">
              <w:rPr>
                <w:rFonts w:ascii="Segoe UI Symbol" w:hAnsi="Segoe UI Symbol"/>
                <w:sz w:val="20"/>
                <w:szCs w:val="20"/>
                <w:highlight w:val="yellow"/>
              </w:rPr>
              <w:t>✓ QL</w:t>
            </w:r>
          </w:p>
        </w:tc>
        <w:tc>
          <w:tcPr>
            <w:tcW w:w="540" w:type="dxa"/>
          </w:tcPr>
          <w:p w14:paraId="05858C17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5C110A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069FCC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2D35FE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B43D9">
              <w:rPr>
                <w:rFonts w:ascii="Segoe UI Symbol" w:hAnsi="Segoe UI Symbol"/>
                <w:sz w:val="20"/>
                <w:szCs w:val="20"/>
                <w:highlight w:val="yellow"/>
              </w:rPr>
              <w:t>✓ QN,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soft</w:t>
            </w:r>
          </w:p>
        </w:tc>
      </w:tr>
      <w:tr w:rsidR="00C501ED" w:rsidRPr="005606BE" w14:paraId="056843E0" w14:textId="77777777" w:rsidTr="00C407B1">
        <w:tc>
          <w:tcPr>
            <w:tcW w:w="9090" w:type="dxa"/>
          </w:tcPr>
          <w:p w14:paraId="5C1FB263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4. Interpret results of data analysis </w:t>
            </w:r>
            <w:r w:rsidRPr="0081687B">
              <w:rPr>
                <w:rFonts w:asciiTheme="minorHAnsi" w:hAnsiTheme="minorHAnsi"/>
                <w:sz w:val="20"/>
                <w:szCs w:val="20"/>
                <w:highlight w:val="yellow"/>
              </w:rPr>
              <w:t>for public health research, policy or practice</w:t>
            </w:r>
            <w:r w:rsidRPr="005606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70B7168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yellow"/>
              </w:rPr>
              <w:t>✓ QN</w:t>
            </w:r>
          </w:p>
        </w:tc>
        <w:tc>
          <w:tcPr>
            <w:tcW w:w="540" w:type="dxa"/>
          </w:tcPr>
          <w:p w14:paraId="1D0A883D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193D64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E764D4">
              <w:rPr>
                <w:rFonts w:ascii="Segoe UI Symbol" w:hAnsi="Segoe UI Symbol"/>
                <w:color w:val="C00000"/>
                <w:sz w:val="20"/>
                <w:szCs w:val="20"/>
                <w:highlight w:val="yellow"/>
              </w:rPr>
              <w:t>✓ QL</w:t>
            </w:r>
          </w:p>
        </w:tc>
        <w:tc>
          <w:tcPr>
            <w:tcW w:w="540" w:type="dxa"/>
          </w:tcPr>
          <w:p w14:paraId="3B54E5C4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FF7222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5CCA6BB3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929AB3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yellow"/>
              </w:rPr>
              <w:t>✓ QN</w:t>
            </w:r>
          </w:p>
        </w:tc>
        <w:tc>
          <w:tcPr>
            <w:tcW w:w="540" w:type="dxa"/>
          </w:tcPr>
          <w:p w14:paraId="7F45BBB6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3F2A88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5F4F6F28" w14:textId="77777777" w:rsidR="00C501ED" w:rsidRPr="005606BE" w:rsidRDefault="00C501ED" w:rsidP="00C407B1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 QN</w:t>
            </w:r>
          </w:p>
        </w:tc>
      </w:tr>
      <w:tr w:rsidR="00C501ED" w:rsidRPr="005606BE" w14:paraId="53D5067C" w14:textId="77777777" w:rsidTr="00C407B1">
        <w:tc>
          <w:tcPr>
            <w:tcW w:w="9090" w:type="dxa"/>
            <w:shd w:val="clear" w:color="auto" w:fill="D0CECE" w:themeFill="background2" w:themeFillShade="E6"/>
          </w:tcPr>
          <w:p w14:paraId="0C00A2E6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Public Health &amp; Health Care Systems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F75FFB7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CDFBEC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EA609E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2D7565B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A18E71B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866CF0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B2004D2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665D39D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B741A62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024EE4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12FAA4BD" w14:textId="77777777" w:rsidTr="00C407B1">
        <w:tc>
          <w:tcPr>
            <w:tcW w:w="9090" w:type="dxa"/>
          </w:tcPr>
          <w:p w14:paraId="2E6698FE" w14:textId="77777777" w:rsidR="00C501ED" w:rsidRPr="007F1140" w:rsidRDefault="00C501ED" w:rsidP="00C407B1">
            <w:pPr>
              <w:rPr>
                <w:rFonts w:eastAsia="Times New Roman" w:cs="Times New Roman"/>
                <w:sz w:val="20"/>
                <w:szCs w:val="20"/>
              </w:rPr>
            </w:pPr>
            <w:r w:rsidRPr="007F1140">
              <w:rPr>
                <w:rFonts w:eastAsia="Times New Roman" w:cs="Arial"/>
                <w:color w:val="000000"/>
                <w:sz w:val="20"/>
                <w:szCs w:val="20"/>
              </w:rPr>
              <w:t xml:space="preserve">5. </w:t>
            </w:r>
            <w:r w:rsidRPr="007F1140">
              <w:rPr>
                <w:rFonts w:cstheme="minorHAnsi"/>
                <w:bCs/>
                <w:sz w:val="20"/>
                <w:szCs w:val="20"/>
              </w:rPr>
              <w:t xml:space="preserve">Compare the organization, structure and function of health systems across national and international settings </w:t>
            </w:r>
            <w:r w:rsidRPr="007F114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10808DD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48CFCB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58597E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6DF9D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E16500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908C261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15F90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FF49B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BB2ECB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FF089F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501ED" w:rsidRPr="005606BE" w14:paraId="4593E658" w14:textId="77777777" w:rsidTr="00C407B1">
        <w:tc>
          <w:tcPr>
            <w:tcW w:w="9090" w:type="dxa"/>
          </w:tcPr>
          <w:p w14:paraId="348EAC7F" w14:textId="77777777" w:rsidR="00C501ED" w:rsidRPr="007F1140" w:rsidRDefault="00C501ED" w:rsidP="00C407B1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F114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6. Discuss </w:t>
            </w:r>
            <w:proofErr w:type="gramStart"/>
            <w:r w:rsidRPr="007F114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the means by which</w:t>
            </w:r>
            <w:proofErr w:type="gramEnd"/>
            <w:r w:rsidRPr="007F114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structural bias, social inequities, and racism undermine health and create challe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nges to achieving health equity.</w:t>
            </w:r>
          </w:p>
        </w:tc>
        <w:tc>
          <w:tcPr>
            <w:tcW w:w="630" w:type="dxa"/>
          </w:tcPr>
          <w:p w14:paraId="607C42B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17C092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4357F7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5E9257AD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F3A637C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6E076B81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B41D7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DA28F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62F01C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A2549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501ED" w:rsidRPr="005606BE" w14:paraId="24256B73" w14:textId="77777777" w:rsidTr="00C407B1">
        <w:tc>
          <w:tcPr>
            <w:tcW w:w="9090" w:type="dxa"/>
            <w:shd w:val="clear" w:color="auto" w:fill="D0CECE" w:themeFill="background2" w:themeFillShade="E6"/>
          </w:tcPr>
          <w:p w14:paraId="55F88E5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Planning &amp; Management to Promote Health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B7A822B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5E0732D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EAF7118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B92873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F599582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AC957DF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93CCFF8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D031B49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B3A9038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0BB7FDF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52326AEB" w14:textId="77777777" w:rsidTr="00C407B1">
        <w:tc>
          <w:tcPr>
            <w:tcW w:w="9090" w:type="dxa"/>
          </w:tcPr>
          <w:p w14:paraId="4A97E1A9" w14:textId="77777777" w:rsidR="00C501ED" w:rsidRPr="005606BE" w:rsidRDefault="00C501ED" w:rsidP="00C407B1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7. Assess population needs, assets and capacities that affect communities’ health </w:t>
            </w:r>
          </w:p>
        </w:tc>
        <w:tc>
          <w:tcPr>
            <w:tcW w:w="630" w:type="dxa"/>
          </w:tcPr>
          <w:p w14:paraId="3FB8E3C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079C98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0F2F63" w14:textId="77777777" w:rsidR="00C501ED" w:rsidRPr="00172D24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  <w:highlight w:val="cyan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4F99BD55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0153F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FE6499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661AD2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1FD0F1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9F818D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39A317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501ED" w:rsidRPr="005606BE" w14:paraId="002AB2F7" w14:textId="77777777" w:rsidTr="00C407B1">
        <w:tc>
          <w:tcPr>
            <w:tcW w:w="9090" w:type="dxa"/>
          </w:tcPr>
          <w:p w14:paraId="733C90BC" w14:textId="77777777" w:rsidR="00C501ED" w:rsidRPr="005606BE" w:rsidRDefault="00C501ED" w:rsidP="00C407B1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8. Apply awareness of cultural values and practices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to the design,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 implementation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 critique 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of public health policies or programs </w:t>
            </w:r>
          </w:p>
        </w:tc>
        <w:tc>
          <w:tcPr>
            <w:tcW w:w="630" w:type="dxa"/>
          </w:tcPr>
          <w:p w14:paraId="7589748E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4959F5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0CD4E8" w14:textId="77777777" w:rsidR="00C501ED" w:rsidRPr="00172D24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  <w:highlight w:val="cyan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  <w:shd w:val="clear" w:color="auto" w:fill="92D050"/>
          </w:tcPr>
          <w:p w14:paraId="3950BE5E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A4002D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A7AAFE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57BAA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A04D1E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BB576E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16078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501ED" w:rsidRPr="005606BE" w14:paraId="56116067" w14:textId="77777777" w:rsidTr="00C407B1">
        <w:tc>
          <w:tcPr>
            <w:tcW w:w="9090" w:type="dxa"/>
          </w:tcPr>
          <w:p w14:paraId="01204BC8" w14:textId="77777777" w:rsidR="00C501ED" w:rsidRPr="005606BE" w:rsidRDefault="00C501ED" w:rsidP="00C407B1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9. Design a population-based policy, program, project or intervention </w:t>
            </w:r>
          </w:p>
        </w:tc>
        <w:tc>
          <w:tcPr>
            <w:tcW w:w="630" w:type="dxa"/>
          </w:tcPr>
          <w:p w14:paraId="4F07E4E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E5C221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555585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062AA7E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77CF1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4F6E9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53095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9986E6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2D905E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C4AC4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501ED" w:rsidRPr="005606BE" w14:paraId="665467FE" w14:textId="77777777" w:rsidTr="00C407B1">
        <w:tc>
          <w:tcPr>
            <w:tcW w:w="9090" w:type="dxa"/>
          </w:tcPr>
          <w:p w14:paraId="73AC35FE" w14:textId="77777777" w:rsidR="00C501ED" w:rsidRPr="005606BE" w:rsidRDefault="00C501ED" w:rsidP="00C407B1">
            <w:pPr>
              <w:pStyle w:val="Default"/>
              <w:rPr>
                <w:rFonts w:eastAsia="Times New Roman" w:cs="Times New Roman"/>
                <w:sz w:val="20"/>
                <w:szCs w:val="20"/>
              </w:rPr>
            </w:pPr>
            <w:r w:rsidRPr="0023526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10. Explain basic principles and tools of budget and resource </w:t>
            </w:r>
            <w:r w:rsidRPr="0023526C">
              <w:rPr>
                <w:rFonts w:asciiTheme="minorHAnsi" w:hAnsiTheme="minorHAnsi" w:cstheme="minorHAnsi"/>
                <w:bCs/>
                <w:sz w:val="20"/>
                <w:szCs w:val="20"/>
              </w:rPr>
              <w:t>management</w:t>
            </w:r>
            <w:r w:rsidRPr="0023526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specifically after funding for a project is secured </w:t>
            </w:r>
            <w:r w:rsidRPr="002352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0A044A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76FD1C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D8DC5C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207C4">
              <w:rPr>
                <w:rFonts w:ascii="Segoe UI Symbol" w:hAnsi="Segoe UI Symbol"/>
                <w:sz w:val="20"/>
                <w:szCs w:val="20"/>
                <w:highlight w:val="yellow"/>
              </w:rPr>
              <w:t>✓</w:t>
            </w:r>
          </w:p>
        </w:tc>
        <w:tc>
          <w:tcPr>
            <w:tcW w:w="540" w:type="dxa"/>
          </w:tcPr>
          <w:p w14:paraId="348A905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CF0D34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3A49F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33C2C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3C3008F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F972BA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B30F07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501ED" w:rsidRPr="005606BE" w14:paraId="4CAD858C" w14:textId="77777777" w:rsidTr="00C407B1">
        <w:tc>
          <w:tcPr>
            <w:tcW w:w="9090" w:type="dxa"/>
          </w:tcPr>
          <w:p w14:paraId="4F265D34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11. Select methods to evaluate public health programs </w:t>
            </w:r>
          </w:p>
        </w:tc>
        <w:tc>
          <w:tcPr>
            <w:tcW w:w="630" w:type="dxa"/>
          </w:tcPr>
          <w:p w14:paraId="0DD27D3E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1B75D5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846311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D95239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3446C0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8AF8C2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760F7C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3CB5D3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A185F2F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0408478C" w14:textId="77777777" w:rsidR="00C501ED" w:rsidRPr="005606BE" w:rsidRDefault="00C501ED" w:rsidP="00C407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</w:tr>
      <w:tr w:rsidR="00C501ED" w:rsidRPr="005606BE" w14:paraId="35086328" w14:textId="77777777" w:rsidTr="00C407B1">
        <w:tc>
          <w:tcPr>
            <w:tcW w:w="9090" w:type="dxa"/>
            <w:shd w:val="clear" w:color="auto" w:fill="D0CECE" w:themeFill="background2" w:themeFillShade="E6"/>
          </w:tcPr>
          <w:p w14:paraId="37E934D6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Policy in Public Health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89CBB94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FD4DB54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3EF190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6A10B86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B43DA9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52499B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82994F7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E4483E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584E2E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560265C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7C982435" w14:textId="77777777" w:rsidTr="00C407B1">
        <w:tc>
          <w:tcPr>
            <w:tcW w:w="9090" w:type="dxa"/>
          </w:tcPr>
          <w:p w14:paraId="1DD0CEC6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3526C">
              <w:rPr>
                <w:rFonts w:cstheme="minorHAnsi"/>
                <w:bCs/>
              </w:rPr>
              <w:t>Discuss the policy-making process</w:t>
            </w:r>
            <w:r>
              <w:rPr>
                <w:rFonts w:cstheme="minorHAnsi"/>
                <w:bCs/>
              </w:rPr>
              <w:t>.</w:t>
            </w:r>
            <w:r w:rsidRPr="0023526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30" w:type="dxa"/>
          </w:tcPr>
          <w:p w14:paraId="6E99423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88E3258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522DFEE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98F92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9C069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B5C77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B2F12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DB6BB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BF5A6A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6FC6AC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6B87A908" w14:textId="77777777" w:rsidTr="00C407B1">
        <w:tc>
          <w:tcPr>
            <w:tcW w:w="9090" w:type="dxa"/>
          </w:tcPr>
          <w:p w14:paraId="73B20B00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13. Propose strategies to identify stakeholders and build coalitions and partnerships for influencing public health outcomes </w:t>
            </w:r>
          </w:p>
        </w:tc>
        <w:tc>
          <w:tcPr>
            <w:tcW w:w="630" w:type="dxa"/>
          </w:tcPr>
          <w:p w14:paraId="105CE1A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4AB297" w14:textId="77777777" w:rsidR="00C501ED" w:rsidRPr="00172D24" w:rsidRDefault="00C501ED" w:rsidP="00C407B1">
            <w:pPr>
              <w:rPr>
                <w:sz w:val="20"/>
                <w:szCs w:val="20"/>
                <w:highlight w:val="cyan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0AB237A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0DD19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2F6CF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74468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C27A1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D398E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9DC51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A9FB24A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23EBAC43" w14:textId="77777777" w:rsidTr="00C407B1">
        <w:tc>
          <w:tcPr>
            <w:tcW w:w="9090" w:type="dxa"/>
          </w:tcPr>
          <w:p w14:paraId="4E6C842D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14. Advocate for political, social or economic policies and programs that will improve health in diverse populations </w:t>
            </w:r>
          </w:p>
        </w:tc>
        <w:tc>
          <w:tcPr>
            <w:tcW w:w="630" w:type="dxa"/>
          </w:tcPr>
          <w:p w14:paraId="34179E5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217FD1" w14:textId="77777777" w:rsidR="00C501ED" w:rsidRPr="00172D24" w:rsidRDefault="00C501ED" w:rsidP="00C407B1">
            <w:pPr>
              <w:rPr>
                <w:sz w:val="20"/>
                <w:szCs w:val="20"/>
                <w:highlight w:val="cyan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6531281A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DC499C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00A93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673CC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945E5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F30BB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1621FC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228F9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3DD4CFA5" w14:textId="77777777" w:rsidTr="00C407B1">
        <w:tc>
          <w:tcPr>
            <w:tcW w:w="9090" w:type="dxa"/>
          </w:tcPr>
          <w:p w14:paraId="233C4B5A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15. Evaluate policies for their impact on public health and health equity </w:t>
            </w:r>
          </w:p>
        </w:tc>
        <w:tc>
          <w:tcPr>
            <w:tcW w:w="630" w:type="dxa"/>
          </w:tcPr>
          <w:p w14:paraId="5B237A5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190962" w14:textId="77777777" w:rsidR="00C501ED" w:rsidRPr="00172D24" w:rsidRDefault="00C501ED" w:rsidP="00C407B1">
            <w:pPr>
              <w:rPr>
                <w:sz w:val="20"/>
                <w:szCs w:val="20"/>
                <w:highlight w:val="cyan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0A89F42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696775D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1FDF5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C7F594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251AF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88344C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4B14C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69404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35C00537" w14:textId="77777777" w:rsidTr="00C407B1">
        <w:tc>
          <w:tcPr>
            <w:tcW w:w="9090" w:type="dxa"/>
            <w:shd w:val="clear" w:color="auto" w:fill="D0CECE" w:themeFill="background2" w:themeFillShade="E6"/>
          </w:tcPr>
          <w:p w14:paraId="282EC89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Leadership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5D1C0B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ADA017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8782BA6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52F2FE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E4EB93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D255C0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D4991C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A6B441C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020A974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011CBB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1036A713" w14:textId="77777777" w:rsidTr="00C407B1">
        <w:tc>
          <w:tcPr>
            <w:tcW w:w="9090" w:type="dxa"/>
          </w:tcPr>
          <w:p w14:paraId="2294E680" w14:textId="77777777" w:rsidR="00C501ED" w:rsidRPr="00D25F00" w:rsidRDefault="00C501ED" w:rsidP="00C407B1">
            <w:pPr>
              <w:rPr>
                <w:sz w:val="20"/>
                <w:szCs w:val="20"/>
              </w:rPr>
            </w:pPr>
            <w:r w:rsidRPr="00D25F00">
              <w:rPr>
                <w:sz w:val="20"/>
                <w:szCs w:val="20"/>
              </w:rPr>
              <w:t xml:space="preserve">16. </w:t>
            </w:r>
            <w:r w:rsidRPr="00D25F00">
              <w:rPr>
                <w:rFonts w:cstheme="minorHAnsi"/>
                <w:bCs/>
                <w:sz w:val="20"/>
                <w:szCs w:val="20"/>
              </w:rPr>
              <w:t>Apply leadership and/or management principles to address a relevant issue; such principles may include creating a vision, empowering others, fostering collaboration, and guiding decision making</w:t>
            </w:r>
          </w:p>
        </w:tc>
        <w:tc>
          <w:tcPr>
            <w:tcW w:w="630" w:type="dxa"/>
          </w:tcPr>
          <w:p w14:paraId="455B75F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60C9912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2FD2216B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58CBB5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8B9D53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1F1FF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1A2405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E48CD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FBD05A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74C1AB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684C72BA" w14:textId="77777777" w:rsidTr="00C407B1">
        <w:tc>
          <w:tcPr>
            <w:tcW w:w="9090" w:type="dxa"/>
          </w:tcPr>
          <w:p w14:paraId="1BB43163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lastRenderedPageBreak/>
              <w:t xml:space="preserve">17. Apply negotiation and mediation skills to address organizational or community challenges </w:t>
            </w:r>
          </w:p>
        </w:tc>
        <w:tc>
          <w:tcPr>
            <w:tcW w:w="630" w:type="dxa"/>
          </w:tcPr>
          <w:p w14:paraId="6AD7604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948DC7" w14:textId="77777777" w:rsidR="00C501ED" w:rsidRPr="00A6510C" w:rsidRDefault="00C501ED" w:rsidP="00C407B1">
            <w:pPr>
              <w:rPr>
                <w:sz w:val="20"/>
                <w:szCs w:val="20"/>
                <w:highlight w:val="green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5510085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1D1E3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1DF72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A0849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0A750A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38A354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DE84D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99FB5B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499E5A10" w14:textId="77777777" w:rsidTr="00C407B1">
        <w:tc>
          <w:tcPr>
            <w:tcW w:w="9090" w:type="dxa"/>
            <w:shd w:val="clear" w:color="auto" w:fill="D0CECE" w:themeFill="background2" w:themeFillShade="E6"/>
          </w:tcPr>
          <w:p w14:paraId="57DA2AE7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7ACCEE2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B89B4AD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CE5455D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2A2C5A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9852202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376831C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490C7F3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1539C0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F94AD54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55CA369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05284C1C" w14:textId="77777777" w:rsidTr="00C407B1">
        <w:tc>
          <w:tcPr>
            <w:tcW w:w="9090" w:type="dxa"/>
          </w:tcPr>
          <w:p w14:paraId="5AF1EBA8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18. Select communication strategies for different audiences and sectors </w:t>
            </w:r>
          </w:p>
        </w:tc>
        <w:tc>
          <w:tcPr>
            <w:tcW w:w="630" w:type="dxa"/>
          </w:tcPr>
          <w:p w14:paraId="0DEA6FB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CB7CB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7D5BA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56317B84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5C681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B12453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F57F4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1FD6A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79952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5D1CD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6FED1020" w14:textId="77777777" w:rsidTr="00C407B1">
        <w:tc>
          <w:tcPr>
            <w:tcW w:w="9090" w:type="dxa"/>
          </w:tcPr>
          <w:p w14:paraId="75FC8624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19. Communicate audience-appropriate </w:t>
            </w:r>
            <w:r w:rsidRPr="007F1140">
              <w:rPr>
                <w:rFonts w:cstheme="minorHAnsi"/>
                <w:bCs/>
                <w:sz w:val="20"/>
                <w:szCs w:val="20"/>
              </w:rPr>
              <w:t xml:space="preserve">(i.e., non-academic, non-peer audience) </w:t>
            </w:r>
            <w:r w:rsidRPr="007F1140">
              <w:rPr>
                <w:sz w:val="20"/>
                <w:szCs w:val="20"/>
              </w:rPr>
              <w:t xml:space="preserve">public </w:t>
            </w:r>
            <w:r w:rsidRPr="005606BE">
              <w:rPr>
                <w:sz w:val="20"/>
                <w:szCs w:val="20"/>
              </w:rPr>
              <w:t xml:space="preserve">health content, both in writing and through oral presentation </w:t>
            </w:r>
          </w:p>
        </w:tc>
        <w:tc>
          <w:tcPr>
            <w:tcW w:w="630" w:type="dxa"/>
          </w:tcPr>
          <w:p w14:paraId="73B30737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  <w:shd w:val="clear" w:color="auto" w:fill="92D050"/>
          </w:tcPr>
          <w:p w14:paraId="3628B7CD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531FFFD3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A61F04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009C5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677B99AA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0BC2EE9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47FCE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BE394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0A75EC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063B3C3C" w14:textId="77777777" w:rsidTr="00C407B1">
        <w:tc>
          <w:tcPr>
            <w:tcW w:w="9090" w:type="dxa"/>
          </w:tcPr>
          <w:p w14:paraId="74908F29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20. Describe the importance of cultural competence in communicating public health content </w:t>
            </w:r>
          </w:p>
        </w:tc>
        <w:tc>
          <w:tcPr>
            <w:tcW w:w="630" w:type="dxa"/>
          </w:tcPr>
          <w:p w14:paraId="68D11BB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20429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A8A82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5246AFB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CFBC05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6D030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19FD1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0EEACB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52314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387DB5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7B23E0E2" w14:textId="77777777" w:rsidTr="00C407B1">
        <w:tc>
          <w:tcPr>
            <w:tcW w:w="9090" w:type="dxa"/>
            <w:shd w:val="clear" w:color="auto" w:fill="D0CECE" w:themeFill="background2" w:themeFillShade="E6"/>
          </w:tcPr>
          <w:p w14:paraId="2982751B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Interprofessional </w:t>
            </w:r>
            <w:r>
              <w:rPr>
                <w:sz w:val="20"/>
                <w:szCs w:val="20"/>
              </w:rPr>
              <w:t xml:space="preserve">and/or Intersectoral </w:t>
            </w:r>
            <w:r w:rsidRPr="005606BE">
              <w:rPr>
                <w:sz w:val="20"/>
                <w:szCs w:val="20"/>
              </w:rPr>
              <w:t xml:space="preserve">Practice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CD36634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250480C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8CC37D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D880BA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732DA02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4E2533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9A06D87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A96C57C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523000A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AC538E0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5CB0CBEF" w14:textId="77777777" w:rsidTr="00C407B1">
        <w:tc>
          <w:tcPr>
            <w:tcW w:w="9090" w:type="dxa"/>
          </w:tcPr>
          <w:p w14:paraId="2A773384" w14:textId="77777777" w:rsidR="00C501ED" w:rsidRDefault="00C501ED" w:rsidP="00C407B1">
            <w:pPr>
              <w:rPr>
                <w:rFonts w:cstheme="minorHAnsi"/>
                <w:bCs/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21. </w:t>
            </w:r>
            <w:r w:rsidRPr="007F1140">
              <w:rPr>
                <w:rFonts w:cstheme="minorHAnsi"/>
                <w:bCs/>
                <w:sz w:val="20"/>
                <w:szCs w:val="20"/>
              </w:rPr>
              <w:t>Integrate perspectives from other sectors and/or professions to promote and advance population health</w:t>
            </w:r>
          </w:p>
          <w:p w14:paraId="3A001AB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*Interact with someone outside of Public Health</w:t>
            </w:r>
          </w:p>
        </w:tc>
        <w:tc>
          <w:tcPr>
            <w:tcW w:w="630" w:type="dxa"/>
          </w:tcPr>
          <w:p w14:paraId="310D5DBC" w14:textId="77777777" w:rsidR="00C501ED" w:rsidRPr="00172D24" w:rsidRDefault="00C501ED" w:rsidP="00C407B1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shd w:val="clear" w:color="auto" w:fill="auto"/>
          </w:tcPr>
          <w:p w14:paraId="68D1AFD0" w14:textId="77777777" w:rsidR="00C501ED" w:rsidRPr="00172D24" w:rsidRDefault="00C501ED" w:rsidP="00C407B1">
            <w:pPr>
              <w:rPr>
                <w:sz w:val="20"/>
                <w:szCs w:val="20"/>
                <w:highlight w:val="cyan"/>
              </w:rPr>
            </w:pPr>
            <w:r w:rsidRPr="00172D24">
              <w:rPr>
                <w:rFonts w:ascii="Segoe UI Symbol" w:hAnsi="Segoe UI Symbol"/>
                <w:sz w:val="20"/>
                <w:szCs w:val="20"/>
                <w:highlight w:val="cyan"/>
              </w:rPr>
              <w:t>✓</w:t>
            </w:r>
          </w:p>
        </w:tc>
        <w:tc>
          <w:tcPr>
            <w:tcW w:w="540" w:type="dxa"/>
          </w:tcPr>
          <w:p w14:paraId="4F52B97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A1200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4757AA8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35D709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1872D83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E9F21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F99E7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94239D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1A932397" w14:textId="77777777" w:rsidTr="00C407B1">
        <w:tc>
          <w:tcPr>
            <w:tcW w:w="9090" w:type="dxa"/>
            <w:shd w:val="clear" w:color="auto" w:fill="D0CECE" w:themeFill="background2" w:themeFillShade="E6"/>
          </w:tcPr>
          <w:p w14:paraId="058C74D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>Systems Thinking (waiting on technical assistance paper from CEPH)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86ABD28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1E7A70F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F00CA49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7C5D1235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1990643B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361F157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F748280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63BF57EB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E9CB01B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C1CDE9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01768150" w14:textId="77777777" w:rsidTr="00C407B1">
        <w:tc>
          <w:tcPr>
            <w:tcW w:w="9090" w:type="dxa"/>
          </w:tcPr>
          <w:p w14:paraId="19C91334" w14:textId="77777777" w:rsidR="00C501ED" w:rsidRDefault="00C501ED" w:rsidP="00C407B1">
            <w:pPr>
              <w:rPr>
                <w:rFonts w:cstheme="minorHAnsi"/>
                <w:bCs/>
              </w:rPr>
            </w:pPr>
            <w:r w:rsidRPr="005606BE">
              <w:rPr>
                <w:sz w:val="20"/>
                <w:szCs w:val="20"/>
              </w:rPr>
              <w:t xml:space="preserve">22. </w:t>
            </w:r>
            <w:r w:rsidRPr="00D25F00">
              <w:rPr>
                <w:rFonts w:cstheme="minorHAnsi"/>
                <w:bCs/>
              </w:rPr>
              <w:t xml:space="preserve">Apply a </w:t>
            </w:r>
            <w:proofErr w:type="gramStart"/>
            <w:r w:rsidRPr="00D25F00">
              <w:rPr>
                <w:rFonts w:cstheme="minorHAnsi"/>
                <w:bCs/>
              </w:rPr>
              <w:t>systems</w:t>
            </w:r>
            <w:proofErr w:type="gramEnd"/>
            <w:r w:rsidRPr="00D25F00">
              <w:rPr>
                <w:rFonts w:cstheme="minorHAnsi"/>
                <w:bCs/>
              </w:rPr>
              <w:t xml:space="preserve"> thinking tool to visually represent a public health issue in a format other</w:t>
            </w:r>
            <w:r w:rsidRPr="00D25F00">
              <w:rPr>
                <w:rFonts w:cstheme="minorHAnsi"/>
              </w:rPr>
              <w:t xml:space="preserve"> </w:t>
            </w:r>
            <w:r w:rsidRPr="00D25F00">
              <w:rPr>
                <w:rFonts w:cstheme="minorHAnsi"/>
                <w:bCs/>
              </w:rPr>
              <w:t>than standard narrative</w:t>
            </w:r>
          </w:p>
          <w:p w14:paraId="51F25FF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A58A22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50C18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1E17D6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B854FD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245603C4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12DB434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B1DDA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91331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62215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A61B69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C501ED" w:rsidRPr="005606BE" w14:paraId="72C55EDF" w14:textId="77777777" w:rsidTr="00C407B1">
        <w:tc>
          <w:tcPr>
            <w:tcW w:w="9090" w:type="dxa"/>
            <w:shd w:val="clear" w:color="auto" w:fill="D9D9D9" w:themeFill="background1" w:themeFillShade="D9"/>
          </w:tcPr>
          <w:p w14:paraId="3A4B7856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WKU MPH Program Competencies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543D67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6C48CA2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D53F232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87F7615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CE1B84D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A68566A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FC7DE78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1AEAA1D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4C0F294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26DBA7" w14:textId="77777777" w:rsidR="00C501ED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C501ED" w:rsidRPr="005606BE" w14:paraId="025707FA" w14:textId="77777777" w:rsidTr="00C407B1">
        <w:tc>
          <w:tcPr>
            <w:tcW w:w="9090" w:type="dxa"/>
          </w:tcPr>
          <w:p w14:paraId="18D57C9D" w14:textId="77777777" w:rsidR="00C501ED" w:rsidRPr="00DC5143" w:rsidRDefault="00C501ED" w:rsidP="00C407B1">
            <w:pPr>
              <w:rPr>
                <w:color w:val="000000"/>
                <w:sz w:val="20"/>
                <w:szCs w:val="20"/>
              </w:rPr>
            </w:pPr>
            <w:r w:rsidRPr="00DC5143">
              <w:rPr>
                <w:sz w:val="20"/>
                <w:szCs w:val="20"/>
              </w:rPr>
              <w:t xml:space="preserve">23. Apply health behavior theories and models to address public health problems. </w:t>
            </w:r>
          </w:p>
        </w:tc>
        <w:tc>
          <w:tcPr>
            <w:tcW w:w="630" w:type="dxa"/>
          </w:tcPr>
          <w:p w14:paraId="511A403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1E6C1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26E1E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B5A334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42C98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39E60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3A9E45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D67CFB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458580B3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630" w:type="dxa"/>
          </w:tcPr>
          <w:p w14:paraId="2DA732D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0557AB40" w14:textId="77777777" w:rsidTr="00C407B1">
        <w:tc>
          <w:tcPr>
            <w:tcW w:w="9090" w:type="dxa"/>
          </w:tcPr>
          <w:p w14:paraId="5FD9C46E" w14:textId="77777777" w:rsidR="00C501ED" w:rsidRPr="00DC5143" w:rsidRDefault="00C501ED" w:rsidP="00C407B1">
            <w:pPr>
              <w:rPr>
                <w:sz w:val="20"/>
                <w:szCs w:val="20"/>
              </w:rPr>
            </w:pPr>
            <w:r w:rsidRPr="00DC5143">
              <w:rPr>
                <w:color w:val="000000"/>
                <w:sz w:val="20"/>
                <w:szCs w:val="20"/>
              </w:rPr>
              <w:t>24.</w:t>
            </w:r>
            <w:r w:rsidRPr="00A42BDF">
              <w:rPr>
                <w:color w:val="000000"/>
                <w:sz w:val="20"/>
                <w:szCs w:val="20"/>
              </w:rPr>
              <w:t xml:space="preserve"> Locate, cite, and integrate credible and/or peer-reviewed literature into professionally written products.</w:t>
            </w:r>
          </w:p>
        </w:tc>
        <w:tc>
          <w:tcPr>
            <w:tcW w:w="630" w:type="dxa"/>
          </w:tcPr>
          <w:p w14:paraId="40519C2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E0A67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5EE75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DDD2B7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  <w:shd w:val="clear" w:color="auto" w:fill="92D050"/>
          </w:tcPr>
          <w:p w14:paraId="15E995B8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3D21622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BF2F6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89ABCC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90B23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73119A4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0801900B" w14:textId="77777777" w:rsidTr="00C407B1">
        <w:tc>
          <w:tcPr>
            <w:tcW w:w="9090" w:type="dxa"/>
          </w:tcPr>
          <w:p w14:paraId="0F515EA4" w14:textId="77777777" w:rsidR="00C501ED" w:rsidRPr="00DC5143" w:rsidRDefault="00C501ED" w:rsidP="00C4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Field epi</w:t>
            </w:r>
          </w:p>
        </w:tc>
        <w:tc>
          <w:tcPr>
            <w:tcW w:w="630" w:type="dxa"/>
          </w:tcPr>
          <w:p w14:paraId="3FA8696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DFAA1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8D3E3A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98F2F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ACC00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4E50648D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D2E470A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68585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112E3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26A129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24D62D2D" w14:textId="77777777" w:rsidTr="00C407B1">
        <w:tc>
          <w:tcPr>
            <w:tcW w:w="9090" w:type="dxa"/>
          </w:tcPr>
          <w:p w14:paraId="3EFFAA12" w14:textId="77777777" w:rsidR="00C501ED" w:rsidRPr="00DC5143" w:rsidRDefault="00C501ED" w:rsidP="00C407B1">
            <w:pPr>
              <w:rPr>
                <w:rFonts w:eastAsia="Times New Roman" w:cs="Arial"/>
                <w:sz w:val="20"/>
                <w:szCs w:val="20"/>
              </w:rPr>
            </w:pPr>
            <w:r w:rsidRPr="00DC5143">
              <w:rPr>
                <w:rFonts w:eastAsia="Times New Roman" w:cs="Arial"/>
                <w:sz w:val="20"/>
                <w:szCs w:val="20"/>
              </w:rPr>
              <w:t xml:space="preserve">26. </w:t>
            </w:r>
            <w:r>
              <w:rPr>
                <w:rFonts w:eastAsia="Times New Roman" w:cs="Arial"/>
                <w:sz w:val="20"/>
                <w:szCs w:val="20"/>
              </w:rPr>
              <w:t>Describe the impact and importance of social determinants of health.</w:t>
            </w:r>
          </w:p>
        </w:tc>
        <w:tc>
          <w:tcPr>
            <w:tcW w:w="630" w:type="dxa"/>
          </w:tcPr>
          <w:p w14:paraId="712C5797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29410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AF94A9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64E6F44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B37372B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604C3680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D3AA15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30E2CF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7A10B8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E01D71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  <w:tr w:rsidR="00C501ED" w:rsidRPr="005606BE" w14:paraId="23B0DC9A" w14:textId="77777777" w:rsidTr="00C407B1">
        <w:tc>
          <w:tcPr>
            <w:tcW w:w="9090" w:type="dxa"/>
          </w:tcPr>
          <w:p w14:paraId="478FE8DF" w14:textId="77777777" w:rsidR="00C501ED" w:rsidRPr="00DC5143" w:rsidRDefault="00C501ED" w:rsidP="00C407B1">
            <w:pPr>
              <w:rPr>
                <w:sz w:val="20"/>
                <w:szCs w:val="20"/>
              </w:rPr>
            </w:pPr>
            <w:r w:rsidRPr="00DC5143">
              <w:rPr>
                <w:sz w:val="20"/>
                <w:szCs w:val="20"/>
              </w:rPr>
              <w:t>27. Identify the direct and indirect population health effects of environmental hazards (biological, chemical and physical) on humans, animals and the ecology.</w:t>
            </w:r>
          </w:p>
        </w:tc>
        <w:tc>
          <w:tcPr>
            <w:tcW w:w="630" w:type="dxa"/>
          </w:tcPr>
          <w:p w14:paraId="76E57E76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3171B2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E3AB2E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2AE4AB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934F9B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61E531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6DA27A9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46D5DE" w14:textId="77777777" w:rsidR="00C501ED" w:rsidRPr="005606BE" w:rsidRDefault="00C501ED" w:rsidP="00C407B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540" w:type="dxa"/>
          </w:tcPr>
          <w:p w14:paraId="718770CC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FF496D" w14:textId="77777777" w:rsidR="00C501ED" w:rsidRPr="005606BE" w:rsidRDefault="00C501ED" w:rsidP="00C407B1">
            <w:pPr>
              <w:rPr>
                <w:sz w:val="20"/>
                <w:szCs w:val="20"/>
              </w:rPr>
            </w:pPr>
          </w:p>
        </w:tc>
      </w:tr>
    </w:tbl>
    <w:p w14:paraId="3E3D3EB0" w14:textId="77777777" w:rsidR="00C501ED" w:rsidRDefault="00C501ED" w:rsidP="00ED4D51">
      <w:pPr>
        <w:spacing w:after="0" w:line="240" w:lineRule="auto"/>
        <w:rPr>
          <w:rFonts w:cstheme="minorHAnsi"/>
          <w:color w:val="C00000"/>
        </w:rPr>
      </w:pPr>
    </w:p>
    <w:p w14:paraId="6EEB6BFC" w14:textId="77777777" w:rsidR="00C501ED" w:rsidRPr="00AF1DF8" w:rsidRDefault="00C501ED" w:rsidP="00ED4D51">
      <w:pPr>
        <w:spacing w:after="0" w:line="240" w:lineRule="auto"/>
        <w:rPr>
          <w:rFonts w:cstheme="minorHAnsi"/>
        </w:rPr>
      </w:pPr>
    </w:p>
    <w:sectPr w:rsidR="00C501ED" w:rsidRPr="00AF1DF8" w:rsidSect="00C501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DF"/>
    <w:rsid w:val="000028F6"/>
    <w:rsid w:val="000F54AE"/>
    <w:rsid w:val="00231A75"/>
    <w:rsid w:val="0054520F"/>
    <w:rsid w:val="005B17A3"/>
    <w:rsid w:val="00757542"/>
    <w:rsid w:val="007777E3"/>
    <w:rsid w:val="007E5D68"/>
    <w:rsid w:val="00800934"/>
    <w:rsid w:val="008C3E04"/>
    <w:rsid w:val="00A26F48"/>
    <w:rsid w:val="00AB3650"/>
    <w:rsid w:val="00AF1DF8"/>
    <w:rsid w:val="00B67ED6"/>
    <w:rsid w:val="00BE2B83"/>
    <w:rsid w:val="00C02038"/>
    <w:rsid w:val="00C501ED"/>
    <w:rsid w:val="00C960E1"/>
    <w:rsid w:val="00D61094"/>
    <w:rsid w:val="00DE2711"/>
    <w:rsid w:val="00E51745"/>
    <w:rsid w:val="00ED4D51"/>
    <w:rsid w:val="00F36EDF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8530"/>
  <w15:chartTrackingRefBased/>
  <w15:docId w15:val="{FB494342-9076-4445-B680-E543501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D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7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7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default">
    <w:name w:val="x_default"/>
    <w:basedOn w:val="Normal"/>
    <w:rsid w:val="00C5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publichealth/mph_bsph_meetings/ay_21_22_meetings/february_22_workday/mph_cc_jan22_minutes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ku.edu/publichealth/mph_bsph_meetings/ay_21_22_meetings/february_22_workday/mph_cc_dec21_meetingminutes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publichealth/mph_bsph_meetings/ay_21_22_meetings/february_22_workday/mph_feb22_report.docx" TargetMode="External"/><Relationship Id="rId11" Type="http://schemas.openxmlformats.org/officeDocument/2006/relationships/hyperlink" Target="https://fisafoundation.org/racial-wealth-gap-learning-simulation/" TargetMode="External"/><Relationship Id="rId5" Type="http://schemas.openxmlformats.org/officeDocument/2006/relationships/hyperlink" Target="https://www.wku.edu/publichealth/mph_bsph_meetings/ay_21_22_meetings/february_22_workday/governing_committtee_jan22_addendum.docx" TargetMode="External"/><Relationship Id="rId10" Type="http://schemas.openxmlformats.org/officeDocument/2006/relationships/hyperlink" Target="https://www.wku.edu/publichealth/mph_bsph_meetings/ay_21_22_meetings/february_22_workday/kphafeb22.docx" TargetMode="External"/><Relationship Id="rId4" Type="http://schemas.openxmlformats.org/officeDocument/2006/relationships/hyperlink" Target="https://www.wku.edu/publichealth/mph_bsph_meetings/ay_21_22_meetings/february_22_workday/nov2022_minutes.docx" TargetMode="External"/><Relationship Id="rId9" Type="http://schemas.openxmlformats.org/officeDocument/2006/relationships/hyperlink" Target="https://www.wku.edu/publichealth/mph_bsph_meetings/ay_21_22_meetings/february_22_workday/phugasfeb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2022-02-20T22:43:00Z</dcterms:created>
  <dcterms:modified xsi:type="dcterms:W3CDTF">2022-02-21T21:05:00Z</dcterms:modified>
</cp:coreProperties>
</file>