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56" w:rsidRPr="003E5856" w:rsidRDefault="003E5856" w:rsidP="003E5856">
      <w:pPr>
        <w:pStyle w:val="Title"/>
        <w:jc w:val="center"/>
        <w:rPr>
          <w:sz w:val="48"/>
        </w:rPr>
      </w:pPr>
      <w:r w:rsidRPr="003E5856">
        <w:rPr>
          <w:sz w:val="48"/>
        </w:rPr>
        <w:t>MPH Curriculum Committee Meeting, May 2020</w:t>
      </w:r>
    </w:p>
    <w:p w:rsidR="009C7133" w:rsidRDefault="003E5856" w:rsidP="009C7133">
      <w:r>
        <w:t xml:space="preserve">MPH Curriculum Committee met </w:t>
      </w:r>
      <w:r w:rsidR="009C7133">
        <w:t>after Joint MPH-BSPH meeting.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 xml:space="preserve">Gardner asked if everyone wants to do a “Reply All” email conversation for the ILE CEPH information she sent out on Monday, May 11.  </w:t>
      </w:r>
    </w:p>
    <w:p w:rsidR="009C7133" w:rsidRDefault="003E5856" w:rsidP="009C7133">
      <w:pPr>
        <w:pStyle w:val="ListParagraph"/>
        <w:numPr>
          <w:ilvl w:val="0"/>
          <w:numId w:val="1"/>
        </w:numPr>
      </w:pPr>
      <w:r>
        <w:t xml:space="preserve">Gardner presented the following options:  </w:t>
      </w:r>
      <w:r w:rsidR="009C7133">
        <w:t xml:space="preserve">Should we change some of our WKU-specific competencies since at least one </w:t>
      </w:r>
      <w:proofErr w:type="gramStart"/>
      <w:r w:rsidR="009C7133">
        <w:t>must be represented</w:t>
      </w:r>
      <w:proofErr w:type="gramEnd"/>
      <w:r w:rsidR="009C7133">
        <w:t>?  It would be easy if</w:t>
      </w:r>
      <w:r w:rsidR="00924E1F">
        <w:t xml:space="preserve"> we had 3 required that all ILE</w:t>
      </w:r>
      <w:bookmarkStart w:id="0" w:name="_GoBack"/>
      <w:bookmarkEnd w:id="0"/>
      <w:r w:rsidR="009C7133">
        <w:t xml:space="preserve">s must have.  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>Macy asked that we discuss thru email but finalize with a quick meeting.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>Farrell pulled up the email Gardner was referencing (Appendix A)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>Already have identified competency 19.  (Competencies listed in Appendix B)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>We need to pick 3 (one from 22-27 and 2 total from 1-22)</w:t>
      </w:r>
    </w:p>
    <w:p w:rsidR="009C7133" w:rsidRDefault="009C7133" w:rsidP="009C7133">
      <w:pPr>
        <w:pStyle w:val="ListParagraph"/>
        <w:numPr>
          <w:ilvl w:val="1"/>
          <w:numId w:val="1"/>
        </w:numPr>
      </w:pPr>
      <w:proofErr w:type="gramStart"/>
      <w:r>
        <w:t>Or</w:t>
      </w:r>
      <w:proofErr w:type="gramEnd"/>
      <w:r>
        <w:t xml:space="preserve"> redo our 22-27.</w:t>
      </w:r>
    </w:p>
    <w:p w:rsidR="009C7133" w:rsidRDefault="009C7133" w:rsidP="009C7133">
      <w:pPr>
        <w:pStyle w:val="ListParagraph"/>
        <w:numPr>
          <w:ilvl w:val="0"/>
          <w:numId w:val="1"/>
        </w:numPr>
      </w:pPr>
      <w:r>
        <w:t>Ding and Gardner think number 4 is “easy.”</w:t>
      </w:r>
    </w:p>
    <w:p w:rsidR="009C7133" w:rsidRDefault="009C7133" w:rsidP="009C7133">
      <w:pPr>
        <w:pStyle w:val="ListParagraph"/>
        <w:numPr>
          <w:ilvl w:val="1"/>
          <w:numId w:val="1"/>
        </w:numPr>
      </w:pPr>
      <w:r>
        <w:t>Farrell asked if we could do something like “4 or 5.”</w:t>
      </w:r>
    </w:p>
    <w:p w:rsidR="009C7133" w:rsidRDefault="009C7133" w:rsidP="009C7133">
      <w:pPr>
        <w:pStyle w:val="ListParagraph"/>
        <w:numPr>
          <w:ilvl w:val="2"/>
          <w:numId w:val="1"/>
        </w:numPr>
      </w:pPr>
      <w:r>
        <w:t>Students interested in environment may do 5 and not 4</w:t>
      </w:r>
    </w:p>
    <w:p w:rsidR="009C7133" w:rsidRDefault="009C7133" w:rsidP="009C7133">
      <w:pPr>
        <w:pStyle w:val="ListParagraph"/>
        <w:numPr>
          <w:ilvl w:val="2"/>
          <w:numId w:val="1"/>
        </w:numPr>
      </w:pPr>
      <w:r>
        <w:t>May not be a bad idea to push those students to address social determinants too to be sure to emphasize public health over environmental health sciences</w:t>
      </w:r>
    </w:p>
    <w:p w:rsidR="009C7133" w:rsidRDefault="00C221CA" w:rsidP="00C221CA">
      <w:pPr>
        <w:pStyle w:val="ListParagraph"/>
        <w:numPr>
          <w:ilvl w:val="2"/>
          <w:numId w:val="1"/>
        </w:numPr>
      </w:pPr>
      <w:r>
        <w:t xml:space="preserve">Macy and Watkins agree that </w:t>
      </w:r>
      <w:proofErr w:type="gramStart"/>
      <w:r>
        <w:t>4</w:t>
      </w:r>
      <w:proofErr w:type="gramEnd"/>
      <w:r>
        <w:t xml:space="preserve"> should be on there as well.</w:t>
      </w:r>
    </w:p>
    <w:p w:rsidR="00C221CA" w:rsidRDefault="001D4ED5" w:rsidP="00C221CA">
      <w:pPr>
        <w:pStyle w:val="ListParagraph"/>
        <w:numPr>
          <w:ilvl w:val="0"/>
          <w:numId w:val="1"/>
        </w:numPr>
      </w:pPr>
      <w:r>
        <w:t>Some conversation about a choosing option.</w:t>
      </w:r>
    </w:p>
    <w:p w:rsidR="001D4ED5" w:rsidRDefault="001D4ED5" w:rsidP="001D4ED5">
      <w:pPr>
        <w:pStyle w:val="ListParagraph"/>
        <w:numPr>
          <w:ilvl w:val="1"/>
          <w:numId w:val="1"/>
        </w:numPr>
      </w:pPr>
      <w:r>
        <w:t xml:space="preserve">Gardner asked if someone would put together something to outline this.  Farrell volunteered.  Discuss after that </w:t>
      </w:r>
      <w:proofErr w:type="gramStart"/>
      <w:r>
        <w:t>is put</w:t>
      </w:r>
      <w:proofErr w:type="gramEnd"/>
      <w:r>
        <w:t xml:space="preserve"> together.</w:t>
      </w:r>
    </w:p>
    <w:p w:rsidR="001D4ED5" w:rsidRDefault="001D4ED5" w:rsidP="001D4ED5">
      <w:pPr>
        <w:pStyle w:val="ListParagraph"/>
        <w:numPr>
          <w:ilvl w:val="2"/>
          <w:numId w:val="1"/>
        </w:numPr>
      </w:pPr>
      <w:r>
        <w:t>Literature Review</w:t>
      </w:r>
    </w:p>
    <w:p w:rsidR="001D4ED5" w:rsidRDefault="001D4ED5" w:rsidP="001D4ED5">
      <w:pPr>
        <w:pStyle w:val="ListParagraph"/>
        <w:numPr>
          <w:ilvl w:val="2"/>
          <w:numId w:val="1"/>
        </w:numPr>
      </w:pPr>
      <w:r>
        <w:t>Program Plan</w:t>
      </w:r>
    </w:p>
    <w:p w:rsidR="001D4ED5" w:rsidRDefault="001D4ED5" w:rsidP="001D4ED5">
      <w:pPr>
        <w:pStyle w:val="ListParagraph"/>
        <w:numPr>
          <w:ilvl w:val="2"/>
          <w:numId w:val="1"/>
        </w:numPr>
      </w:pPr>
      <w:r>
        <w:t>Program Evaluation</w:t>
      </w:r>
    </w:p>
    <w:p w:rsidR="001D4ED5" w:rsidRDefault="001D4ED5" w:rsidP="001D4ED5">
      <w:pPr>
        <w:pStyle w:val="ListParagraph"/>
        <w:numPr>
          <w:ilvl w:val="2"/>
          <w:numId w:val="1"/>
        </w:numPr>
      </w:pPr>
      <w:r>
        <w:t>Research- or epi-based project</w:t>
      </w:r>
    </w:p>
    <w:p w:rsidR="00442DBC" w:rsidRDefault="003E5856" w:rsidP="00E33645">
      <w:pPr>
        <w:pStyle w:val="ListParagraph"/>
        <w:numPr>
          <w:ilvl w:val="0"/>
          <w:numId w:val="1"/>
        </w:numPr>
      </w:pPr>
      <w:r>
        <w:t xml:space="preserve">Gardner asked Macy to </w:t>
      </w:r>
      <w:r w:rsidR="005F4590">
        <w:t>work on a sort of rubric for the social determinates part of the ILE to lay out what we would be looking for</w:t>
      </w:r>
    </w:p>
    <w:p w:rsidR="005A3330" w:rsidRDefault="005F4590" w:rsidP="005A3330">
      <w:pPr>
        <w:pStyle w:val="ListParagraph"/>
        <w:numPr>
          <w:ilvl w:val="0"/>
          <w:numId w:val="1"/>
        </w:numPr>
      </w:pPr>
      <w:r>
        <w:t>The group will work together to craft together what these competencies look like in an ILE</w:t>
      </w:r>
    </w:p>
    <w:p w:rsidR="005A3330" w:rsidRDefault="005A3330" w:rsidP="005A3330">
      <w:pPr>
        <w:pStyle w:val="ListParagraph"/>
        <w:numPr>
          <w:ilvl w:val="1"/>
          <w:numId w:val="1"/>
        </w:numPr>
      </w:pPr>
      <w:r>
        <w:t>Want to have this ready to go for beginning of fall semester</w:t>
      </w:r>
    </w:p>
    <w:p w:rsidR="008E7B81" w:rsidRDefault="008E7B81">
      <w:r>
        <w:t>Meeting ended.</w:t>
      </w:r>
    </w:p>
    <w:p w:rsidR="008E7B81" w:rsidRDefault="008E7B81"/>
    <w:p w:rsidR="008E7B81" w:rsidRDefault="008E7B81"/>
    <w:p w:rsidR="009C7133" w:rsidRDefault="009C7133" w:rsidP="009C7133">
      <w:pPr>
        <w:pStyle w:val="Heading2"/>
      </w:pPr>
      <w:r>
        <w:t>Appendix A:  ILE Email</w:t>
      </w:r>
    </w:p>
    <w:p w:rsidR="009C7133" w:rsidRPr="00642312" w:rsidRDefault="009C7133" w:rsidP="009C7133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Good evening, all.</w:t>
      </w:r>
    </w:p>
    <w:p w:rsidR="009C7133" w:rsidRPr="00642312" w:rsidRDefault="009C7133" w:rsidP="009C7133">
      <w:pPr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At our last curriculum committee meeting, I stated I would contact CEPH about competency synthesis in the ILE.  After several emails, I ended up having a phone meeting with Nicole from CEPH this afternoon and here are the highpoints:</w:t>
      </w:r>
    </w:p>
    <w:p w:rsidR="009C7133" w:rsidRPr="00642312" w:rsidRDefault="009C7133" w:rsidP="009C71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lastRenderedPageBreak/>
        <w:t xml:space="preserve">I described our current guidelines of each ILE having four parts -- statement of the problem, lit review, critical analysis, and discussion – and how students could modify it based on individual goals (program plan, review of literature, research paper, etc.).  Nicole stated that having a format that was individualized to the students’ goals is a strength and the format </w:t>
      </w:r>
      <w:proofErr w:type="gramStart"/>
      <w:r w:rsidRPr="00642312">
        <w:rPr>
          <w:color w:val="1F3864"/>
          <w:sz w:val="24"/>
          <w:szCs w:val="24"/>
        </w:rPr>
        <w:t>we’re</w:t>
      </w:r>
      <w:proofErr w:type="gramEnd"/>
      <w:r w:rsidRPr="00642312">
        <w:rPr>
          <w:color w:val="1F3864"/>
          <w:sz w:val="24"/>
          <w:szCs w:val="24"/>
        </w:rPr>
        <w:t xml:space="preserve"> using is good.</w:t>
      </w:r>
    </w:p>
    <w:p w:rsidR="009C7133" w:rsidRPr="00642312" w:rsidRDefault="009C7133" w:rsidP="009C71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I described our current ILE assessment, including that we are not explicitly identifying competencies but that they were identifiable within the paper.  She </w:t>
      </w:r>
      <w:proofErr w:type="gramStart"/>
      <w:r w:rsidRPr="00642312">
        <w:rPr>
          <w:color w:val="1F3864"/>
          <w:sz w:val="24"/>
          <w:szCs w:val="24"/>
        </w:rPr>
        <w:t>stated</w:t>
      </w:r>
      <w:proofErr w:type="gramEnd"/>
      <w:r w:rsidRPr="00642312">
        <w:rPr>
          <w:color w:val="1F3864"/>
          <w:sz w:val="24"/>
          <w:szCs w:val="24"/>
        </w:rPr>
        <w:t xml:space="preserve"> </w:t>
      </w:r>
      <w:proofErr w:type="gramStart"/>
      <w:r w:rsidRPr="00642312">
        <w:rPr>
          <w:color w:val="1F3864"/>
          <w:sz w:val="24"/>
          <w:szCs w:val="24"/>
        </w:rPr>
        <w:t>that we need</w:t>
      </w:r>
      <w:proofErr w:type="gramEnd"/>
      <w:r w:rsidRPr="00642312">
        <w:rPr>
          <w:color w:val="1F3864"/>
          <w:sz w:val="24"/>
          <w:szCs w:val="24"/>
        </w:rPr>
        <w:t xml:space="preserve"> to make the competencies explicit.  She also stated that when we submit our samples, they want to see that these competencies </w:t>
      </w:r>
      <w:proofErr w:type="gramStart"/>
      <w:r w:rsidRPr="00642312">
        <w:rPr>
          <w:color w:val="1F3864"/>
          <w:sz w:val="24"/>
          <w:szCs w:val="24"/>
        </w:rPr>
        <w:t>were indeed assessed</w:t>
      </w:r>
      <w:proofErr w:type="gramEnd"/>
      <w:r w:rsidRPr="00642312">
        <w:rPr>
          <w:color w:val="1F3864"/>
          <w:sz w:val="24"/>
          <w:szCs w:val="24"/>
        </w:rPr>
        <w:t xml:space="preserve">.  My impression is that the process </w:t>
      </w:r>
      <w:proofErr w:type="gramStart"/>
      <w:r w:rsidRPr="00642312">
        <w:rPr>
          <w:color w:val="1F3864"/>
          <w:sz w:val="24"/>
          <w:szCs w:val="24"/>
        </w:rPr>
        <w:t>is judged</w:t>
      </w:r>
      <w:proofErr w:type="gramEnd"/>
      <w:r w:rsidRPr="00642312">
        <w:rPr>
          <w:color w:val="1F3864"/>
          <w:sz w:val="24"/>
          <w:szCs w:val="24"/>
        </w:rPr>
        <w:t xml:space="preserve"> more critically than how well we (the faculty) assess the competencies in the paper. </w:t>
      </w:r>
    </w:p>
    <w:p w:rsidR="009C7133" w:rsidRPr="00642312" w:rsidRDefault="009C7133" w:rsidP="009C71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I asked about students describing how competencies </w:t>
      </w:r>
      <w:proofErr w:type="gramStart"/>
      <w:r w:rsidRPr="00642312">
        <w:rPr>
          <w:color w:val="1F3864"/>
          <w:sz w:val="24"/>
          <w:szCs w:val="24"/>
        </w:rPr>
        <w:t>were synthesized</w:t>
      </w:r>
      <w:proofErr w:type="gramEnd"/>
      <w:r w:rsidRPr="00642312">
        <w:rPr>
          <w:color w:val="1F3864"/>
          <w:sz w:val="24"/>
          <w:szCs w:val="24"/>
        </w:rPr>
        <w:t xml:space="preserve"> in a presentation or report.  She stated that would not meet the requirement.</w:t>
      </w:r>
    </w:p>
    <w:p w:rsidR="009C7133" w:rsidRPr="00642312" w:rsidRDefault="009C7133" w:rsidP="009C71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Specific information about competency synthesis that isn’t in the self-study (the board just decided on these):</w:t>
      </w:r>
    </w:p>
    <w:p w:rsidR="009C7133" w:rsidRPr="00642312" w:rsidRDefault="009C7133" w:rsidP="009C713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Each ILE must demonstrate </w:t>
      </w:r>
      <w:r w:rsidRPr="00642312">
        <w:rPr>
          <w:b/>
          <w:bCs/>
          <w:color w:val="1F3864"/>
          <w:sz w:val="24"/>
          <w:szCs w:val="24"/>
        </w:rPr>
        <w:t>at least</w:t>
      </w:r>
      <w:r w:rsidRPr="00642312">
        <w:rPr>
          <w:color w:val="1F3864"/>
          <w:sz w:val="24"/>
          <w:szCs w:val="24"/>
        </w:rPr>
        <w:t xml:space="preserve"> three competencies, one of which must come from our program competencies</w:t>
      </w:r>
    </w:p>
    <w:p w:rsidR="009C7133" w:rsidRPr="00642312" w:rsidRDefault="009C7133" w:rsidP="009C713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The ILE does not need to demonstrate ALL parts of the competency.</w:t>
      </w:r>
    </w:p>
    <w:p w:rsidR="009C7133" w:rsidRPr="00642312" w:rsidRDefault="009C7133" w:rsidP="009C713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The ILE has </w:t>
      </w:r>
      <w:proofErr w:type="gramStart"/>
      <w:r w:rsidRPr="00642312">
        <w:rPr>
          <w:color w:val="1F3864"/>
          <w:sz w:val="24"/>
          <w:szCs w:val="24"/>
        </w:rPr>
        <w:t>to at least loosely demonstrate</w:t>
      </w:r>
      <w:proofErr w:type="gramEnd"/>
      <w:r w:rsidRPr="00642312">
        <w:rPr>
          <w:color w:val="1F3864"/>
          <w:sz w:val="24"/>
          <w:szCs w:val="24"/>
        </w:rPr>
        <w:t xml:space="preserve"> the verb.  This is </w:t>
      </w:r>
      <w:proofErr w:type="gramStart"/>
      <w:r w:rsidRPr="00642312">
        <w:rPr>
          <w:color w:val="1F3864"/>
          <w:sz w:val="24"/>
          <w:szCs w:val="24"/>
        </w:rPr>
        <w:t>pretty nebulous</w:t>
      </w:r>
      <w:proofErr w:type="gramEnd"/>
      <w:r w:rsidRPr="00642312">
        <w:rPr>
          <w:color w:val="1F3864"/>
          <w:sz w:val="24"/>
          <w:szCs w:val="24"/>
        </w:rPr>
        <w:t>.</w:t>
      </w:r>
    </w:p>
    <w:p w:rsidR="009C7133" w:rsidRPr="00642312" w:rsidRDefault="009C7133" w:rsidP="009C7133">
      <w:pPr>
        <w:rPr>
          <w:color w:val="1F3864"/>
          <w:sz w:val="24"/>
          <w:szCs w:val="24"/>
        </w:rPr>
      </w:pPr>
    </w:p>
    <w:p w:rsidR="009C7133" w:rsidRPr="00642312" w:rsidRDefault="009C7133" w:rsidP="009C7133">
      <w:pPr>
        <w:rPr>
          <w:b/>
          <w:bCs/>
          <w:color w:val="1F3864"/>
          <w:sz w:val="24"/>
          <w:szCs w:val="24"/>
          <w:u w:val="single"/>
        </w:rPr>
      </w:pPr>
      <w:r w:rsidRPr="00642312">
        <w:rPr>
          <w:b/>
          <w:bCs/>
          <w:color w:val="1F3864"/>
          <w:sz w:val="24"/>
          <w:szCs w:val="24"/>
          <w:u w:val="single"/>
        </w:rPr>
        <w:t>Points for Discussion/Recommendations:</w:t>
      </w:r>
    </w:p>
    <w:p w:rsidR="009C7133" w:rsidRPr="00642312" w:rsidRDefault="009C7133" w:rsidP="009C713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Because the ILE is also the required comprehensive for the graduate school, I recommend we continue the four-point grading to fulfil this requirement (CEPH </w:t>
      </w:r>
      <w:proofErr w:type="gramStart"/>
      <w:r w:rsidRPr="00642312">
        <w:rPr>
          <w:color w:val="1F3864"/>
          <w:sz w:val="24"/>
          <w:szCs w:val="24"/>
        </w:rPr>
        <w:t>doesn’t</w:t>
      </w:r>
      <w:proofErr w:type="gramEnd"/>
      <w:r w:rsidRPr="00642312">
        <w:rPr>
          <w:color w:val="1F3864"/>
          <w:sz w:val="24"/>
          <w:szCs w:val="24"/>
        </w:rPr>
        <w:t xml:space="preserve"> care if they pass or not).</w:t>
      </w:r>
    </w:p>
    <w:p w:rsidR="009C7133" w:rsidRPr="00642312" w:rsidRDefault="009C7133" w:rsidP="009C713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Because all ILEs must be high-quality written products, I recommend we keep the writing assessment on the new rubric as a stand-alone requirement that all students must pass.  We will need to decide what passing is.</w:t>
      </w:r>
    </w:p>
    <w:p w:rsidR="009C7133" w:rsidRPr="00642312" w:rsidRDefault="009C7133" w:rsidP="009C713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Competency 19 is constant among all ILEs: </w:t>
      </w:r>
      <w:r w:rsidRPr="00642312">
        <w:rPr>
          <w:sz w:val="24"/>
          <w:szCs w:val="24"/>
        </w:rPr>
        <w:t>Communicate audience-appropriate public health content, both in writing and through oral presentation</w:t>
      </w:r>
    </w:p>
    <w:p w:rsidR="009C7133" w:rsidRPr="00642312" w:rsidRDefault="009C7133" w:rsidP="009C713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Having a common program competency that all ILEs meet would be an efficient way to go.  I suggest we look at these to see if one could fit into the four categories currently required.  If not, we may want to consider revising our program competencies.  I also think it would be great if we could identify another common foundational competency.</w:t>
      </w:r>
    </w:p>
    <w:p w:rsidR="009C7133" w:rsidRPr="00642312" w:rsidRDefault="009C7133" w:rsidP="009C7133">
      <w:pPr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 xml:space="preserve">We need to make decisions rather quickly so that the information </w:t>
      </w:r>
      <w:proofErr w:type="gramStart"/>
      <w:r w:rsidRPr="00642312">
        <w:rPr>
          <w:color w:val="1F3864"/>
          <w:sz w:val="24"/>
          <w:szCs w:val="24"/>
        </w:rPr>
        <w:t>can be incorporated</w:t>
      </w:r>
      <w:proofErr w:type="gramEnd"/>
      <w:r w:rsidRPr="00642312">
        <w:rPr>
          <w:color w:val="1F3864"/>
          <w:sz w:val="24"/>
          <w:szCs w:val="24"/>
        </w:rPr>
        <w:t xml:space="preserve"> into the new handbook and, if needed, our course competency alignments. </w:t>
      </w:r>
      <w:proofErr w:type="gramStart"/>
      <w:r w:rsidRPr="00642312">
        <w:rPr>
          <w:color w:val="1F3864"/>
          <w:sz w:val="24"/>
          <w:szCs w:val="24"/>
        </w:rPr>
        <w:t>I’d</w:t>
      </w:r>
      <w:proofErr w:type="gramEnd"/>
      <w:r w:rsidRPr="00642312">
        <w:rPr>
          <w:color w:val="1F3864"/>
          <w:sz w:val="24"/>
          <w:szCs w:val="24"/>
        </w:rPr>
        <w:t xml:space="preserve"> like to meet sometime after grades are due to discuss and make decisions about the points above and directions moving forward.  Prior to meeting</w:t>
      </w:r>
      <w:proofErr w:type="gramStart"/>
      <w:r w:rsidRPr="00642312">
        <w:rPr>
          <w:color w:val="1F3864"/>
          <w:sz w:val="24"/>
          <w:szCs w:val="24"/>
        </w:rPr>
        <w:t>,  I</w:t>
      </w:r>
      <w:proofErr w:type="gramEnd"/>
      <w:r w:rsidRPr="00642312">
        <w:rPr>
          <w:color w:val="1F3864"/>
          <w:sz w:val="24"/>
          <w:szCs w:val="24"/>
        </w:rPr>
        <w:t xml:space="preserve"> ask that everyone do the following:</w:t>
      </w:r>
    </w:p>
    <w:p w:rsidR="009C7133" w:rsidRPr="00642312" w:rsidRDefault="009C7133" w:rsidP="009C71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Review program competencies: Is there a common competency we can use? If not, can you recommend one?</w:t>
      </w:r>
    </w:p>
    <w:p w:rsidR="009C7133" w:rsidRDefault="009C7133" w:rsidP="009C713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Review foundational competencies:  Is there a common competency we can use?</w:t>
      </w:r>
    </w:p>
    <w:p w:rsidR="009C7133" w:rsidRPr="00642312" w:rsidRDefault="009C7133" w:rsidP="009C7133">
      <w:pPr>
        <w:pStyle w:val="ListParagraph"/>
        <w:spacing w:after="0" w:line="240" w:lineRule="auto"/>
        <w:contextualSpacing w:val="0"/>
        <w:rPr>
          <w:color w:val="1F3864"/>
          <w:sz w:val="24"/>
          <w:szCs w:val="24"/>
        </w:rPr>
      </w:pPr>
    </w:p>
    <w:p w:rsidR="009C7133" w:rsidRPr="00642312" w:rsidRDefault="009C7133" w:rsidP="009C7133">
      <w:pPr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lastRenderedPageBreak/>
        <w:t xml:space="preserve">Thanks! </w:t>
      </w:r>
      <w:proofErr w:type="gramStart"/>
      <w:r w:rsidRPr="00642312">
        <w:rPr>
          <w:color w:val="1F3864"/>
          <w:sz w:val="24"/>
          <w:szCs w:val="24"/>
        </w:rPr>
        <w:t>And</w:t>
      </w:r>
      <w:proofErr w:type="gramEnd"/>
      <w:r w:rsidRPr="00642312">
        <w:rPr>
          <w:color w:val="1F3864"/>
          <w:sz w:val="24"/>
          <w:szCs w:val="24"/>
        </w:rPr>
        <w:t xml:space="preserve"> cheers to this semester ending.</w:t>
      </w:r>
    </w:p>
    <w:p w:rsidR="009C7133" w:rsidRPr="00642312" w:rsidRDefault="009C7133" w:rsidP="009C7133">
      <w:pPr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Marilyn M. Gardner, Ph.D.</w:t>
      </w:r>
    </w:p>
    <w:p w:rsidR="009C7133" w:rsidRDefault="009C7133" w:rsidP="009C7133">
      <w:pPr>
        <w:rPr>
          <w:color w:val="1F3864"/>
          <w:sz w:val="24"/>
          <w:szCs w:val="24"/>
        </w:rPr>
      </w:pPr>
      <w:r w:rsidRPr="00642312">
        <w:rPr>
          <w:color w:val="1F3864"/>
          <w:sz w:val="24"/>
          <w:szCs w:val="24"/>
        </w:rPr>
        <w:t>MPH Program Coordinator</w:t>
      </w:r>
    </w:p>
    <w:p w:rsidR="009C7133" w:rsidRDefault="009C7133" w:rsidP="009C7133">
      <w:pPr>
        <w:rPr>
          <w:color w:val="1F3864"/>
          <w:sz w:val="24"/>
          <w:szCs w:val="24"/>
        </w:rPr>
      </w:pPr>
    </w:p>
    <w:p w:rsidR="009C7133" w:rsidRPr="001E6C1C" w:rsidRDefault="009C7133" w:rsidP="009C7133">
      <w:pPr>
        <w:pStyle w:val="Heading2"/>
      </w:pPr>
      <w:r>
        <w:t>Appendix B:  MPH Competencies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 xml:space="preserve">Evidence-based Approaches to Public Health </w:t>
      </w:r>
    </w:p>
    <w:p w:rsidR="009C7133" w:rsidRDefault="009C7133" w:rsidP="009C7133">
      <w:pPr>
        <w:pStyle w:val="xdefault"/>
        <w:spacing w:before="0" w:beforeAutospacing="0" w:after="160" w:afterAutospacing="0"/>
        <w:rPr>
          <w:rFonts w:cstheme="minorHAnsi"/>
        </w:rPr>
      </w:pPr>
      <w:r>
        <w:rPr>
          <w:rFonts w:asciiTheme="minorHAnsi" w:hAnsiTheme="minorHAnsi" w:cstheme="minorHAnsi"/>
        </w:rPr>
        <w:t xml:space="preserve">1. Apply epidemiological methods to the breadth of settings and situations in public health practice </w:t>
      </w:r>
    </w:p>
    <w:p w:rsidR="009C7133" w:rsidRDefault="009C7133" w:rsidP="009C7133">
      <w:pPr>
        <w:pStyle w:val="xdefault"/>
        <w:spacing w:before="0" w:beforeAutospacing="0" w:after="160" w:afterAutospacing="0"/>
        <w:rPr>
          <w:rFonts w:cstheme="minorHAnsi"/>
        </w:rPr>
      </w:pPr>
      <w:r>
        <w:rPr>
          <w:rFonts w:asciiTheme="minorHAnsi" w:hAnsiTheme="minorHAnsi" w:cstheme="minorHAnsi"/>
        </w:rPr>
        <w:t xml:space="preserve">2. Select quantitative and qualitative data collection methods appropriate for a given public health context </w:t>
      </w:r>
    </w:p>
    <w:p w:rsidR="009C7133" w:rsidRDefault="009C7133" w:rsidP="009C7133">
      <w:pPr>
        <w:pStyle w:val="xdefault"/>
        <w:spacing w:before="0" w:beforeAutospacing="0" w:after="160" w:afterAutospacing="0"/>
        <w:rPr>
          <w:rFonts w:cstheme="minorHAnsi"/>
        </w:rPr>
      </w:pPr>
      <w:r>
        <w:rPr>
          <w:rFonts w:asciiTheme="minorHAnsi" w:hAnsiTheme="minorHAnsi" w:cstheme="minorHAnsi"/>
        </w:rPr>
        <w:t xml:space="preserve">3. Analyze quantitative and qualitative data using biostatistics, informatics, computer-based programming and software, as appropriate </w:t>
      </w:r>
    </w:p>
    <w:p w:rsidR="009C7133" w:rsidRDefault="009C7133" w:rsidP="009C7133">
      <w:pPr>
        <w:pStyle w:val="xdefault"/>
        <w:spacing w:before="0" w:beforeAutospacing="0" w:after="160" w:afterAutospacing="0"/>
        <w:rPr>
          <w:rFonts w:cstheme="minorHAnsi"/>
        </w:rPr>
      </w:pPr>
      <w:r>
        <w:rPr>
          <w:rFonts w:asciiTheme="minorHAnsi" w:hAnsiTheme="minorHAnsi" w:cstheme="minorHAnsi"/>
        </w:rPr>
        <w:t xml:space="preserve">4. Interpret results of data analysis for public health research, policy or practice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eastAsia="Times New Roman" w:cstheme="minorHAnsi"/>
          <w:b/>
          <w:color w:val="000000"/>
          <w:sz w:val="24"/>
          <w:szCs w:val="24"/>
        </w:rPr>
        <w:t xml:space="preserve">Public Health &amp; Health Care Systems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5. Compare the organization, structure and function of health care, public health and regulatory systems across national and international settings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eastAsia="Times New Roman" w:cstheme="minorHAnsi"/>
          <w:b/>
          <w:color w:val="000000"/>
          <w:sz w:val="24"/>
          <w:szCs w:val="24"/>
        </w:rPr>
        <w:t xml:space="preserve">Planning &amp; Management to Promote Health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7. Assess population needs, assets and capacities that affect communities’ health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8. Apply awareness of cultural values and practices to the design or implementation of public health policies or programs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9. Design a population-based policy, program, project or intervention 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10. Explain basic principles and tools of budget and resource management </w:t>
      </w:r>
    </w:p>
    <w:p w:rsidR="009C7133" w:rsidRDefault="009C7133" w:rsidP="009C7133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11. Select methods to evaluate public health programs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 xml:space="preserve">Policy in Public Health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Discuss multiple dimensions of the policy-making process, including the roles of ethics and evidence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Propose strategies to identify stakeholders and build coalitions and partnerships for influencing public health outcomes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14. Advocate for political, social or economic policies and programs that will improve health in diverse populations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Evaluate policies for their impact on public health and health equity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 xml:space="preserve">Leadership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Apply principles of leadership, governance and management, which include creating a vision, empowering others, fostering collaboration and guiding </w:t>
      </w:r>
      <w:proofErr w:type="gramStart"/>
      <w:r>
        <w:rPr>
          <w:rFonts w:cstheme="minorHAnsi"/>
          <w:sz w:val="24"/>
          <w:szCs w:val="24"/>
        </w:rPr>
        <w:t>decision making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 Apply negotiation and mediation skills to address organizational or community challenges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 xml:space="preserve">Communication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Select communication strategies for different audiences and sectors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Communicate audience-appropriate public health content, both in writing and through oral presentation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Describe the importance of cultural competence in communicating public health content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 xml:space="preserve">Interprofessional Practice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Perform effectively on interprofessional teams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>Systems Thinking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Apply systems thinking tools to a public health issue </w:t>
      </w:r>
    </w:p>
    <w:p w:rsidR="009C7133" w:rsidRPr="003A55B6" w:rsidRDefault="009C7133" w:rsidP="009C7133">
      <w:pPr>
        <w:spacing w:line="240" w:lineRule="auto"/>
        <w:rPr>
          <w:rFonts w:cstheme="minorHAnsi"/>
          <w:b/>
          <w:sz w:val="24"/>
          <w:szCs w:val="24"/>
        </w:rPr>
      </w:pPr>
      <w:r w:rsidRPr="003A55B6">
        <w:rPr>
          <w:rFonts w:cstheme="minorHAnsi"/>
          <w:b/>
          <w:sz w:val="24"/>
          <w:szCs w:val="24"/>
        </w:rPr>
        <w:t>WKU MPH Program Competencies</w:t>
      </w:r>
    </w:p>
    <w:p w:rsidR="009C7133" w:rsidRDefault="009C7133" w:rsidP="009C7133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23. Apply health behavior theories and models to address public health problems.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24. Describe the role of budgeting; methods of seeking extramural funding; and methods of financial analysis in making decisions about policies, programs and services. </w:t>
      </w:r>
    </w:p>
    <w:p w:rsidR="009C7133" w:rsidRDefault="009C7133" w:rsidP="009C713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 Discuss theoretical models and methods used to understand, explain, and ameliorate health disparities.</w:t>
      </w:r>
    </w:p>
    <w:p w:rsidR="009C7133" w:rsidRDefault="009C7133" w:rsidP="009C7133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26. Integrate social determinants into public health science, practice, and research.</w:t>
      </w:r>
    </w:p>
    <w:p w:rsidR="00B06E82" w:rsidRDefault="009C7133" w:rsidP="00FC2F54">
      <w:pPr>
        <w:spacing w:line="240" w:lineRule="auto"/>
      </w:pPr>
      <w:r>
        <w:rPr>
          <w:rFonts w:cstheme="minorHAnsi"/>
          <w:sz w:val="24"/>
          <w:szCs w:val="24"/>
        </w:rPr>
        <w:t>27. Identify the direct and indirect population health effects of environmental hazards (biological, chemical and physical) on humans, animals and the ecology.</w:t>
      </w:r>
    </w:p>
    <w:sectPr w:rsidR="00B0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FAF"/>
    <w:multiLevelType w:val="hybridMultilevel"/>
    <w:tmpl w:val="86B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44"/>
    <w:multiLevelType w:val="hybridMultilevel"/>
    <w:tmpl w:val="010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EDE"/>
    <w:multiLevelType w:val="hybridMultilevel"/>
    <w:tmpl w:val="9EEE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EFC"/>
    <w:multiLevelType w:val="hybridMultilevel"/>
    <w:tmpl w:val="4B7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D"/>
    <w:rsid w:val="00017CB6"/>
    <w:rsid w:val="001D4ED5"/>
    <w:rsid w:val="003E5856"/>
    <w:rsid w:val="00442DBC"/>
    <w:rsid w:val="005A3330"/>
    <w:rsid w:val="005F4590"/>
    <w:rsid w:val="008E7B81"/>
    <w:rsid w:val="00924E1F"/>
    <w:rsid w:val="009A788D"/>
    <w:rsid w:val="009C7133"/>
    <w:rsid w:val="00B06E82"/>
    <w:rsid w:val="00C221CA"/>
    <w:rsid w:val="00D716EA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2794"/>
  <w15:chartTrackingRefBased/>
  <w15:docId w15:val="{66CC7D43-F6DB-48D2-AE0F-9BE9FCF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7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default">
    <w:name w:val="x_default"/>
    <w:basedOn w:val="Normal"/>
    <w:rsid w:val="009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7B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6699</Characters>
  <Application>Microsoft Office Word</Application>
  <DocSecurity>0</DocSecurity>
  <Lines>352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Gardner, Marilyn</cp:lastModifiedBy>
  <cp:revision>3</cp:revision>
  <dcterms:created xsi:type="dcterms:W3CDTF">2020-06-23T23:18:00Z</dcterms:created>
  <dcterms:modified xsi:type="dcterms:W3CDTF">2020-06-23T23:21:00Z</dcterms:modified>
</cp:coreProperties>
</file>