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39"/>
        <w:gridCol w:w="1049"/>
        <w:gridCol w:w="1482"/>
        <w:gridCol w:w="615"/>
        <w:gridCol w:w="1049"/>
        <w:gridCol w:w="1813"/>
        <w:gridCol w:w="1781"/>
        <w:gridCol w:w="1530"/>
        <w:gridCol w:w="1710"/>
      </w:tblGrid>
      <w:tr w:rsidR="00077C3D" w:rsidTr="00B01684">
        <w:trPr>
          <w:trHeight w:val="62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Fall 2019</w:t>
            </w:r>
          </w:p>
        </w:tc>
        <w:tc>
          <w:tcPr>
            <w:tcW w:w="11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  <w:r w:rsidR="00B016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time in instruction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Pr="000A51B5" w:rsidRDefault="00077C3D" w:rsidP="00B0168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Inst. FTE based on SR</w:t>
            </w:r>
            <w:r w:rsidR="000A51B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Pr="000A51B5" w:rsidRDefault="00077C3D" w:rsidP="00B0168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other FTE % to prog</w:t>
            </w:r>
            <w:r w:rsidR="000A51B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Pr="000A51B5" w:rsidRDefault="00077C3D" w:rsidP="00B0168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highlight w:val="yellow"/>
              </w:rPr>
              <w:t xml:space="preserve">Total </w:t>
            </w:r>
            <w:proofErr w:type="spellStart"/>
            <w:r>
              <w:rPr>
                <w:color w:val="000000"/>
                <w:highlight w:val="yellow"/>
              </w:rPr>
              <w:t>Sem</w:t>
            </w:r>
            <w:proofErr w:type="spellEnd"/>
            <w:r>
              <w:rPr>
                <w:color w:val="000000"/>
                <w:highlight w:val="yellow"/>
              </w:rPr>
              <w:t xml:space="preserve"> FTE based on SR</w:t>
            </w:r>
            <w:r w:rsidR="000A51B5">
              <w:rPr>
                <w:color w:val="000000"/>
                <w:vertAlign w:val="superscript"/>
              </w:rPr>
              <w:t>3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Ding</w:t>
            </w:r>
          </w:p>
        </w:tc>
        <w:tc>
          <w:tcPr>
            <w:tcW w:w="113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4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1482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Eagle</w:t>
            </w:r>
          </w:p>
        </w:tc>
        <w:tc>
          <w:tcPr>
            <w:tcW w:w="11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Farrell</w:t>
            </w:r>
          </w:p>
        </w:tc>
        <w:tc>
          <w:tcPr>
            <w:tcW w:w="113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82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Gardner</w:t>
            </w:r>
          </w:p>
        </w:tc>
        <w:tc>
          <w:tcPr>
            <w:tcW w:w="113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04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482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530+ ILE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71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Kim</w:t>
            </w:r>
          </w:p>
        </w:tc>
        <w:tc>
          <w:tcPr>
            <w:tcW w:w="11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Lartey</w:t>
            </w:r>
          </w:p>
        </w:tc>
        <w:tc>
          <w:tcPr>
            <w:tcW w:w="113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49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482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66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internship</w:t>
            </w: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71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Macy</w:t>
            </w:r>
          </w:p>
        </w:tc>
        <w:tc>
          <w:tcPr>
            <w:tcW w:w="11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482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753F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753F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077C3D" w:rsidTr="00B01684">
        <w:trPr>
          <w:trHeight w:val="290"/>
        </w:trPr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Watkins</w:t>
            </w:r>
          </w:p>
        </w:tc>
        <w:tc>
          <w:tcPr>
            <w:tcW w:w="11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EOHS502</w:t>
            </w:r>
          </w:p>
        </w:tc>
        <w:tc>
          <w:tcPr>
            <w:tcW w:w="1049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482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753F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753FD" w:rsidP="00B0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</w:tbl>
    <w:p w:rsidR="00077C3D" w:rsidRDefault="00077C3D"/>
    <w:p w:rsidR="00077C3D" w:rsidRDefault="000A51B5">
      <w:r w:rsidRPr="004A78A7">
        <w:rPr>
          <w:vertAlign w:val="superscript"/>
        </w:rPr>
        <w:t>1</w:t>
      </w:r>
      <w:r>
        <w:t xml:space="preserve"> </w:t>
      </w:r>
      <w:r w:rsidR="004A78A7">
        <w:t>Calculated by multiplying the proportion of eligible courses by the self-</w:t>
      </w:r>
      <w:proofErr w:type="gramStart"/>
      <w:r w:rsidR="004A78A7">
        <w:t xml:space="preserve">reported  </w:t>
      </w:r>
      <w:r>
        <w:t>%</w:t>
      </w:r>
      <w:proofErr w:type="gramEnd"/>
      <w:r w:rsidR="004A78A7">
        <w:t xml:space="preserve"> time spent in instruction. F</w:t>
      </w:r>
      <w:r>
        <w:t xml:space="preserve">or example, </w:t>
      </w:r>
      <w:r w:rsidR="004A78A7">
        <w:t xml:space="preserve">all three of Ding’s classes count toward FTE (100%) and she </w:t>
      </w:r>
      <w:r>
        <w:t>spent 40% time in instruction</w:t>
      </w:r>
      <w:r w:rsidR="004A78A7">
        <w:t>; thus, 40% x 100% = .4</w:t>
      </w:r>
    </w:p>
    <w:p w:rsidR="004A78A7" w:rsidRDefault="004A78A7">
      <w:r w:rsidRPr="00B753FD">
        <w:rPr>
          <w:vertAlign w:val="superscript"/>
        </w:rPr>
        <w:t>2</w:t>
      </w:r>
      <w:r>
        <w:t xml:space="preserve"> Calculated by summing the </w:t>
      </w:r>
      <w:r w:rsidR="00B753FD">
        <w:t xml:space="preserve">self-reported </w:t>
      </w:r>
      <w:r>
        <w:t>% time spent in service to program, % tim</w:t>
      </w:r>
      <w:r w:rsidR="00B753FD">
        <w:t>e in other service that involve</w:t>
      </w:r>
      <w:r>
        <w:t xml:space="preserve"> MPH </w:t>
      </w:r>
      <w:r w:rsidR="00B01684">
        <w:t>students,</w:t>
      </w:r>
      <w:r>
        <w:t xml:space="preserve"> % time in research that involve MPH</w:t>
      </w:r>
      <w:r w:rsidR="00B753FD">
        <w:t xml:space="preserve"> students</w:t>
      </w:r>
      <w:r w:rsidR="00B01684">
        <w:t>, and MPH/BSPH program administration</w:t>
      </w:r>
      <w:r w:rsidR="00B753FD">
        <w:t xml:space="preserve">. MPH student involvement </w:t>
      </w:r>
      <w:proofErr w:type="gramStart"/>
      <w:r w:rsidR="00B753FD">
        <w:t>was based</w:t>
      </w:r>
      <w:proofErr w:type="gramEnd"/>
      <w:r w:rsidR="00B753FD">
        <w:t xml:space="preserve"> on AY 18-19 faculty annual assessment data.</w:t>
      </w:r>
    </w:p>
    <w:p w:rsidR="00B753FD" w:rsidRDefault="00B753FD">
      <w:proofErr w:type="gramStart"/>
      <w:r w:rsidRPr="00B753FD">
        <w:rPr>
          <w:vertAlign w:val="superscript"/>
        </w:rPr>
        <w:t>3</w:t>
      </w:r>
      <w:proofErr w:type="gramEnd"/>
      <w:r>
        <w:t xml:space="preserve"> Calculated by summing 1 and 2</w:t>
      </w:r>
    </w:p>
    <w:p w:rsidR="00B753FD" w:rsidRDefault="00B753FD"/>
    <w:p w:rsidR="000A51B5" w:rsidRDefault="000A51B5"/>
    <w:p w:rsidR="00077C3D" w:rsidRPr="00077C3D" w:rsidRDefault="00077C3D">
      <w:pPr>
        <w:rPr>
          <w:b/>
        </w:rPr>
      </w:pPr>
      <w:r w:rsidRPr="00077C3D">
        <w:rPr>
          <w:b/>
          <w:color w:val="000000"/>
        </w:rPr>
        <w:t>Spring 2020 Projections</w:t>
      </w:r>
      <w:r>
        <w:rPr>
          <w:b/>
          <w:color w:val="000000"/>
        </w:rPr>
        <w:t xml:space="preserve"> using same distributions</w:t>
      </w:r>
    </w:p>
    <w:tbl>
      <w:tblPr>
        <w:tblW w:w="132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60"/>
        <w:gridCol w:w="1080"/>
        <w:gridCol w:w="1440"/>
        <w:gridCol w:w="630"/>
        <w:gridCol w:w="920"/>
        <w:gridCol w:w="1870"/>
        <w:gridCol w:w="1730"/>
        <w:gridCol w:w="1530"/>
        <w:gridCol w:w="1710"/>
      </w:tblGrid>
      <w:tr w:rsidR="00077C3D" w:rsidTr="00B01684">
        <w:trPr>
          <w:trHeight w:val="290"/>
        </w:trPr>
        <w:tc>
          <w:tcPr>
            <w:tcW w:w="23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Ding</w:t>
            </w:r>
          </w:p>
        </w:tc>
        <w:tc>
          <w:tcPr>
            <w:tcW w:w="126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8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44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Eagle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2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Farrell</w:t>
            </w:r>
          </w:p>
        </w:tc>
        <w:tc>
          <w:tcPr>
            <w:tcW w:w="126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8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44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Gardner</w:t>
            </w:r>
          </w:p>
        </w:tc>
        <w:tc>
          <w:tcPr>
            <w:tcW w:w="126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08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44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530+ILE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71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Kim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Lartey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44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55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internship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71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Macy</w:t>
            </w:r>
          </w:p>
        </w:tc>
        <w:tc>
          <w:tcPr>
            <w:tcW w:w="126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8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EOHS 503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077C3D" w:rsidTr="00B01684">
        <w:trPr>
          <w:trHeight w:val="29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  <w:r>
              <w:rPr>
                <w:color w:val="000000"/>
              </w:rPr>
              <w:t>Watkins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440" w:type="dxa"/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color w:val="000000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01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077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3D" w:rsidRDefault="00B01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</w:tbl>
    <w:p w:rsidR="00B01684" w:rsidRDefault="00B01684"/>
    <w:p w:rsidR="00B01684" w:rsidRDefault="00B01684">
      <w:pPr>
        <w:spacing w:after="160" w:line="259" w:lineRule="auto"/>
      </w:pPr>
      <w:r>
        <w:br w:type="page"/>
      </w:r>
    </w:p>
    <w:p w:rsidR="00B01684" w:rsidRDefault="00B01684" w:rsidP="00B01684">
      <w:pPr>
        <w:rPr>
          <w:rFonts w:asciiTheme="minorHAnsi" w:hAnsiTheme="minorHAnsi" w:cstheme="minorBidi"/>
          <w:color w:val="1F497D"/>
        </w:rPr>
        <w:sectPr w:rsidR="00B01684" w:rsidSect="00077C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01684" w:rsidRPr="00B01684" w:rsidRDefault="00B01684" w:rsidP="00B01684">
      <w:pPr>
        <w:rPr>
          <w:rFonts w:asciiTheme="minorHAnsi" w:hAnsiTheme="minorHAnsi" w:cstheme="minorBidi"/>
          <w:color w:val="1F497D"/>
        </w:rPr>
      </w:pPr>
    </w:p>
    <w:p w:rsidR="00B01684" w:rsidRPr="00B01684" w:rsidRDefault="00B01684" w:rsidP="00B01684">
      <w:pPr>
        <w:rPr>
          <w:rFonts w:eastAsia="Times New Roman"/>
        </w:rPr>
      </w:pPr>
      <w:r w:rsidRPr="00B01684">
        <w:rPr>
          <w:rFonts w:eastAsia="Times New Roman"/>
          <w:b/>
          <w:bCs/>
        </w:rPr>
        <w:t>From:</w:t>
      </w:r>
      <w:r w:rsidRPr="00B01684">
        <w:rPr>
          <w:rFonts w:eastAsia="Times New Roman"/>
        </w:rPr>
        <w:t xml:space="preserve"> Olivia </w:t>
      </w:r>
      <w:proofErr w:type="spellStart"/>
      <w:r w:rsidRPr="00B01684">
        <w:rPr>
          <w:rFonts w:eastAsia="Times New Roman"/>
        </w:rPr>
        <w:t>Luzzi</w:t>
      </w:r>
      <w:proofErr w:type="spellEnd"/>
      <w:r w:rsidRPr="00B01684">
        <w:rPr>
          <w:rFonts w:eastAsia="Times New Roman"/>
        </w:rPr>
        <w:t xml:space="preserve"> &lt;oluzzi@ceph.org&gt; </w:t>
      </w:r>
      <w:r w:rsidRPr="00B01684">
        <w:rPr>
          <w:rFonts w:eastAsia="Times New Roman"/>
        </w:rPr>
        <w:br/>
      </w:r>
      <w:r w:rsidRPr="00B01684">
        <w:rPr>
          <w:rFonts w:eastAsia="Times New Roman"/>
          <w:b/>
          <w:bCs/>
        </w:rPr>
        <w:t>Sent:</w:t>
      </w:r>
      <w:r w:rsidRPr="00B01684">
        <w:rPr>
          <w:rFonts w:eastAsia="Times New Roman"/>
        </w:rPr>
        <w:t xml:space="preserve"> Tuesday, October 22, 2019 11:18 AM</w:t>
      </w:r>
      <w:r w:rsidRPr="00B01684">
        <w:rPr>
          <w:rFonts w:eastAsia="Times New Roman"/>
        </w:rPr>
        <w:br/>
      </w:r>
      <w:r w:rsidRPr="00B01684">
        <w:rPr>
          <w:rFonts w:eastAsia="Times New Roman"/>
          <w:b/>
          <w:bCs/>
        </w:rPr>
        <w:t>To:</w:t>
      </w:r>
      <w:r w:rsidRPr="00B01684">
        <w:rPr>
          <w:rFonts w:eastAsia="Times New Roman"/>
        </w:rPr>
        <w:t xml:space="preserve"> Gardner, Marilyn &lt;marilyn.gardner@wku.edu&gt;</w:t>
      </w:r>
      <w:r w:rsidRPr="00B01684">
        <w:rPr>
          <w:rFonts w:eastAsia="Times New Roman"/>
        </w:rPr>
        <w:br/>
      </w:r>
      <w:r w:rsidRPr="00B01684">
        <w:rPr>
          <w:rFonts w:eastAsia="Times New Roman"/>
          <w:b/>
          <w:bCs/>
        </w:rPr>
        <w:t>Subject:</w:t>
      </w:r>
      <w:r w:rsidRPr="00B01684">
        <w:rPr>
          <w:rFonts w:eastAsia="Times New Roman"/>
        </w:rPr>
        <w:t xml:space="preserve"> RE: Faculty FTEs</w:t>
      </w:r>
    </w:p>
    <w:p w:rsidR="00B01684" w:rsidRPr="00B01684" w:rsidRDefault="00B01684" w:rsidP="00B01684"/>
    <w:p w:rsidR="00B01684" w:rsidRPr="00B01684" w:rsidRDefault="00B01684" w:rsidP="00B01684">
      <w:pPr>
        <w:shd w:val="clear" w:color="auto" w:fill="FFEB9C"/>
        <w:spacing w:line="240" w:lineRule="atLeast"/>
        <w:jc w:val="center"/>
      </w:pPr>
      <w:r w:rsidRPr="00B01684">
        <w:rPr>
          <w:b/>
          <w:bCs/>
          <w:color w:val="9C6500"/>
        </w:rPr>
        <w:t>** This message originated from outside WKU. Always use caution following links. **</w:t>
      </w:r>
    </w:p>
    <w:p w:rsidR="00B01684" w:rsidRPr="00B01684" w:rsidRDefault="00B01684" w:rsidP="00B01684">
      <w:r w:rsidRPr="00B01684">
        <w:t>Hi Marilyn,</w:t>
      </w:r>
      <w:bookmarkStart w:id="0" w:name="_GoBack"/>
      <w:bookmarkEnd w:id="0"/>
    </w:p>
    <w:p w:rsidR="00B01684" w:rsidRPr="00B01684" w:rsidRDefault="00B01684" w:rsidP="00B01684">
      <w:r w:rsidRPr="00B01684">
        <w:t>That all looks correct to me!</w:t>
      </w:r>
    </w:p>
    <w:p w:rsidR="00B01684" w:rsidRPr="00B01684" w:rsidRDefault="00B01684" w:rsidP="00B01684">
      <w:r w:rsidRPr="00B01684">
        <w:t>Best,</w:t>
      </w:r>
    </w:p>
    <w:p w:rsidR="00B01684" w:rsidRPr="00B01684" w:rsidRDefault="00B01684" w:rsidP="00B01684">
      <w:r w:rsidRPr="00B01684">
        <w:t>Olivia</w:t>
      </w:r>
    </w:p>
    <w:p w:rsidR="00B01684" w:rsidRPr="00B01684" w:rsidRDefault="00B01684" w:rsidP="00B01684"/>
    <w:p w:rsidR="00B01684" w:rsidRPr="00B01684" w:rsidRDefault="00B01684" w:rsidP="00B01684">
      <w:pPr>
        <w:outlineLvl w:val="0"/>
      </w:pPr>
      <w:r w:rsidRPr="00B01684">
        <w:rPr>
          <w:b/>
          <w:bCs/>
        </w:rPr>
        <w:t>From:</w:t>
      </w:r>
      <w:r w:rsidRPr="00B01684">
        <w:t xml:space="preserve"> Gardner, Marilyn &lt;</w:t>
      </w:r>
      <w:hyperlink r:id="rId5" w:history="1">
        <w:r w:rsidRPr="00B01684">
          <w:rPr>
            <w:rStyle w:val="Hyperlink"/>
          </w:rPr>
          <w:t>marilyn.gardner@wku.edu</w:t>
        </w:r>
      </w:hyperlink>
      <w:r w:rsidRPr="00B01684">
        <w:t xml:space="preserve">&gt; </w:t>
      </w:r>
      <w:r w:rsidRPr="00B01684">
        <w:br/>
      </w:r>
      <w:r w:rsidRPr="00B01684">
        <w:rPr>
          <w:b/>
          <w:bCs/>
        </w:rPr>
        <w:t>Sent:</w:t>
      </w:r>
      <w:r w:rsidRPr="00B01684">
        <w:t xml:space="preserve"> Tuesday, October 22, 2019 12:16 PM</w:t>
      </w:r>
      <w:r w:rsidRPr="00B01684">
        <w:br/>
      </w:r>
      <w:r w:rsidRPr="00B01684">
        <w:rPr>
          <w:b/>
          <w:bCs/>
        </w:rPr>
        <w:t>To:</w:t>
      </w:r>
      <w:r w:rsidRPr="00B01684">
        <w:t xml:space="preserve"> Olivia </w:t>
      </w:r>
      <w:proofErr w:type="spellStart"/>
      <w:r w:rsidRPr="00B01684">
        <w:t>Luzzi</w:t>
      </w:r>
      <w:proofErr w:type="spellEnd"/>
      <w:r w:rsidRPr="00B01684">
        <w:t xml:space="preserve"> &lt;</w:t>
      </w:r>
      <w:hyperlink r:id="rId6" w:history="1">
        <w:r w:rsidRPr="00B01684">
          <w:rPr>
            <w:rStyle w:val="Hyperlink"/>
          </w:rPr>
          <w:t>oluzzi@ceph.org</w:t>
        </w:r>
      </w:hyperlink>
      <w:r w:rsidRPr="00B01684">
        <w:t>&gt;</w:t>
      </w:r>
      <w:r w:rsidRPr="00B01684">
        <w:br/>
      </w:r>
      <w:r w:rsidRPr="00B01684">
        <w:rPr>
          <w:b/>
          <w:bCs/>
        </w:rPr>
        <w:t>Subject:</w:t>
      </w:r>
      <w:r w:rsidRPr="00B01684">
        <w:t xml:space="preserve"> Faculty FTEs</w:t>
      </w:r>
    </w:p>
    <w:p w:rsidR="00B01684" w:rsidRPr="00B01684" w:rsidRDefault="00B01684" w:rsidP="00B01684"/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 xml:space="preserve">Thank you, Olivia, for your clarification on faculty FTEs.  </w:t>
      </w:r>
      <w:proofErr w:type="gramStart"/>
      <w:r w:rsidRPr="00B01684">
        <w:rPr>
          <w:color w:val="1F3864"/>
        </w:rPr>
        <w:t>I’ve</w:t>
      </w:r>
      <w:proofErr w:type="gramEnd"/>
      <w:r w:rsidRPr="00B01684">
        <w:rPr>
          <w:color w:val="1F3864"/>
        </w:rPr>
        <w:t xml:space="preserve"> summarized my understanding of our conversation.  Please correct and/or clarify anything </w:t>
      </w:r>
      <w:proofErr w:type="gramStart"/>
      <w:r w:rsidRPr="00B01684">
        <w:rPr>
          <w:color w:val="1F3864"/>
        </w:rPr>
        <w:t>I’ve</w:t>
      </w:r>
      <w:proofErr w:type="gramEnd"/>
      <w:r w:rsidRPr="00B01684">
        <w:rPr>
          <w:color w:val="1F3864"/>
        </w:rPr>
        <w:t xml:space="preserve"> misunderstood.</w:t>
      </w:r>
    </w:p>
    <w:p w:rsidR="00B01684" w:rsidRPr="00B01684" w:rsidRDefault="00B01684" w:rsidP="00B01684">
      <w:pPr>
        <w:rPr>
          <w:color w:val="1F3864"/>
        </w:rPr>
      </w:pPr>
    </w:p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 xml:space="preserve">Faculty FTE </w:t>
      </w:r>
      <w:proofErr w:type="gramStart"/>
      <w:r w:rsidRPr="00B01684">
        <w:rPr>
          <w:color w:val="1F3864"/>
        </w:rPr>
        <w:t>are calculated</w:t>
      </w:r>
      <w:proofErr w:type="gramEnd"/>
      <w:r w:rsidRPr="00B01684">
        <w:rPr>
          <w:color w:val="1F3864"/>
        </w:rPr>
        <w:t xml:space="preserve"> based on contributions that directly support the accreditation unit, which for us is the MPH and BSPH programs.  As such, we count the following contributions towards the FTE calculation: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>Time spent teaching required courses for the MPH and BSPH programs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>Time spent teaching electives that primarily serve MPH and BSPH students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>Time spent in service and research that involve MPH and/or BSPH students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 xml:space="preserve">Time spent in service that directly </w:t>
      </w:r>
      <w:proofErr w:type="gramStart"/>
      <w:r w:rsidRPr="00B01684">
        <w:rPr>
          <w:rFonts w:eastAsia="Times New Roman"/>
          <w:color w:val="1F3864"/>
        </w:rPr>
        <w:t>impacts</w:t>
      </w:r>
      <w:proofErr w:type="gramEnd"/>
      <w:r w:rsidRPr="00B01684">
        <w:rPr>
          <w:rFonts w:eastAsia="Times New Roman"/>
          <w:color w:val="1F3864"/>
        </w:rPr>
        <w:t xml:space="preserve"> the MPH and/or BSPH programs, such as advising or program coordination.</w:t>
      </w:r>
    </w:p>
    <w:p w:rsidR="00B01684" w:rsidRPr="00B01684" w:rsidRDefault="00B01684" w:rsidP="00B01684">
      <w:pPr>
        <w:rPr>
          <w:color w:val="1F3864"/>
        </w:rPr>
      </w:pPr>
    </w:p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>We do not count the following toward faculty FTEs: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>Time spent teaching electives that primarily serve students outside the MPH and BSPH course, such as those required by other programs and the University’s general education program.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>Time spent in service and research that does not involve MPH and/or BSPH students</w:t>
      </w:r>
    </w:p>
    <w:p w:rsidR="00B01684" w:rsidRPr="00B01684" w:rsidRDefault="00B01684" w:rsidP="00B01684">
      <w:pPr>
        <w:numPr>
          <w:ilvl w:val="0"/>
          <w:numId w:val="1"/>
        </w:numPr>
        <w:rPr>
          <w:rFonts w:eastAsia="Times New Roman"/>
          <w:color w:val="1F3864"/>
        </w:rPr>
      </w:pPr>
      <w:r w:rsidRPr="00B01684">
        <w:rPr>
          <w:rFonts w:eastAsia="Times New Roman"/>
          <w:color w:val="1F3864"/>
        </w:rPr>
        <w:t xml:space="preserve">Time spent in service that does not directly </w:t>
      </w:r>
      <w:proofErr w:type="gramStart"/>
      <w:r w:rsidRPr="00B01684">
        <w:rPr>
          <w:rFonts w:eastAsia="Times New Roman"/>
          <w:color w:val="1F3864"/>
        </w:rPr>
        <w:t>impact</w:t>
      </w:r>
      <w:proofErr w:type="gramEnd"/>
      <w:r w:rsidRPr="00B01684">
        <w:rPr>
          <w:rFonts w:eastAsia="Times New Roman"/>
          <w:color w:val="1F3864"/>
        </w:rPr>
        <w:t xml:space="preserve"> the MPH and/or BSPH programs, such as serving on a University committee or board member, reviewing abstracts for a journal, or serving as a board member for a community organization.</w:t>
      </w:r>
    </w:p>
    <w:p w:rsidR="00B01684" w:rsidRPr="00B01684" w:rsidRDefault="00B01684" w:rsidP="00B01684">
      <w:pPr>
        <w:rPr>
          <w:color w:val="1F3864"/>
        </w:rPr>
      </w:pPr>
    </w:p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>Thank you again!</w:t>
      </w:r>
    </w:p>
    <w:p w:rsidR="00B01684" w:rsidRPr="00B01684" w:rsidRDefault="00B01684" w:rsidP="00B01684">
      <w:pPr>
        <w:rPr>
          <w:color w:val="1F3864"/>
        </w:rPr>
      </w:pPr>
    </w:p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>Kind Regards,</w:t>
      </w:r>
    </w:p>
    <w:p w:rsidR="00B01684" w:rsidRPr="00B01684" w:rsidRDefault="00B01684" w:rsidP="00B01684">
      <w:pPr>
        <w:rPr>
          <w:color w:val="1F3864"/>
        </w:rPr>
      </w:pPr>
      <w:r w:rsidRPr="00B01684">
        <w:rPr>
          <w:color w:val="1F3864"/>
        </w:rPr>
        <w:t>Marilyn</w:t>
      </w:r>
    </w:p>
    <w:p w:rsidR="00077C3D" w:rsidRPr="00B01684" w:rsidRDefault="00077C3D"/>
    <w:sectPr w:rsidR="00077C3D" w:rsidRPr="00B01684" w:rsidSect="00B0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C2F9C"/>
    <w:multiLevelType w:val="hybridMultilevel"/>
    <w:tmpl w:val="622A6264"/>
    <w:lvl w:ilvl="0" w:tplc="D62290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3D"/>
    <w:rsid w:val="00077C3D"/>
    <w:rsid w:val="000A51B5"/>
    <w:rsid w:val="0043737A"/>
    <w:rsid w:val="004A78A7"/>
    <w:rsid w:val="005C65ED"/>
    <w:rsid w:val="005F07F1"/>
    <w:rsid w:val="0067664A"/>
    <w:rsid w:val="00AD6E8B"/>
    <w:rsid w:val="00AE5546"/>
    <w:rsid w:val="00B01684"/>
    <w:rsid w:val="00B753FD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938"/>
  <w15:chartTrackingRefBased/>
  <w15:docId w15:val="{16E82E34-982B-42B0-A87E-B8301D5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3D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eastAsia="Arial" w:cs="Arial"/>
      <w:b/>
      <w:sz w:val="32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eastAsia="Arial" w:cs="Arial"/>
      <w:b/>
      <w:sz w:val="24"/>
      <w:szCs w:val="32"/>
      <w:u w:val="single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eastAsia="Calibri"/>
      <w:sz w:val="24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/>
      <w:jc w:val="center"/>
    </w:pPr>
    <w:rPr>
      <w:rFonts w:asciiTheme="minorHAnsi" w:hAnsiTheme="minorHAnsi" w:cstheme="minorBidi"/>
      <w:sz w:val="28"/>
      <w:lang w:val="en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B016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zzi@ceph.org" TargetMode="External"/><Relationship Id="rId5" Type="http://schemas.openxmlformats.org/officeDocument/2006/relationships/hyperlink" Target="mailto:marilyn.gardner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2020-02-05T17:53:00Z</dcterms:created>
  <dcterms:modified xsi:type="dcterms:W3CDTF">2020-02-05T17:53:00Z</dcterms:modified>
</cp:coreProperties>
</file>