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255" w:rsidRDefault="004E6255" w:rsidP="004E6255">
      <w:pPr>
        <w:jc w:val="center"/>
      </w:pPr>
      <w:r>
        <w:t>Curriculum Committee Minute Notes</w:t>
      </w:r>
    </w:p>
    <w:p w:rsidR="004E6255" w:rsidRDefault="004E6255"/>
    <w:p w:rsidR="002A2AE8" w:rsidRDefault="002A2AE8">
      <w:r>
        <w:t>Present:  Ding, Farrell, Gardner, Adams, Rust, Macy</w:t>
      </w:r>
      <w:r w:rsidR="004E6255">
        <w:t>, Watkins</w:t>
      </w:r>
    </w:p>
    <w:p w:rsidR="002A2AE8" w:rsidRDefault="002A2AE8"/>
    <w:p w:rsidR="004E6255" w:rsidRDefault="00C32B1A">
      <w:r>
        <w:t xml:space="preserve">Gardner discussed the content review.  </w:t>
      </w:r>
    </w:p>
    <w:p w:rsidR="004E6255" w:rsidRDefault="00077078" w:rsidP="004E6255">
      <w:pPr>
        <w:pStyle w:val="ListParagraph"/>
        <w:numPr>
          <w:ilvl w:val="0"/>
          <w:numId w:val="6"/>
        </w:numPr>
      </w:pPr>
      <w:r>
        <w:t>E</w:t>
      </w:r>
      <w:r w:rsidR="00C32B1A">
        <w:t>veryone</w:t>
      </w:r>
      <w:r w:rsidR="00335C3F">
        <w:t xml:space="preserve"> please get </w:t>
      </w:r>
      <w:r w:rsidR="00BB19B6">
        <w:t xml:space="preserve">core </w:t>
      </w:r>
      <w:r w:rsidR="00335C3F">
        <w:t>content review in by August 1</w:t>
      </w:r>
      <w:r w:rsidR="00335C3F" w:rsidRPr="004E6255">
        <w:rPr>
          <w:vertAlign w:val="superscript"/>
        </w:rPr>
        <w:t>st</w:t>
      </w:r>
      <w:r w:rsidR="00335C3F">
        <w:t xml:space="preserve">. </w:t>
      </w:r>
      <w:r w:rsidR="00C32B1A">
        <w:t xml:space="preserve"> </w:t>
      </w:r>
    </w:p>
    <w:p w:rsidR="00077078" w:rsidRDefault="00077078" w:rsidP="00077078">
      <w:pPr>
        <w:pStyle w:val="ListParagraph"/>
        <w:numPr>
          <w:ilvl w:val="1"/>
          <w:numId w:val="6"/>
        </w:numPr>
      </w:pPr>
      <w:r>
        <w:t xml:space="preserve">This is everything you do in the course; don’t have to include assessments but can if you want – may be helpful in the future.  </w:t>
      </w:r>
    </w:p>
    <w:p w:rsidR="00077078" w:rsidRDefault="00077078" w:rsidP="00077078">
      <w:pPr>
        <w:pStyle w:val="ListParagraph"/>
        <w:numPr>
          <w:ilvl w:val="1"/>
          <w:numId w:val="6"/>
        </w:numPr>
      </w:pPr>
      <w:r>
        <w:t xml:space="preserve">External reviewers </w:t>
      </w:r>
      <w:r>
        <w:t>will review at some point; off schedule b/c of pandemic</w:t>
      </w:r>
    </w:p>
    <w:p w:rsidR="00077078" w:rsidRDefault="00C32B1A" w:rsidP="00077078">
      <w:pPr>
        <w:pStyle w:val="ListParagraph"/>
        <w:numPr>
          <w:ilvl w:val="0"/>
          <w:numId w:val="6"/>
        </w:numPr>
      </w:pPr>
      <w:r>
        <w:t>Farrell</w:t>
      </w:r>
      <w:r w:rsidR="00335C3F">
        <w:t xml:space="preserve"> to resend instructions</w:t>
      </w:r>
      <w:r w:rsidR="00077078">
        <w:t xml:space="preserve"> for uploading to google docs</w:t>
      </w:r>
      <w:r w:rsidR="00335C3F">
        <w:t xml:space="preserve">.  </w:t>
      </w:r>
    </w:p>
    <w:p w:rsidR="004E6255" w:rsidRDefault="00077078" w:rsidP="00077078">
      <w:pPr>
        <w:pStyle w:val="ListParagraph"/>
        <w:numPr>
          <w:ilvl w:val="0"/>
          <w:numId w:val="6"/>
        </w:numPr>
      </w:pPr>
      <w:r>
        <w:t>B</w:t>
      </w:r>
      <w:r w:rsidR="00335C3F">
        <w:t>etween august 1</w:t>
      </w:r>
      <w:r w:rsidR="00335C3F" w:rsidRPr="00077078">
        <w:rPr>
          <w:vertAlign w:val="superscript"/>
        </w:rPr>
        <w:t>st</w:t>
      </w:r>
      <w:r w:rsidR="00335C3F">
        <w:t xml:space="preserve"> and august 10</w:t>
      </w:r>
      <w:r w:rsidR="00335C3F" w:rsidRPr="00077078">
        <w:rPr>
          <w:vertAlign w:val="superscript"/>
        </w:rPr>
        <w:t>th</w:t>
      </w:r>
      <w:r w:rsidR="00335C3F">
        <w:t xml:space="preserve"> </w:t>
      </w:r>
      <w:r>
        <w:t xml:space="preserve">= </w:t>
      </w:r>
      <w:r w:rsidR="00335C3F">
        <w:t xml:space="preserve">everyone to go in and make suggestions for others’ content review.  </w:t>
      </w:r>
    </w:p>
    <w:p w:rsidR="004E6255" w:rsidRDefault="004E6255">
      <w:r>
        <w:t>Gardner discussed the c</w:t>
      </w:r>
      <w:r w:rsidR="00335C3F">
        <w:t>o</w:t>
      </w:r>
      <w:r>
        <w:t>mpetency alignment, for which a</w:t>
      </w:r>
      <w:r w:rsidR="00335C3F">
        <w:t xml:space="preserve"> form </w:t>
      </w:r>
      <w:r>
        <w:t xml:space="preserve">was </w:t>
      </w:r>
      <w:r w:rsidR="00335C3F">
        <w:t>emailed</w:t>
      </w:r>
      <w:r>
        <w:t xml:space="preserve"> (can be found in the Appendix)</w:t>
      </w:r>
      <w:r w:rsidR="00335C3F">
        <w:t xml:space="preserve">.  </w:t>
      </w:r>
    </w:p>
    <w:p w:rsidR="004E6255" w:rsidRDefault="00335C3F" w:rsidP="004E6255">
      <w:pPr>
        <w:pStyle w:val="ListParagraph"/>
        <w:numPr>
          <w:ilvl w:val="0"/>
          <w:numId w:val="7"/>
        </w:numPr>
      </w:pPr>
      <w:r>
        <w:t xml:space="preserve">Align objectives to the competencies, talk about the content (copy/past from content review), and put in assessments.  </w:t>
      </w:r>
    </w:p>
    <w:p w:rsidR="004E6255" w:rsidRDefault="00335C3F" w:rsidP="004E6255">
      <w:pPr>
        <w:pStyle w:val="ListParagraph"/>
        <w:numPr>
          <w:ilvl w:val="0"/>
          <w:numId w:val="7"/>
        </w:numPr>
      </w:pPr>
      <w:r>
        <w:t xml:space="preserve">On the form there is a </w:t>
      </w:r>
      <w:r w:rsidR="00D66BFD">
        <w:t xml:space="preserve">new </w:t>
      </w:r>
      <w:r>
        <w:t xml:space="preserve">number 5 that asks that you include a copy/example of the assessment to show that this is specifically what is used to address that competency.  </w:t>
      </w:r>
    </w:p>
    <w:p w:rsidR="004E6255" w:rsidRDefault="00335C3F" w:rsidP="004E6255">
      <w:pPr>
        <w:pStyle w:val="ListParagraph"/>
        <w:numPr>
          <w:ilvl w:val="0"/>
          <w:numId w:val="7"/>
        </w:numPr>
      </w:pPr>
      <w:r>
        <w:t xml:space="preserve">Substantive change notice in the fall for CEPH – assessments included with that – the more linkages, the more likely they are to accept without asking for more.  </w:t>
      </w:r>
    </w:p>
    <w:p w:rsidR="00335C3F" w:rsidRDefault="00335C3F" w:rsidP="004E6255">
      <w:pPr>
        <w:pStyle w:val="ListParagraph"/>
        <w:numPr>
          <w:ilvl w:val="0"/>
          <w:numId w:val="7"/>
        </w:numPr>
      </w:pPr>
      <w:r>
        <w:t>August 15</w:t>
      </w:r>
      <w:r w:rsidRPr="004E6255">
        <w:rPr>
          <w:vertAlign w:val="superscript"/>
        </w:rPr>
        <w:t>th</w:t>
      </w:r>
      <w:r>
        <w:t xml:space="preserve"> is the date set for that so</w:t>
      </w:r>
      <w:r w:rsidR="00D66BFD">
        <w:t xml:space="preserve"> that we can talk in detail at A</w:t>
      </w:r>
      <w:r>
        <w:t>ugust workday.</w:t>
      </w:r>
    </w:p>
    <w:p w:rsidR="004E6255" w:rsidRDefault="004E6255">
      <w:r>
        <w:t xml:space="preserve">Gardner discussed the </w:t>
      </w:r>
      <w:r w:rsidR="00335C3F">
        <w:t>I</w:t>
      </w:r>
      <w:r>
        <w:t>LE.</w:t>
      </w:r>
    </w:p>
    <w:p w:rsidR="004E6255" w:rsidRDefault="00D66BFD" w:rsidP="004E6255">
      <w:pPr>
        <w:pStyle w:val="ListParagraph"/>
        <w:numPr>
          <w:ilvl w:val="0"/>
          <w:numId w:val="8"/>
        </w:numPr>
      </w:pPr>
      <w:r>
        <w:t xml:space="preserve">At MPH-BSPH Joint made motion to </w:t>
      </w:r>
      <w:r w:rsidR="00335C3F">
        <w:t xml:space="preserve"> creating an ad hoc, but curriculum committee, being smaller, should be able to hash this out.  </w:t>
      </w:r>
    </w:p>
    <w:p w:rsidR="004E6255" w:rsidRDefault="00335C3F" w:rsidP="004E6255">
      <w:pPr>
        <w:pStyle w:val="ListParagraph"/>
        <w:numPr>
          <w:ilvl w:val="0"/>
          <w:numId w:val="8"/>
        </w:numPr>
      </w:pPr>
      <w:r>
        <w:t xml:space="preserve">Do we want to identify any common competencies that all ILEs have to meet or if they can have unique competencies that we work with the student on choosing when they decide on their topic? Classes where students can use what they write to </w:t>
      </w:r>
      <w:r w:rsidR="003B1C0C">
        <w:t xml:space="preserve">do their ILE – those competencies will reflect that.  But are there any overall that every single ILE should meet?  Reminded of the example Rust showed previously - 3 point scale for each competency.  We currently use a 4 point scale.  </w:t>
      </w:r>
    </w:p>
    <w:p w:rsidR="00D66BFD" w:rsidRDefault="00D66BFD" w:rsidP="004E6255">
      <w:pPr>
        <w:pStyle w:val="ListParagraph"/>
        <w:numPr>
          <w:ilvl w:val="0"/>
          <w:numId w:val="8"/>
        </w:numPr>
      </w:pPr>
      <w:r>
        <w:t>No set number of competencies mentioned in CEPH documents.</w:t>
      </w:r>
    </w:p>
    <w:p w:rsidR="004E6255" w:rsidRDefault="003B1C0C" w:rsidP="004E6255">
      <w:pPr>
        <w:pStyle w:val="ListParagraph"/>
        <w:numPr>
          <w:ilvl w:val="0"/>
          <w:numId w:val="8"/>
        </w:numPr>
      </w:pPr>
      <w:r>
        <w:t xml:space="preserve">For GrAPEs, students choose their competencies.  </w:t>
      </w:r>
    </w:p>
    <w:p w:rsidR="004E6255" w:rsidRDefault="00D66BFD" w:rsidP="004E6255">
      <w:pPr>
        <w:pStyle w:val="ListParagraph"/>
        <w:numPr>
          <w:ilvl w:val="0"/>
          <w:numId w:val="8"/>
        </w:numPr>
      </w:pPr>
      <w:r>
        <w:t xml:space="preserve">Gardner says they should use </w:t>
      </w:r>
      <w:r w:rsidR="003B1C0C">
        <w:t xml:space="preserve">epidemiological data (competency 1) </w:t>
      </w:r>
      <w:r>
        <w:t>when describing the health issue. A</w:t>
      </w:r>
      <w:r w:rsidR="003B1C0C">
        <w:t xml:space="preserve">re there any projects we can think of where they wouldn’t need to do this?  Number 19 is also one everyone is doing inherently in their ILE.  Should there be competency 23 required – where they are required to apply a theory to their work?  </w:t>
      </w:r>
    </w:p>
    <w:p w:rsidR="004E6255" w:rsidRDefault="003B1C0C" w:rsidP="004E6255">
      <w:pPr>
        <w:pStyle w:val="ListParagraph"/>
        <w:numPr>
          <w:ilvl w:val="0"/>
          <w:numId w:val="8"/>
        </w:numPr>
      </w:pPr>
      <w:r>
        <w:t xml:space="preserve">Beth Adams says specific guidelines are helpful – too broad is hurtful.  Some basic ones may be helpful, like the ones Gardner mentioned.  </w:t>
      </w:r>
    </w:p>
    <w:p w:rsidR="004E6255" w:rsidRDefault="00775927" w:rsidP="004E6255">
      <w:pPr>
        <w:pStyle w:val="ListParagraph"/>
        <w:numPr>
          <w:ilvl w:val="0"/>
          <w:numId w:val="8"/>
        </w:numPr>
      </w:pPr>
      <w:r>
        <w:t xml:space="preserve">Gardner mentioned that most students do their ILEs outside of the curriculum.  </w:t>
      </w:r>
    </w:p>
    <w:p w:rsidR="004E6255" w:rsidRDefault="00775927" w:rsidP="004E6255">
      <w:pPr>
        <w:pStyle w:val="ListParagraph"/>
        <w:numPr>
          <w:ilvl w:val="0"/>
          <w:numId w:val="8"/>
        </w:numPr>
      </w:pPr>
      <w:r>
        <w:lastRenderedPageBreak/>
        <w:t>620 and 630 – are those projects based in theory? Do they do a lit review?</w:t>
      </w:r>
    </w:p>
    <w:p w:rsidR="004E6255" w:rsidRDefault="00775927" w:rsidP="004E6255">
      <w:pPr>
        <w:pStyle w:val="ListParagraph"/>
        <w:numPr>
          <w:ilvl w:val="1"/>
          <w:numId w:val="8"/>
        </w:numPr>
      </w:pPr>
      <w:r>
        <w:t>630 – Ding – epidemiology data set is used; learn how to analyze the data and do a literature review and pick a research question.  They then run a data analysis and write a review (with conclusions and discussions).</w:t>
      </w:r>
      <w:r w:rsidR="00CA2BF3">
        <w:t xml:space="preserve">  Can add in a social determinant.</w:t>
      </w:r>
    </w:p>
    <w:p w:rsidR="004E6255" w:rsidRDefault="00775927" w:rsidP="004E6255">
      <w:pPr>
        <w:pStyle w:val="ListParagraph"/>
        <w:numPr>
          <w:ilvl w:val="1"/>
          <w:numId w:val="8"/>
        </w:numPr>
      </w:pPr>
      <w:r>
        <w:t>620 – Farre</w:t>
      </w:r>
      <w:r w:rsidR="00AE2760">
        <w:t>l</w:t>
      </w:r>
      <w:r>
        <w:t>l – they do a literature review, data analysis, interpretation, presentation, so all the competencies that surround communication and statistics are covered in that project.  No to competency 26 (social determinants).</w:t>
      </w:r>
    </w:p>
    <w:p w:rsidR="004E6255" w:rsidRDefault="00CA2BF3" w:rsidP="004E6255">
      <w:pPr>
        <w:pStyle w:val="ListParagraph"/>
        <w:numPr>
          <w:ilvl w:val="0"/>
          <w:numId w:val="8"/>
        </w:numPr>
      </w:pPr>
      <w:r>
        <w:t>Competency 19 – all ILEs hit.  Rust worried that the oral presentation would be represented twice on the overall ILE</w:t>
      </w:r>
      <w:r w:rsidR="00D072CA">
        <w:t xml:space="preserve"> rubric if this was chosen.</w:t>
      </w:r>
    </w:p>
    <w:p w:rsidR="004E6255" w:rsidRDefault="002D2C34" w:rsidP="004E6255">
      <w:pPr>
        <w:pStyle w:val="ListParagraph"/>
        <w:numPr>
          <w:ilvl w:val="0"/>
          <w:numId w:val="8"/>
        </w:numPr>
      </w:pPr>
      <w:r>
        <w:t>Eagle – what if we say “here are the 4 parts, here are the competencies that address each part, choose which competency you will meet, one per each part.”</w:t>
      </w:r>
    </w:p>
    <w:p w:rsidR="004E6255" w:rsidRDefault="002D2C34" w:rsidP="004E6255">
      <w:pPr>
        <w:pStyle w:val="ListParagraph"/>
        <w:numPr>
          <w:ilvl w:val="0"/>
          <w:numId w:val="8"/>
        </w:numPr>
      </w:pPr>
      <w:r>
        <w:t>Farrel</w:t>
      </w:r>
      <w:r w:rsidR="00AE2760">
        <w:t>l</w:t>
      </w:r>
      <w:r>
        <w:t xml:space="preserve"> – if we use competency 1 in rubric, then it may just turn into a thesis again.  Gardner’s response “well that’s if we take the word ‘apply’ literally, but they can use epidemiological data that applies to their project.  They have to use epidemiological data in order to state the problem in a public health manner.”</w:t>
      </w:r>
      <w:r w:rsidR="00AE2760">
        <w:t xml:space="preserve">  Ding agrees with Farrell.  Most of th</w:t>
      </w:r>
      <w:r w:rsidR="00D1388F">
        <w:t>e issue is coming from the words “apply” and “methods.”  Farrell argues that gathering information from CDC is a “method;” they are not running t</w:t>
      </w:r>
      <w:r w:rsidR="004E6255">
        <w:t>heir own calculations from data.</w:t>
      </w:r>
    </w:p>
    <w:p w:rsidR="004E6255" w:rsidRDefault="00D1388F" w:rsidP="004E6255">
      <w:pPr>
        <w:pStyle w:val="ListParagraph"/>
        <w:numPr>
          <w:ilvl w:val="0"/>
          <w:numId w:val="8"/>
        </w:numPr>
      </w:pPr>
      <w:r>
        <w:t>Gardner – we have to be sure we are meeting the verb for our as</w:t>
      </w:r>
      <w:r w:rsidR="00BB19B6">
        <w:t xml:space="preserve">sessments, but not </w:t>
      </w:r>
      <w:r w:rsidR="0007146C">
        <w:t>sure about</w:t>
      </w:r>
      <w:r w:rsidR="00BB19B6">
        <w:t xml:space="preserve"> the ILE, </w:t>
      </w:r>
      <w:r w:rsidR="0007146C">
        <w:t>and</w:t>
      </w:r>
      <w:r w:rsidR="00BB19B6">
        <w:t xml:space="preserve"> will check with CEPH for clarification.</w:t>
      </w:r>
      <w:r>
        <w:t xml:space="preserve"> First 22 competencies are generated by CEPH.</w:t>
      </w:r>
    </w:p>
    <w:p w:rsidR="004E6255" w:rsidRDefault="00D1388F" w:rsidP="004E6255">
      <w:pPr>
        <w:pStyle w:val="ListParagraph"/>
        <w:numPr>
          <w:ilvl w:val="1"/>
          <w:numId w:val="8"/>
        </w:numPr>
      </w:pPr>
      <w:r>
        <w:t>Eagle – let’s put it out there that CEPH’s verbiage is problematic.</w:t>
      </w:r>
    </w:p>
    <w:p w:rsidR="004E6255" w:rsidRDefault="004A1E5B" w:rsidP="004E6255">
      <w:pPr>
        <w:pStyle w:val="ListParagraph"/>
        <w:numPr>
          <w:ilvl w:val="0"/>
          <w:numId w:val="8"/>
        </w:numPr>
      </w:pPr>
      <w:r>
        <w:t>Could be a “yes/no” to the question “did the student meet this competency?” – Gardner says it’s almost impossible for students to meet a competency completely</w:t>
      </w:r>
    </w:p>
    <w:p w:rsidR="004E6255" w:rsidRDefault="004A1E5B" w:rsidP="004E6255">
      <w:pPr>
        <w:pStyle w:val="ListParagraph"/>
        <w:numPr>
          <w:ilvl w:val="0"/>
          <w:numId w:val="8"/>
        </w:numPr>
      </w:pPr>
      <w:r>
        <w:t>We need to be able to show that ILEs align with competencies.</w:t>
      </w:r>
    </w:p>
    <w:p w:rsidR="004E6255" w:rsidRDefault="004A1E5B" w:rsidP="004E6255">
      <w:pPr>
        <w:pStyle w:val="ListParagraph"/>
        <w:numPr>
          <w:ilvl w:val="0"/>
          <w:numId w:val="8"/>
        </w:numPr>
      </w:pPr>
      <w:r>
        <w:t>Eagle – is this something people would like to work on on their own and then come back with ideas?  Eagle thinks she can come up with something on her own and then come back to the group.</w:t>
      </w:r>
    </w:p>
    <w:p w:rsidR="004E6255" w:rsidRDefault="004A1E5B" w:rsidP="004E6255">
      <w:pPr>
        <w:pStyle w:val="ListParagraph"/>
        <w:numPr>
          <w:ilvl w:val="0"/>
          <w:numId w:val="8"/>
        </w:numPr>
      </w:pPr>
      <w:r>
        <w:t>Macy – reflection as the way to show that students have aligned with competencies</w:t>
      </w:r>
    </w:p>
    <w:p w:rsidR="004E6255" w:rsidRDefault="004A1E5B" w:rsidP="004E6255">
      <w:pPr>
        <w:pStyle w:val="ListParagraph"/>
        <w:numPr>
          <w:ilvl w:val="1"/>
          <w:numId w:val="8"/>
        </w:numPr>
      </w:pPr>
      <w:r>
        <w:t>Rust – if that’s the case then we should still have a rubric to guide students</w:t>
      </w:r>
      <w:r w:rsidR="00D97075">
        <w:t xml:space="preserve"> because they are still wanting guidelines</w:t>
      </w:r>
    </w:p>
    <w:p w:rsidR="004E6255" w:rsidRDefault="00D97075" w:rsidP="004E6255">
      <w:pPr>
        <w:pStyle w:val="ListParagraph"/>
        <w:numPr>
          <w:ilvl w:val="1"/>
          <w:numId w:val="8"/>
        </w:numPr>
      </w:pPr>
      <w:r>
        <w:t>Gardner – there are instructions per section in the ILE course</w:t>
      </w:r>
    </w:p>
    <w:p w:rsidR="004E6255" w:rsidRDefault="00D97075" w:rsidP="004E6255">
      <w:pPr>
        <w:pStyle w:val="ListParagraph"/>
        <w:numPr>
          <w:ilvl w:val="1"/>
          <w:numId w:val="8"/>
        </w:numPr>
      </w:pPr>
      <w:r>
        <w:t>Rust – but if students are working on the ILE before the course, then they don’t have access until their last semester</w:t>
      </w:r>
    </w:p>
    <w:p w:rsidR="004E6255" w:rsidRDefault="00D97075" w:rsidP="004E6255">
      <w:pPr>
        <w:pStyle w:val="ListParagraph"/>
        <w:numPr>
          <w:ilvl w:val="1"/>
          <w:numId w:val="8"/>
        </w:numPr>
      </w:pPr>
      <w:r>
        <w:t>Adams – doesn’t feel like we have to align per competencies, but having guidelines and a rubric available would be helpful from the “get-go”</w:t>
      </w:r>
    </w:p>
    <w:p w:rsidR="004E6255" w:rsidRDefault="00E63E24" w:rsidP="004E6255">
      <w:pPr>
        <w:pStyle w:val="ListParagraph"/>
        <w:numPr>
          <w:ilvl w:val="0"/>
          <w:numId w:val="8"/>
        </w:numPr>
      </w:pPr>
      <w:r>
        <w:t>Macy – the reflection for showing competencies is reflective of what other schools have done</w:t>
      </w:r>
    </w:p>
    <w:p w:rsidR="004E6255" w:rsidRDefault="00E63E24" w:rsidP="004E6255">
      <w:pPr>
        <w:pStyle w:val="ListParagraph"/>
        <w:numPr>
          <w:ilvl w:val="0"/>
          <w:numId w:val="8"/>
        </w:numPr>
      </w:pPr>
      <w:r>
        <w:t>Eagle – will CEPH allow the reflection to count as a way to show competency alignment?</w:t>
      </w:r>
    </w:p>
    <w:p w:rsidR="004E6255" w:rsidRDefault="00751005" w:rsidP="004E6255">
      <w:pPr>
        <w:pStyle w:val="ListParagraph"/>
        <w:numPr>
          <w:ilvl w:val="0"/>
          <w:numId w:val="8"/>
        </w:numPr>
      </w:pPr>
      <w:r>
        <w:t>Gardner read CEPH guidelines</w:t>
      </w:r>
      <w:r w:rsidR="004E6255">
        <w:t xml:space="preserve"> to everyone.</w:t>
      </w:r>
    </w:p>
    <w:p w:rsidR="004E6255" w:rsidRDefault="00A1791D" w:rsidP="004E6255">
      <w:pPr>
        <w:pStyle w:val="ListParagraph"/>
        <w:numPr>
          <w:ilvl w:val="0"/>
          <w:numId w:val="8"/>
        </w:numPr>
      </w:pPr>
      <w:r>
        <w:t>Gardner asked Macy and Watkins their views on how the second reader</w:t>
      </w:r>
      <w:r w:rsidR="009A1B90">
        <w:t xml:space="preserve"> experience went.  Macy overall said it wasn’t very helpful and even discouraging when students didn’t listen to feedback.</w:t>
      </w:r>
    </w:p>
    <w:p w:rsidR="004E6255" w:rsidRDefault="00573C94" w:rsidP="004E6255">
      <w:pPr>
        <w:pStyle w:val="ListParagraph"/>
        <w:numPr>
          <w:ilvl w:val="0"/>
          <w:numId w:val="8"/>
        </w:numPr>
      </w:pPr>
      <w:r>
        <w:t>Ding sent out the rubric that she and Macy had worked on and brought to the group in the past.</w:t>
      </w:r>
      <w:r w:rsidR="004E6255">
        <w:t xml:space="preserve"> (see Appendix)</w:t>
      </w:r>
    </w:p>
    <w:p w:rsidR="004E6255" w:rsidRDefault="00573C94" w:rsidP="004E6255">
      <w:pPr>
        <w:pStyle w:val="ListParagraph"/>
        <w:numPr>
          <w:ilvl w:val="0"/>
          <w:numId w:val="8"/>
        </w:numPr>
      </w:pPr>
      <w:r>
        <w:t>Gardner asked for someone to help lead this ILE reformation.  Eagle volunteered.</w:t>
      </w:r>
    </w:p>
    <w:p w:rsidR="004E6255" w:rsidRDefault="00DB5B33" w:rsidP="004E6255">
      <w:pPr>
        <w:pStyle w:val="ListParagraph"/>
        <w:numPr>
          <w:ilvl w:val="0"/>
          <w:numId w:val="8"/>
        </w:numPr>
      </w:pPr>
      <w:r>
        <w:t>Ding and Macy to put together what a presentation would look like with the reflection piece.</w:t>
      </w:r>
    </w:p>
    <w:p w:rsidR="004E6255" w:rsidRDefault="0020609A" w:rsidP="004E6255">
      <w:pPr>
        <w:pStyle w:val="ListParagraph"/>
        <w:numPr>
          <w:ilvl w:val="0"/>
          <w:numId w:val="8"/>
        </w:numPr>
      </w:pPr>
      <w:r>
        <w:lastRenderedPageBreak/>
        <w:t>Gardner asked if we want to keep the 4 sections (overview, lit review, discussion, and conclusions), add one with more of an action on the student’s part, or get rid of them.</w:t>
      </w:r>
    </w:p>
    <w:p w:rsidR="004E6255" w:rsidRDefault="0020609A" w:rsidP="004E6255">
      <w:pPr>
        <w:pStyle w:val="ListParagraph"/>
        <w:numPr>
          <w:ilvl w:val="1"/>
          <w:numId w:val="8"/>
        </w:numPr>
      </w:pPr>
      <w:r>
        <w:t>Ding likes the four parts.</w:t>
      </w:r>
    </w:p>
    <w:p w:rsidR="004E6255" w:rsidRDefault="0020609A" w:rsidP="004E6255">
      <w:pPr>
        <w:pStyle w:val="ListParagraph"/>
        <w:numPr>
          <w:ilvl w:val="0"/>
          <w:numId w:val="8"/>
        </w:numPr>
      </w:pPr>
      <w:r>
        <w:t>Farrell and Watkins to look at the four sections and bullet point what should be included in those areas to give as guidelines for the students.</w:t>
      </w:r>
    </w:p>
    <w:p w:rsidR="004E6255" w:rsidRDefault="0020609A" w:rsidP="004E6255">
      <w:pPr>
        <w:pStyle w:val="ListParagraph"/>
        <w:numPr>
          <w:ilvl w:val="0"/>
          <w:numId w:val="8"/>
        </w:numPr>
      </w:pPr>
      <w:r>
        <w:t>Rust, Eagle, and Gardner will look at an organized way to align for non-course ILEs.  Adams too.</w:t>
      </w:r>
    </w:p>
    <w:p w:rsidR="0020609A" w:rsidRDefault="0020609A" w:rsidP="004E6255">
      <w:pPr>
        <w:pStyle w:val="ListParagraph"/>
        <w:numPr>
          <w:ilvl w:val="0"/>
          <w:numId w:val="8"/>
        </w:numPr>
      </w:pPr>
      <w:r>
        <w:t>Gardner asked for this to be done in two weeks by everyone – by end of the month.  Then meet again soon.</w:t>
      </w:r>
    </w:p>
    <w:p w:rsidR="004E6255" w:rsidRDefault="004E6255">
      <w:r>
        <w:t xml:space="preserve">Gardner discussed the </w:t>
      </w:r>
      <w:r w:rsidR="002A2AE8">
        <w:t>Assurance of Student Learning</w:t>
      </w:r>
      <w:r>
        <w:t xml:space="preserve"> document.</w:t>
      </w:r>
    </w:p>
    <w:p w:rsidR="002159CA" w:rsidRDefault="0020609A" w:rsidP="004E6255">
      <w:pPr>
        <w:pStyle w:val="ListParagraph"/>
        <w:numPr>
          <w:ilvl w:val="0"/>
          <w:numId w:val="9"/>
        </w:numPr>
      </w:pPr>
      <w:r>
        <w:t xml:space="preserve">document shows the outcomes determined last year by the group.  </w:t>
      </w:r>
      <w:r w:rsidR="00562AF3">
        <w:t xml:space="preserve">Currently have some instructor-assigned assessments; Gardner doesn’t feel great about that.  </w:t>
      </w:r>
    </w:p>
    <w:p w:rsidR="002159CA" w:rsidRDefault="00562AF3" w:rsidP="002159CA">
      <w:pPr>
        <w:pStyle w:val="ListParagraph"/>
        <w:numPr>
          <w:ilvl w:val="0"/>
          <w:numId w:val="9"/>
        </w:numPr>
      </w:pPr>
      <w:r>
        <w:t>ASL is a WKU requirement.</w:t>
      </w:r>
    </w:p>
    <w:p w:rsidR="002159CA" w:rsidRDefault="00562AF3" w:rsidP="002159CA">
      <w:pPr>
        <w:pStyle w:val="ListParagraph"/>
        <w:numPr>
          <w:ilvl w:val="0"/>
          <w:numId w:val="9"/>
        </w:numPr>
      </w:pPr>
      <w:r>
        <w:t xml:space="preserve">Gardner </w:t>
      </w:r>
      <w:r w:rsidR="002A2AE8">
        <w:t xml:space="preserve">stated that she </w:t>
      </w:r>
      <w:r>
        <w:t xml:space="preserve">isn’t a fan of course-based assessment where the instructor alone is the person who does it.  Eagle says one learning outcome is classroom based; others are ILE and GrAPE-based.  Third outcome </w:t>
      </w:r>
      <w:r w:rsidR="001426D8">
        <w:t>is completely classroom-based as well as one in the first outcome (evaluation report).</w:t>
      </w:r>
    </w:p>
    <w:p w:rsidR="001426D8" w:rsidRDefault="001426D8" w:rsidP="002159CA">
      <w:pPr>
        <w:pStyle w:val="ListParagraph"/>
        <w:numPr>
          <w:ilvl w:val="0"/>
          <w:numId w:val="9"/>
        </w:numPr>
      </w:pPr>
      <w:r>
        <w:t>Eagle</w:t>
      </w:r>
      <w:r w:rsidR="00794828">
        <w:t>, Ding, Macy, and Farrell are all</w:t>
      </w:r>
      <w:r>
        <w:t xml:space="preserve"> </w:t>
      </w:r>
      <w:r w:rsidR="00794828">
        <w:t>comfortable with what we have.  Gardner asked for the data needed for the report from this AY.</w:t>
      </w:r>
    </w:p>
    <w:p w:rsidR="009164C4" w:rsidRDefault="00BC2AA8">
      <w:r>
        <w:t xml:space="preserve">Discussed the motion to change 620 and 630 names from “advanced” to “II” </w:t>
      </w:r>
      <w:r w:rsidR="00794828">
        <w:t xml:space="preserve"> </w:t>
      </w:r>
      <w:r>
        <w:t>that was sent back to this committee in the last Joint MPH-BSPH meeting:</w:t>
      </w:r>
      <w:r w:rsidR="00794828">
        <w:t xml:space="preserve">  Farrell’s primary issue</w:t>
      </w:r>
      <w:r>
        <w:t xml:space="preserve"> with changing advanced biostats to biostats II </w:t>
      </w:r>
      <w:r w:rsidR="00794828">
        <w:t xml:space="preserve">was that some students who probably shouldn’t take the class may take the class given that it’s not an advanced course.  For biostats, “advanced” is the appropriate word for what they do.  </w:t>
      </w:r>
      <w:r w:rsidR="00E23FA6">
        <w:t>Ding</w:t>
      </w:r>
      <w:r w:rsidR="00077078">
        <w:t xml:space="preserve"> explained that PH 630</w:t>
      </w:r>
      <w:r>
        <w:t xml:space="preserve"> is an extension of PH 582, rather than what is typically considered to be advanced epi. </w:t>
      </w:r>
    </w:p>
    <w:p w:rsidR="0007146C" w:rsidRDefault="00BC2AA8">
      <w:r>
        <w:t>Ding/Eagle motion to change name of PH 630 from Advanced Epidemiology to Epidemiology ll; passed unanimously</w:t>
      </w:r>
      <w:r w:rsidR="00077078">
        <w:t>.</w:t>
      </w:r>
    </w:p>
    <w:p w:rsidR="002A2AE8" w:rsidRPr="00077078" w:rsidRDefault="0007146C">
      <w:r>
        <w:t>Meeting adjourned.</w:t>
      </w:r>
      <w:bookmarkStart w:id="0" w:name="_GoBack"/>
      <w:bookmarkEnd w:id="0"/>
      <w:r w:rsidR="002A2AE8" w:rsidRPr="00720AAC">
        <w:rPr>
          <w:sz w:val="24"/>
        </w:rPr>
        <w:br w:type="page"/>
      </w:r>
    </w:p>
    <w:p w:rsidR="002A2AE8" w:rsidRDefault="002A2AE8">
      <w:r>
        <w:lastRenderedPageBreak/>
        <w:t>Appendix</w:t>
      </w:r>
    </w:p>
    <w:p w:rsidR="002A2AE8" w:rsidRDefault="002A2AE8" w:rsidP="002A2AE8">
      <w:pPr>
        <w:spacing w:after="0" w:line="240" w:lineRule="auto"/>
        <w:jc w:val="center"/>
      </w:pPr>
      <w:r>
        <w:t>Agenda: MPH Curriculum Committee</w:t>
      </w:r>
    </w:p>
    <w:p w:rsidR="002A2AE8" w:rsidRDefault="002A2AE8" w:rsidP="002A2AE8">
      <w:pPr>
        <w:spacing w:after="0" w:line="240" w:lineRule="auto"/>
        <w:jc w:val="center"/>
      </w:pPr>
      <w:r>
        <w:t>April 15, 2020</w:t>
      </w:r>
    </w:p>
    <w:p w:rsidR="002A2AE8" w:rsidRDefault="002A2AE8" w:rsidP="002A2AE8">
      <w:pPr>
        <w:spacing w:after="0" w:line="240" w:lineRule="auto"/>
        <w:jc w:val="center"/>
      </w:pPr>
    </w:p>
    <w:p w:rsidR="002A2AE8" w:rsidRDefault="002A2AE8" w:rsidP="002A2AE8">
      <w:pPr>
        <w:spacing w:after="0" w:line="240" w:lineRule="auto"/>
      </w:pPr>
    </w:p>
    <w:p w:rsidR="002A2AE8" w:rsidRDefault="002A2AE8" w:rsidP="002A2AE8">
      <w:pPr>
        <w:spacing w:after="0" w:line="240" w:lineRule="auto"/>
      </w:pPr>
      <w:r>
        <w:t>I. Core competency alignment and content alignment: schedule updates and instructions</w:t>
      </w:r>
    </w:p>
    <w:p w:rsidR="002A2AE8" w:rsidRDefault="00BB19B6" w:rsidP="002A2AE8">
      <w:pPr>
        <w:pStyle w:val="ListParagraph"/>
        <w:numPr>
          <w:ilvl w:val="0"/>
          <w:numId w:val="2"/>
        </w:numPr>
        <w:spacing w:after="0" w:line="240" w:lineRule="auto"/>
      </w:pPr>
      <w:hyperlink w:anchor="_Content_Review" w:history="1">
        <w:r w:rsidR="002A2AE8" w:rsidRPr="00DC61FA">
          <w:rPr>
            <w:rStyle w:val="Hyperlink"/>
          </w:rPr>
          <w:t>Content Review</w:t>
        </w:r>
      </w:hyperlink>
      <w:r w:rsidR="002A2AE8">
        <w:t>: August 1st</w:t>
      </w:r>
    </w:p>
    <w:p w:rsidR="002A2AE8" w:rsidRDefault="00BB19B6" w:rsidP="002A2AE8">
      <w:pPr>
        <w:pStyle w:val="ListParagraph"/>
        <w:numPr>
          <w:ilvl w:val="0"/>
          <w:numId w:val="2"/>
        </w:numPr>
        <w:spacing w:after="0" w:line="240" w:lineRule="auto"/>
      </w:pPr>
      <w:hyperlink w:anchor="_Competency_Alignment" w:history="1">
        <w:r w:rsidR="002A2AE8" w:rsidRPr="00ED16FE">
          <w:rPr>
            <w:rStyle w:val="Hyperlink"/>
          </w:rPr>
          <w:t>Competency alignment</w:t>
        </w:r>
      </w:hyperlink>
    </w:p>
    <w:p w:rsidR="002A2AE8" w:rsidRDefault="002A2AE8" w:rsidP="002A2AE8">
      <w:pPr>
        <w:pStyle w:val="ListParagraph"/>
        <w:numPr>
          <w:ilvl w:val="1"/>
          <w:numId w:val="2"/>
        </w:numPr>
        <w:spacing w:after="0" w:line="240" w:lineRule="auto"/>
      </w:pPr>
      <w:r>
        <w:t>Assessments Required: Please include assessment instructions and rubrics, if applicable.  If exams/quizzes are used as assessment, please make sure you can align specific questions to the competencies.</w:t>
      </w:r>
    </w:p>
    <w:p w:rsidR="002A2AE8" w:rsidRDefault="002A2AE8" w:rsidP="002A2AE8">
      <w:pPr>
        <w:spacing w:after="0" w:line="240" w:lineRule="auto"/>
      </w:pPr>
      <w:r>
        <w:t xml:space="preserve">II. </w:t>
      </w:r>
      <w:hyperlink w:anchor="_ILE_Assessment" w:history="1">
        <w:r w:rsidRPr="000D791F">
          <w:rPr>
            <w:rStyle w:val="Hyperlink"/>
          </w:rPr>
          <w:t>ILE</w:t>
        </w:r>
      </w:hyperlink>
    </w:p>
    <w:p w:rsidR="002A2AE8" w:rsidRDefault="002A2AE8" w:rsidP="002A2AE8">
      <w:pPr>
        <w:pStyle w:val="ListParagraph"/>
        <w:numPr>
          <w:ilvl w:val="0"/>
          <w:numId w:val="1"/>
        </w:numPr>
        <w:spacing w:after="0" w:line="240" w:lineRule="auto"/>
      </w:pPr>
      <w:r>
        <w:t xml:space="preserve">Identify common competencies for </w:t>
      </w:r>
      <w:r w:rsidRPr="00973E17">
        <w:rPr>
          <w:b/>
        </w:rPr>
        <w:t>all</w:t>
      </w:r>
      <w:r>
        <w:t xml:space="preserve"> ILEs OR have all unique competencies?</w:t>
      </w:r>
    </w:p>
    <w:p w:rsidR="002A2AE8" w:rsidRDefault="002A2AE8" w:rsidP="002A2AE8">
      <w:pPr>
        <w:pStyle w:val="ListParagraph"/>
        <w:numPr>
          <w:ilvl w:val="1"/>
          <w:numId w:val="1"/>
        </w:numPr>
        <w:spacing w:after="0" w:line="240" w:lineRule="auto"/>
      </w:pPr>
      <w:r>
        <w:t>How should we rate them?</w:t>
      </w:r>
    </w:p>
    <w:p w:rsidR="002A2AE8" w:rsidRDefault="002A2AE8" w:rsidP="002A2AE8">
      <w:pPr>
        <w:pStyle w:val="ListParagraph"/>
        <w:numPr>
          <w:ilvl w:val="1"/>
          <w:numId w:val="1"/>
        </w:numPr>
        <w:spacing w:after="0" w:line="240" w:lineRule="auto"/>
      </w:pPr>
      <w:r>
        <w:t>Minimum number?</w:t>
      </w:r>
    </w:p>
    <w:p w:rsidR="002A2AE8" w:rsidRDefault="002A2AE8" w:rsidP="002A2AE8">
      <w:pPr>
        <w:pStyle w:val="ListParagraph"/>
        <w:numPr>
          <w:ilvl w:val="0"/>
          <w:numId w:val="1"/>
        </w:numPr>
        <w:spacing w:after="0" w:line="240" w:lineRule="auto"/>
      </w:pPr>
      <w:r>
        <w:t>Keep current assessment also and, perhaps, link to common competencies?</w:t>
      </w:r>
    </w:p>
    <w:p w:rsidR="002A2AE8" w:rsidRDefault="002A2AE8" w:rsidP="002A2AE8">
      <w:pPr>
        <w:pStyle w:val="ListParagraph"/>
        <w:numPr>
          <w:ilvl w:val="1"/>
          <w:numId w:val="1"/>
        </w:numPr>
        <w:spacing w:after="0" w:line="240" w:lineRule="auto"/>
      </w:pPr>
      <w:r>
        <w:t>Clearly defined overview, background and significance, or statement of the problem.</w:t>
      </w:r>
    </w:p>
    <w:p w:rsidR="002A2AE8" w:rsidRDefault="002A2AE8" w:rsidP="002A2AE8">
      <w:pPr>
        <w:pStyle w:val="ListParagraph"/>
        <w:numPr>
          <w:ilvl w:val="1"/>
          <w:numId w:val="1"/>
        </w:numPr>
        <w:spacing w:after="0" w:line="240" w:lineRule="auto"/>
      </w:pPr>
      <w:r>
        <w:t xml:space="preserve">Literature review </w:t>
      </w:r>
    </w:p>
    <w:p w:rsidR="002A2AE8" w:rsidRDefault="002A2AE8" w:rsidP="002A2AE8">
      <w:pPr>
        <w:pStyle w:val="ListParagraph"/>
        <w:numPr>
          <w:ilvl w:val="1"/>
          <w:numId w:val="1"/>
        </w:numPr>
        <w:spacing w:after="0" w:line="240" w:lineRule="auto"/>
      </w:pPr>
      <w:r>
        <w:t xml:space="preserve">Discussion or critical analysis </w:t>
      </w:r>
    </w:p>
    <w:p w:rsidR="002A2AE8" w:rsidRDefault="002A2AE8" w:rsidP="002A2AE8">
      <w:pPr>
        <w:pStyle w:val="ListParagraph"/>
        <w:numPr>
          <w:ilvl w:val="1"/>
          <w:numId w:val="1"/>
        </w:numPr>
        <w:spacing w:after="0" w:line="240" w:lineRule="auto"/>
      </w:pPr>
      <w:r>
        <w:t>Recommendations, public health implications, or conclusions</w:t>
      </w:r>
    </w:p>
    <w:p w:rsidR="002A2AE8" w:rsidRDefault="002A2AE8" w:rsidP="002A2AE8">
      <w:pPr>
        <w:pStyle w:val="ListParagraph"/>
        <w:numPr>
          <w:ilvl w:val="0"/>
          <w:numId w:val="1"/>
        </w:numPr>
        <w:spacing w:after="0" w:line="240" w:lineRule="auto"/>
      </w:pPr>
      <w:r>
        <w:t>Presentation guidelines</w:t>
      </w:r>
    </w:p>
    <w:p w:rsidR="002A2AE8" w:rsidRDefault="002A2AE8" w:rsidP="002A2AE8">
      <w:pPr>
        <w:spacing w:after="0" w:line="240" w:lineRule="auto"/>
      </w:pPr>
    </w:p>
    <w:p w:rsidR="002A2AE8" w:rsidRDefault="002A2AE8" w:rsidP="002A2AE8">
      <w:pPr>
        <w:spacing w:after="0" w:line="240" w:lineRule="auto"/>
      </w:pPr>
      <w:r>
        <w:t xml:space="preserve">III. </w:t>
      </w:r>
      <w:hyperlink w:anchor="_Assurance_of_Student" w:history="1">
        <w:r w:rsidRPr="00E34C30">
          <w:rPr>
            <w:rStyle w:val="Hyperlink"/>
          </w:rPr>
          <w:t>ASL for MPH</w:t>
        </w:r>
      </w:hyperlink>
      <w:r>
        <w:t>: Review &amp; Revise</w:t>
      </w:r>
    </w:p>
    <w:p w:rsidR="002A2AE8" w:rsidRDefault="002A2AE8" w:rsidP="002A2AE8">
      <w:pPr>
        <w:pStyle w:val="ListParagraph"/>
        <w:numPr>
          <w:ilvl w:val="0"/>
          <w:numId w:val="3"/>
        </w:numPr>
        <w:spacing w:after="0" w:line="240" w:lineRule="auto"/>
      </w:pPr>
      <w:r>
        <w:t>Assessment instructions/rubrics</w:t>
      </w:r>
    </w:p>
    <w:p w:rsidR="002A2AE8" w:rsidRDefault="002A2AE8" w:rsidP="002A2AE8">
      <w:pPr>
        <w:pStyle w:val="ListParagraph"/>
        <w:numPr>
          <w:ilvl w:val="0"/>
          <w:numId w:val="3"/>
        </w:numPr>
        <w:spacing w:after="0" w:line="240" w:lineRule="auto"/>
      </w:pPr>
      <w:r>
        <w:t>Data</w:t>
      </w:r>
    </w:p>
    <w:p w:rsidR="002A2AE8" w:rsidRDefault="002A2AE8" w:rsidP="002A2AE8">
      <w:pPr>
        <w:spacing w:after="0" w:line="240" w:lineRule="auto"/>
      </w:pPr>
    </w:p>
    <w:p w:rsidR="002A2AE8" w:rsidRDefault="002A2AE8" w:rsidP="002A2AE8">
      <w:pPr>
        <w:spacing w:after="0" w:line="240" w:lineRule="auto"/>
      </w:pPr>
      <w:r>
        <w:t>IV. Course name change: PH 620, PH 630</w:t>
      </w:r>
    </w:p>
    <w:p w:rsidR="002A2AE8" w:rsidRDefault="002A2AE8" w:rsidP="002A2AE8">
      <w:pPr>
        <w:pStyle w:val="ListParagraph"/>
        <w:numPr>
          <w:ilvl w:val="0"/>
          <w:numId w:val="4"/>
        </w:numPr>
        <w:spacing w:after="0" w:line="240" w:lineRule="auto"/>
      </w:pPr>
      <w:r>
        <w:t>Advanced vs II</w:t>
      </w:r>
    </w:p>
    <w:p w:rsidR="002A2AE8" w:rsidRDefault="002A2AE8" w:rsidP="002A2AE8">
      <w:pPr>
        <w:pStyle w:val="ListParagraph"/>
        <w:spacing w:after="0" w:line="240" w:lineRule="auto"/>
        <w:ind w:left="360"/>
      </w:pPr>
    </w:p>
    <w:p w:rsidR="002A2AE8" w:rsidRDefault="002A2AE8" w:rsidP="002A2AE8">
      <w:pPr>
        <w:spacing w:after="0" w:line="240" w:lineRule="auto"/>
      </w:pPr>
      <w:r>
        <w:t>V. PH 599: Motion to table discussion</w:t>
      </w:r>
    </w:p>
    <w:p w:rsidR="002A2AE8" w:rsidRDefault="002A2AE8" w:rsidP="002A2AE8">
      <w:pPr>
        <w:spacing w:after="0" w:line="240" w:lineRule="auto"/>
      </w:pPr>
      <w:r>
        <w:tab/>
      </w:r>
    </w:p>
    <w:p w:rsidR="002A2AE8" w:rsidRDefault="002A2AE8" w:rsidP="002A2AE8">
      <w:pPr>
        <w:spacing w:after="0" w:line="240" w:lineRule="auto"/>
      </w:pPr>
    </w:p>
    <w:p w:rsidR="002A2AE8" w:rsidRDefault="002A2AE8" w:rsidP="002A2AE8">
      <w:pPr>
        <w:spacing w:after="0" w:line="240" w:lineRule="auto"/>
      </w:pPr>
    </w:p>
    <w:p w:rsidR="002A2AE8" w:rsidRDefault="002A2AE8" w:rsidP="002A2AE8">
      <w:pPr>
        <w:rPr>
          <w:rFonts w:ascii="Calibri" w:eastAsia="Arial" w:hAnsi="Calibri" w:cs="Arial"/>
          <w:b/>
          <w:sz w:val="32"/>
          <w:szCs w:val="40"/>
        </w:rPr>
      </w:pPr>
      <w:r>
        <w:br w:type="page"/>
      </w:r>
    </w:p>
    <w:p w:rsidR="002A2AE8" w:rsidRDefault="002A2AE8" w:rsidP="002A2AE8">
      <w:pPr>
        <w:pStyle w:val="Heading1"/>
        <w:jc w:val="left"/>
      </w:pPr>
      <w:bookmarkStart w:id="1" w:name="_Content_Review"/>
      <w:bookmarkEnd w:id="1"/>
      <w:r>
        <w:lastRenderedPageBreak/>
        <w:t>Content Review</w:t>
      </w:r>
    </w:p>
    <w:p w:rsidR="002A2AE8" w:rsidRDefault="002A2AE8" w:rsidP="002A2AE8">
      <w:r>
        <w:t xml:space="preserve">1. For each MPH required course you teach, please list the major and minor topics taught by in each course week. Please provide sufficient detail so that is clear what is being taught.  </w:t>
      </w:r>
    </w:p>
    <w:p w:rsidR="002A2AE8" w:rsidRDefault="002A2AE8" w:rsidP="002A2AE8">
      <w:r>
        <w:t>2. Save your file as the course prefix and number, then upload your completed document(s) to google drive by August 1</w:t>
      </w:r>
      <w:r w:rsidRPr="0036431A">
        <w:rPr>
          <w:vertAlign w:val="superscript"/>
        </w:rPr>
        <w:t>st</w:t>
      </w:r>
      <w:r>
        <w:t xml:space="preserve">. </w:t>
      </w:r>
    </w:p>
    <w:p w:rsidR="002A2AE8" w:rsidRDefault="002A2AE8" w:rsidP="002A2AE8">
      <w:r>
        <w:t>3. Review and comment on each course document by August 10th.</w:t>
      </w:r>
    </w:p>
    <w:p w:rsidR="002A2AE8" w:rsidRDefault="002A2AE8" w:rsidP="002A2AE8">
      <w:r>
        <w:t>4. Revise documents/address comments for August MPH workday.</w:t>
      </w:r>
    </w:p>
    <w:p w:rsidR="002A2AE8" w:rsidRDefault="002A2AE8" w:rsidP="002A2AE8">
      <w:r w:rsidRPr="00DC61FA">
        <w:rPr>
          <w:highlight w:val="yellow"/>
        </w:rPr>
        <w:t>NOTE: Some of the courses are already in the google drive. If you have/will update your course, please take out the old version and upload the new.</w:t>
      </w:r>
      <w:r>
        <w:t xml:space="preserve"> </w:t>
      </w:r>
    </w:p>
    <w:p w:rsidR="002A2AE8" w:rsidRDefault="002A2AE8" w:rsidP="002A2AE8">
      <w:pPr>
        <w:pStyle w:val="Heading1"/>
      </w:pPr>
      <w:bookmarkStart w:id="2" w:name="_Competency_Alignment"/>
      <w:bookmarkStart w:id="3" w:name="_ILE_Assessment"/>
      <w:bookmarkEnd w:id="2"/>
      <w:bookmarkEnd w:id="3"/>
      <w:r>
        <w:t>ILE Assessment</w:t>
      </w:r>
    </w:p>
    <w:p w:rsidR="002A2AE8" w:rsidRDefault="002A2AE8" w:rsidP="002A2AE8">
      <w:pPr>
        <w:spacing w:after="0" w:line="240" w:lineRule="auto"/>
      </w:pPr>
      <w:r>
        <w:t xml:space="preserve">Identify which competencies should be required for </w:t>
      </w:r>
      <w:r w:rsidRPr="00D2556A">
        <w:rPr>
          <w:b/>
        </w:rPr>
        <w:t>all</w:t>
      </w:r>
      <w:r>
        <w:t xml:space="preserve"> ILEs</w:t>
      </w:r>
    </w:p>
    <w:p w:rsidR="002A2AE8" w:rsidRDefault="002A2AE8" w:rsidP="002A2AE8">
      <w:pPr>
        <w:spacing w:after="0" w:line="240" w:lineRule="auto"/>
      </w:pPr>
    </w:p>
    <w:tbl>
      <w:tblPr>
        <w:tblStyle w:val="TableGrid"/>
        <w:tblW w:w="10080" w:type="dxa"/>
        <w:tblInd w:w="-185" w:type="dxa"/>
        <w:tblLayout w:type="fixed"/>
        <w:tblLook w:val="0620" w:firstRow="1" w:lastRow="0" w:firstColumn="0" w:lastColumn="0" w:noHBand="1" w:noVBand="1"/>
        <w:tblCaption w:val="MPH Competencies"/>
        <w:tblDescription w:val="This two column table lists the 27 competencies that guide the MPH program in the left column.  The right column identifies the course objective numbers that correspond to the competency."/>
      </w:tblPr>
      <w:tblGrid>
        <w:gridCol w:w="8910"/>
        <w:gridCol w:w="1170"/>
      </w:tblGrid>
      <w:tr w:rsidR="002A2AE8" w:rsidRPr="005606BE" w:rsidTr="002A2AE8">
        <w:trPr>
          <w:trHeight w:val="287"/>
        </w:trPr>
        <w:tc>
          <w:tcPr>
            <w:tcW w:w="8910" w:type="dxa"/>
            <w:shd w:val="clear" w:color="auto" w:fill="D0CECE" w:themeFill="background2" w:themeFillShade="E6"/>
          </w:tcPr>
          <w:p w:rsidR="002A2AE8" w:rsidRPr="003829EA" w:rsidRDefault="002A2AE8" w:rsidP="002A2AE8">
            <w:pPr>
              <w:rPr>
                <w:b/>
                <w:sz w:val="20"/>
                <w:szCs w:val="20"/>
              </w:rPr>
            </w:pPr>
            <w:r w:rsidRPr="003829EA">
              <w:rPr>
                <w:b/>
                <w:sz w:val="20"/>
                <w:szCs w:val="20"/>
              </w:rPr>
              <w:t>MPH COMPETENCY</w:t>
            </w:r>
          </w:p>
        </w:tc>
        <w:tc>
          <w:tcPr>
            <w:tcW w:w="1170" w:type="dxa"/>
            <w:shd w:val="clear" w:color="auto" w:fill="D0CECE" w:themeFill="background2" w:themeFillShade="E6"/>
          </w:tcPr>
          <w:p w:rsidR="002A2AE8" w:rsidRPr="003829EA" w:rsidRDefault="002A2AE8" w:rsidP="002A2AE8">
            <w:pPr>
              <w:rPr>
                <w:b/>
                <w:sz w:val="20"/>
                <w:szCs w:val="20"/>
              </w:rPr>
            </w:pPr>
            <w:r w:rsidRPr="003829EA">
              <w:rPr>
                <w:b/>
                <w:sz w:val="20"/>
                <w:szCs w:val="20"/>
              </w:rPr>
              <w:t>Require for ALL ILE</w:t>
            </w:r>
            <w:r>
              <w:rPr>
                <w:b/>
                <w:sz w:val="20"/>
                <w:szCs w:val="20"/>
              </w:rPr>
              <w:t>?</w:t>
            </w:r>
          </w:p>
        </w:tc>
      </w:tr>
      <w:tr w:rsidR="002A2AE8" w:rsidRPr="005606BE" w:rsidTr="002A2AE8">
        <w:trPr>
          <w:trHeight w:val="287"/>
        </w:trPr>
        <w:tc>
          <w:tcPr>
            <w:tcW w:w="8910" w:type="dxa"/>
            <w:shd w:val="clear" w:color="auto" w:fill="D0CECE" w:themeFill="background2" w:themeFillShade="E6"/>
          </w:tcPr>
          <w:p w:rsidR="002A2AE8" w:rsidRPr="005606BE" w:rsidRDefault="002A2AE8" w:rsidP="002A2AE8">
            <w:pPr>
              <w:rPr>
                <w:sz w:val="20"/>
                <w:szCs w:val="20"/>
              </w:rPr>
            </w:pPr>
            <w:r w:rsidRPr="005606BE">
              <w:rPr>
                <w:sz w:val="20"/>
                <w:szCs w:val="20"/>
              </w:rPr>
              <w:t xml:space="preserve">Evidence-based Approaches to Public Health </w:t>
            </w:r>
          </w:p>
        </w:tc>
        <w:tc>
          <w:tcPr>
            <w:tcW w:w="1170" w:type="dxa"/>
            <w:shd w:val="clear" w:color="auto" w:fill="D0CECE" w:themeFill="background2" w:themeFillShade="E6"/>
          </w:tcPr>
          <w:p w:rsidR="002A2AE8" w:rsidRPr="005606BE" w:rsidRDefault="002A2AE8" w:rsidP="002A2AE8">
            <w:pPr>
              <w:rPr>
                <w:sz w:val="20"/>
                <w:szCs w:val="20"/>
              </w:rPr>
            </w:pPr>
          </w:p>
        </w:tc>
      </w:tr>
      <w:tr w:rsidR="002A2AE8" w:rsidRPr="005606BE" w:rsidTr="002A2AE8">
        <w:tc>
          <w:tcPr>
            <w:tcW w:w="8910" w:type="dxa"/>
          </w:tcPr>
          <w:p w:rsidR="002A2AE8" w:rsidRPr="005606BE" w:rsidRDefault="002A2AE8" w:rsidP="002A2AE8">
            <w:pPr>
              <w:pStyle w:val="xdefault"/>
              <w:spacing w:before="0" w:beforeAutospacing="0" w:after="0" w:afterAutospacing="0"/>
              <w:rPr>
                <w:rFonts w:asciiTheme="minorHAnsi" w:hAnsiTheme="minorHAnsi"/>
                <w:sz w:val="20"/>
                <w:szCs w:val="20"/>
              </w:rPr>
            </w:pPr>
            <w:r w:rsidRPr="005606BE">
              <w:rPr>
                <w:rFonts w:asciiTheme="minorHAnsi" w:hAnsiTheme="minorHAnsi"/>
                <w:sz w:val="20"/>
                <w:szCs w:val="20"/>
              </w:rPr>
              <w:t xml:space="preserve">1. Apply epidemiological methods to the breadth of settings and situations in public health practice </w:t>
            </w:r>
          </w:p>
        </w:tc>
        <w:tc>
          <w:tcPr>
            <w:tcW w:w="1170" w:type="dxa"/>
          </w:tcPr>
          <w:p w:rsidR="002A2AE8" w:rsidRPr="005606BE" w:rsidRDefault="002A2AE8" w:rsidP="002A2AE8">
            <w:pPr>
              <w:pStyle w:val="xdefault"/>
              <w:spacing w:before="0" w:beforeAutospacing="0" w:after="0" w:afterAutospacing="0"/>
              <w:rPr>
                <w:rFonts w:asciiTheme="minorHAnsi" w:hAnsiTheme="minorHAnsi"/>
                <w:sz w:val="20"/>
                <w:szCs w:val="20"/>
              </w:rPr>
            </w:pPr>
            <w:r>
              <w:rPr>
                <w:rFonts w:asciiTheme="minorHAnsi" w:hAnsiTheme="minorHAnsi"/>
                <w:sz w:val="20"/>
                <w:szCs w:val="20"/>
              </w:rPr>
              <w:t xml:space="preserve"> </w:t>
            </w:r>
          </w:p>
        </w:tc>
      </w:tr>
      <w:tr w:rsidR="002A2AE8" w:rsidRPr="005606BE" w:rsidTr="002A2AE8">
        <w:tc>
          <w:tcPr>
            <w:tcW w:w="8910" w:type="dxa"/>
          </w:tcPr>
          <w:p w:rsidR="002A2AE8" w:rsidRPr="005606BE" w:rsidRDefault="002A2AE8" w:rsidP="002A2AE8">
            <w:pPr>
              <w:pStyle w:val="xdefault"/>
              <w:spacing w:before="0" w:beforeAutospacing="0" w:after="0" w:afterAutospacing="0"/>
              <w:rPr>
                <w:rFonts w:asciiTheme="minorHAnsi" w:hAnsiTheme="minorHAnsi"/>
                <w:sz w:val="20"/>
                <w:szCs w:val="20"/>
              </w:rPr>
            </w:pPr>
            <w:r w:rsidRPr="005606BE">
              <w:rPr>
                <w:rFonts w:asciiTheme="minorHAnsi" w:hAnsiTheme="minorHAnsi"/>
                <w:sz w:val="20"/>
                <w:szCs w:val="20"/>
              </w:rPr>
              <w:t xml:space="preserve">2. Select quantitative and qualitative data collection methods appropriate for a given public health context </w:t>
            </w:r>
          </w:p>
        </w:tc>
        <w:tc>
          <w:tcPr>
            <w:tcW w:w="1170" w:type="dxa"/>
          </w:tcPr>
          <w:p w:rsidR="002A2AE8" w:rsidRPr="005606BE" w:rsidRDefault="002A2AE8" w:rsidP="002A2AE8">
            <w:pPr>
              <w:pStyle w:val="xdefault"/>
              <w:spacing w:before="0" w:beforeAutospacing="0" w:after="0" w:afterAutospacing="0"/>
              <w:rPr>
                <w:rFonts w:asciiTheme="minorHAnsi" w:hAnsiTheme="minorHAnsi"/>
                <w:sz w:val="20"/>
                <w:szCs w:val="20"/>
              </w:rPr>
            </w:pPr>
          </w:p>
        </w:tc>
      </w:tr>
      <w:tr w:rsidR="002A2AE8" w:rsidRPr="005606BE" w:rsidTr="002A2AE8">
        <w:tc>
          <w:tcPr>
            <w:tcW w:w="8910" w:type="dxa"/>
          </w:tcPr>
          <w:p w:rsidR="002A2AE8" w:rsidRPr="005606BE" w:rsidRDefault="002A2AE8" w:rsidP="002A2AE8">
            <w:pPr>
              <w:pStyle w:val="xdefault"/>
              <w:spacing w:before="0" w:beforeAutospacing="0" w:after="0" w:afterAutospacing="0"/>
              <w:rPr>
                <w:rFonts w:asciiTheme="minorHAnsi" w:hAnsiTheme="minorHAnsi"/>
                <w:sz w:val="20"/>
                <w:szCs w:val="20"/>
              </w:rPr>
            </w:pPr>
            <w:r w:rsidRPr="005606BE">
              <w:rPr>
                <w:rFonts w:asciiTheme="minorHAnsi" w:hAnsiTheme="minorHAnsi"/>
                <w:sz w:val="20"/>
                <w:szCs w:val="20"/>
              </w:rPr>
              <w:t xml:space="preserve">3. Analyze quantitative and qualitative data using biostatistics, informatics, computer-based programming and software, as appropriate </w:t>
            </w:r>
          </w:p>
        </w:tc>
        <w:tc>
          <w:tcPr>
            <w:tcW w:w="1170" w:type="dxa"/>
          </w:tcPr>
          <w:p w:rsidR="002A2AE8" w:rsidRPr="005606BE" w:rsidRDefault="002A2AE8" w:rsidP="002A2AE8">
            <w:pPr>
              <w:pStyle w:val="xdefault"/>
              <w:spacing w:before="0" w:beforeAutospacing="0" w:after="0" w:afterAutospacing="0"/>
              <w:rPr>
                <w:rFonts w:asciiTheme="minorHAnsi" w:hAnsiTheme="minorHAnsi"/>
                <w:sz w:val="20"/>
                <w:szCs w:val="20"/>
              </w:rPr>
            </w:pPr>
          </w:p>
        </w:tc>
      </w:tr>
      <w:tr w:rsidR="002A2AE8" w:rsidRPr="005606BE" w:rsidTr="002A2AE8">
        <w:tc>
          <w:tcPr>
            <w:tcW w:w="8910" w:type="dxa"/>
          </w:tcPr>
          <w:p w:rsidR="002A2AE8" w:rsidRPr="005606BE" w:rsidRDefault="002A2AE8" w:rsidP="002A2AE8">
            <w:pPr>
              <w:pStyle w:val="xdefault"/>
              <w:spacing w:before="0" w:beforeAutospacing="0" w:after="0" w:afterAutospacing="0"/>
              <w:rPr>
                <w:rFonts w:asciiTheme="minorHAnsi" w:hAnsiTheme="minorHAnsi"/>
                <w:sz w:val="20"/>
                <w:szCs w:val="20"/>
              </w:rPr>
            </w:pPr>
            <w:r w:rsidRPr="005606BE">
              <w:rPr>
                <w:rFonts w:asciiTheme="minorHAnsi" w:hAnsiTheme="minorHAnsi"/>
                <w:sz w:val="20"/>
                <w:szCs w:val="20"/>
              </w:rPr>
              <w:t xml:space="preserve">4. Interpret results of data analysis for public health research, policy or practice </w:t>
            </w:r>
          </w:p>
        </w:tc>
        <w:tc>
          <w:tcPr>
            <w:tcW w:w="1170" w:type="dxa"/>
          </w:tcPr>
          <w:p w:rsidR="002A2AE8" w:rsidRPr="005606BE" w:rsidRDefault="002A2AE8" w:rsidP="002A2AE8">
            <w:pPr>
              <w:pStyle w:val="xdefault"/>
              <w:spacing w:before="0" w:beforeAutospacing="0" w:after="0" w:afterAutospacing="0"/>
              <w:rPr>
                <w:rFonts w:asciiTheme="minorHAnsi" w:hAnsiTheme="minorHAnsi"/>
                <w:sz w:val="20"/>
                <w:szCs w:val="20"/>
              </w:rPr>
            </w:pPr>
          </w:p>
        </w:tc>
      </w:tr>
      <w:tr w:rsidR="002A2AE8" w:rsidRPr="005606BE" w:rsidTr="002A2AE8">
        <w:tc>
          <w:tcPr>
            <w:tcW w:w="8910" w:type="dxa"/>
            <w:shd w:val="clear" w:color="auto" w:fill="D0CECE" w:themeFill="background2" w:themeFillShade="E6"/>
          </w:tcPr>
          <w:p w:rsidR="002A2AE8" w:rsidRPr="005606BE" w:rsidRDefault="002A2AE8" w:rsidP="002A2AE8">
            <w:pPr>
              <w:rPr>
                <w:sz w:val="20"/>
                <w:szCs w:val="20"/>
              </w:rPr>
            </w:pPr>
            <w:r w:rsidRPr="005606BE">
              <w:rPr>
                <w:rFonts w:eastAsia="Times New Roman" w:cs="Arial"/>
                <w:color w:val="000000"/>
                <w:sz w:val="20"/>
                <w:szCs w:val="20"/>
              </w:rPr>
              <w:t xml:space="preserve">Public Health &amp; Health Care Systems </w:t>
            </w:r>
          </w:p>
        </w:tc>
        <w:tc>
          <w:tcPr>
            <w:tcW w:w="1170" w:type="dxa"/>
            <w:shd w:val="clear" w:color="auto" w:fill="D0CECE" w:themeFill="background2" w:themeFillShade="E6"/>
          </w:tcPr>
          <w:p w:rsidR="002A2AE8" w:rsidRPr="005606BE" w:rsidRDefault="002A2AE8" w:rsidP="002A2AE8">
            <w:pPr>
              <w:rPr>
                <w:rFonts w:eastAsia="Times New Roman" w:cs="Arial"/>
                <w:color w:val="000000"/>
                <w:sz w:val="20"/>
                <w:szCs w:val="20"/>
              </w:rPr>
            </w:pPr>
          </w:p>
        </w:tc>
      </w:tr>
      <w:tr w:rsidR="002A2AE8" w:rsidRPr="005606BE" w:rsidTr="002A2AE8">
        <w:tc>
          <w:tcPr>
            <w:tcW w:w="8910" w:type="dxa"/>
          </w:tcPr>
          <w:p w:rsidR="002A2AE8" w:rsidRPr="005606BE" w:rsidRDefault="002A2AE8" w:rsidP="002A2AE8">
            <w:pPr>
              <w:rPr>
                <w:rFonts w:eastAsia="Times New Roman" w:cs="Times New Roman"/>
                <w:sz w:val="20"/>
                <w:szCs w:val="20"/>
              </w:rPr>
            </w:pPr>
            <w:r w:rsidRPr="005606BE">
              <w:rPr>
                <w:rFonts w:eastAsia="Times New Roman" w:cs="Arial"/>
                <w:color w:val="000000"/>
                <w:sz w:val="20"/>
                <w:szCs w:val="20"/>
              </w:rPr>
              <w:t xml:space="preserve">5. Compare the organization, structure and function of health care, public health and regulatory systems across national and international settings </w:t>
            </w:r>
          </w:p>
        </w:tc>
        <w:tc>
          <w:tcPr>
            <w:tcW w:w="1170" w:type="dxa"/>
          </w:tcPr>
          <w:p w:rsidR="002A2AE8" w:rsidRPr="005606BE" w:rsidRDefault="002A2AE8" w:rsidP="002A2AE8">
            <w:pPr>
              <w:rPr>
                <w:rFonts w:eastAsia="Times New Roman" w:cs="Arial"/>
                <w:color w:val="000000"/>
                <w:sz w:val="20"/>
                <w:szCs w:val="20"/>
              </w:rPr>
            </w:pPr>
          </w:p>
        </w:tc>
      </w:tr>
      <w:tr w:rsidR="002A2AE8" w:rsidRPr="005606BE" w:rsidTr="002A2AE8">
        <w:tc>
          <w:tcPr>
            <w:tcW w:w="8910" w:type="dxa"/>
          </w:tcPr>
          <w:p w:rsidR="002A2AE8" w:rsidRPr="005606BE" w:rsidRDefault="002A2AE8" w:rsidP="002A2AE8">
            <w:pPr>
              <w:rPr>
                <w:rFonts w:eastAsia="Times New Roman" w:cs="Times New Roman"/>
                <w:sz w:val="20"/>
                <w:szCs w:val="20"/>
              </w:rPr>
            </w:pPr>
            <w:r w:rsidRPr="005606BE">
              <w:rPr>
                <w:rFonts w:eastAsia="Times New Roman" w:cs="Arial"/>
                <w:color w:val="000000"/>
                <w:sz w:val="20"/>
                <w:szCs w:val="20"/>
              </w:rPr>
              <w:t xml:space="preserve">6. Discuss the means by which structural bias, social inequities and racism undermine health and create challenges to achieving health equity at organizational, community and societal levels </w:t>
            </w:r>
          </w:p>
        </w:tc>
        <w:tc>
          <w:tcPr>
            <w:tcW w:w="1170" w:type="dxa"/>
          </w:tcPr>
          <w:p w:rsidR="002A2AE8" w:rsidRPr="005606BE" w:rsidRDefault="002A2AE8" w:rsidP="002A2AE8">
            <w:pPr>
              <w:rPr>
                <w:rFonts w:eastAsia="Times New Roman" w:cs="Arial"/>
                <w:color w:val="000000"/>
                <w:sz w:val="20"/>
                <w:szCs w:val="20"/>
              </w:rPr>
            </w:pPr>
          </w:p>
        </w:tc>
      </w:tr>
      <w:tr w:rsidR="002A2AE8" w:rsidRPr="005606BE" w:rsidTr="002A2AE8">
        <w:tc>
          <w:tcPr>
            <w:tcW w:w="8910" w:type="dxa"/>
            <w:shd w:val="clear" w:color="auto" w:fill="D0CECE" w:themeFill="background2" w:themeFillShade="E6"/>
          </w:tcPr>
          <w:p w:rsidR="002A2AE8" w:rsidRPr="005606BE" w:rsidRDefault="002A2AE8" w:rsidP="002A2AE8">
            <w:pPr>
              <w:rPr>
                <w:sz w:val="20"/>
                <w:szCs w:val="20"/>
              </w:rPr>
            </w:pPr>
            <w:r w:rsidRPr="005606BE">
              <w:rPr>
                <w:rFonts w:eastAsia="Times New Roman" w:cs="Arial"/>
                <w:color w:val="000000"/>
                <w:sz w:val="20"/>
                <w:szCs w:val="20"/>
              </w:rPr>
              <w:t xml:space="preserve">Planning &amp; Management to Promote Health </w:t>
            </w:r>
          </w:p>
        </w:tc>
        <w:tc>
          <w:tcPr>
            <w:tcW w:w="1170" w:type="dxa"/>
            <w:shd w:val="clear" w:color="auto" w:fill="D0CECE" w:themeFill="background2" w:themeFillShade="E6"/>
          </w:tcPr>
          <w:p w:rsidR="002A2AE8" w:rsidRPr="005606BE" w:rsidRDefault="002A2AE8" w:rsidP="002A2AE8">
            <w:pPr>
              <w:rPr>
                <w:rFonts w:eastAsia="Times New Roman" w:cs="Arial"/>
                <w:color w:val="000000"/>
                <w:sz w:val="20"/>
                <w:szCs w:val="20"/>
              </w:rPr>
            </w:pPr>
          </w:p>
        </w:tc>
      </w:tr>
      <w:tr w:rsidR="002A2AE8" w:rsidRPr="005606BE" w:rsidTr="002A2AE8">
        <w:tc>
          <w:tcPr>
            <w:tcW w:w="8910" w:type="dxa"/>
          </w:tcPr>
          <w:p w:rsidR="002A2AE8" w:rsidRPr="005606BE" w:rsidRDefault="002A2AE8" w:rsidP="002A2AE8">
            <w:pPr>
              <w:rPr>
                <w:rFonts w:eastAsia="Times New Roman" w:cs="Times New Roman"/>
                <w:sz w:val="20"/>
                <w:szCs w:val="20"/>
              </w:rPr>
            </w:pPr>
            <w:r w:rsidRPr="005606BE">
              <w:rPr>
                <w:rFonts w:eastAsia="Times New Roman" w:cs="Arial"/>
                <w:color w:val="000000"/>
                <w:sz w:val="20"/>
                <w:szCs w:val="20"/>
              </w:rPr>
              <w:t xml:space="preserve">7. Assess population needs, assets and capacities that affect communities’ health </w:t>
            </w:r>
          </w:p>
        </w:tc>
        <w:tc>
          <w:tcPr>
            <w:tcW w:w="1170" w:type="dxa"/>
          </w:tcPr>
          <w:p w:rsidR="002A2AE8" w:rsidRPr="005606BE" w:rsidRDefault="002A2AE8" w:rsidP="002A2AE8">
            <w:pPr>
              <w:rPr>
                <w:rFonts w:eastAsia="Times New Roman" w:cs="Arial"/>
                <w:color w:val="000000"/>
                <w:sz w:val="20"/>
                <w:szCs w:val="20"/>
              </w:rPr>
            </w:pPr>
          </w:p>
        </w:tc>
      </w:tr>
      <w:tr w:rsidR="002A2AE8" w:rsidRPr="005606BE" w:rsidTr="002A2AE8">
        <w:tc>
          <w:tcPr>
            <w:tcW w:w="8910" w:type="dxa"/>
          </w:tcPr>
          <w:p w:rsidR="002A2AE8" w:rsidRPr="005606BE" w:rsidRDefault="002A2AE8" w:rsidP="002A2AE8">
            <w:pPr>
              <w:rPr>
                <w:rFonts w:eastAsia="Times New Roman" w:cs="Times New Roman"/>
                <w:sz w:val="20"/>
                <w:szCs w:val="20"/>
              </w:rPr>
            </w:pPr>
            <w:r w:rsidRPr="005606BE">
              <w:rPr>
                <w:rFonts w:eastAsia="Times New Roman" w:cs="Arial"/>
                <w:color w:val="000000"/>
                <w:sz w:val="20"/>
                <w:szCs w:val="20"/>
              </w:rPr>
              <w:t xml:space="preserve">8. Apply awareness of cultural values and practices to the design or implementation of public health policies or programs </w:t>
            </w:r>
          </w:p>
        </w:tc>
        <w:tc>
          <w:tcPr>
            <w:tcW w:w="1170" w:type="dxa"/>
          </w:tcPr>
          <w:p w:rsidR="002A2AE8" w:rsidRPr="005606BE" w:rsidRDefault="002A2AE8" w:rsidP="002A2AE8">
            <w:pPr>
              <w:rPr>
                <w:rFonts w:eastAsia="Times New Roman" w:cs="Arial"/>
                <w:color w:val="000000"/>
                <w:sz w:val="20"/>
                <w:szCs w:val="20"/>
              </w:rPr>
            </w:pPr>
          </w:p>
        </w:tc>
      </w:tr>
      <w:tr w:rsidR="002A2AE8" w:rsidRPr="005606BE" w:rsidTr="002A2AE8">
        <w:tc>
          <w:tcPr>
            <w:tcW w:w="8910" w:type="dxa"/>
          </w:tcPr>
          <w:p w:rsidR="002A2AE8" w:rsidRPr="005606BE" w:rsidRDefault="002A2AE8" w:rsidP="002A2AE8">
            <w:pPr>
              <w:rPr>
                <w:rFonts w:eastAsia="Times New Roman" w:cs="Times New Roman"/>
                <w:sz w:val="20"/>
                <w:szCs w:val="20"/>
              </w:rPr>
            </w:pPr>
            <w:r w:rsidRPr="005606BE">
              <w:rPr>
                <w:rFonts w:eastAsia="Times New Roman" w:cs="Arial"/>
                <w:color w:val="000000"/>
                <w:sz w:val="20"/>
                <w:szCs w:val="20"/>
              </w:rPr>
              <w:t xml:space="preserve">9. Design a population-based policy, program, project or intervention </w:t>
            </w:r>
          </w:p>
        </w:tc>
        <w:tc>
          <w:tcPr>
            <w:tcW w:w="1170" w:type="dxa"/>
          </w:tcPr>
          <w:p w:rsidR="002A2AE8" w:rsidRPr="005606BE" w:rsidRDefault="002A2AE8" w:rsidP="002A2AE8">
            <w:pPr>
              <w:rPr>
                <w:rFonts w:eastAsia="Times New Roman" w:cs="Arial"/>
                <w:color w:val="000000"/>
                <w:sz w:val="20"/>
                <w:szCs w:val="20"/>
              </w:rPr>
            </w:pPr>
          </w:p>
        </w:tc>
      </w:tr>
      <w:tr w:rsidR="002A2AE8" w:rsidRPr="005606BE" w:rsidTr="002A2AE8">
        <w:tc>
          <w:tcPr>
            <w:tcW w:w="8910" w:type="dxa"/>
          </w:tcPr>
          <w:p w:rsidR="002A2AE8" w:rsidRPr="005606BE" w:rsidRDefault="002A2AE8" w:rsidP="002A2AE8">
            <w:pPr>
              <w:rPr>
                <w:rFonts w:eastAsia="Times New Roman" w:cs="Times New Roman"/>
                <w:sz w:val="20"/>
                <w:szCs w:val="20"/>
              </w:rPr>
            </w:pPr>
            <w:r w:rsidRPr="005606BE">
              <w:rPr>
                <w:rFonts w:eastAsia="Times New Roman" w:cs="Arial"/>
                <w:color w:val="000000"/>
                <w:sz w:val="20"/>
                <w:szCs w:val="20"/>
              </w:rPr>
              <w:t xml:space="preserve">10. Explain basic principles and tools of budget and resource management </w:t>
            </w:r>
          </w:p>
        </w:tc>
        <w:tc>
          <w:tcPr>
            <w:tcW w:w="1170" w:type="dxa"/>
          </w:tcPr>
          <w:p w:rsidR="002A2AE8" w:rsidRPr="005606BE" w:rsidRDefault="002A2AE8" w:rsidP="002A2AE8">
            <w:pPr>
              <w:rPr>
                <w:rFonts w:eastAsia="Times New Roman" w:cs="Arial"/>
                <w:color w:val="000000"/>
                <w:sz w:val="20"/>
                <w:szCs w:val="20"/>
              </w:rPr>
            </w:pPr>
          </w:p>
        </w:tc>
      </w:tr>
      <w:tr w:rsidR="002A2AE8" w:rsidRPr="005606BE" w:rsidTr="002A2AE8">
        <w:tc>
          <w:tcPr>
            <w:tcW w:w="8910" w:type="dxa"/>
          </w:tcPr>
          <w:p w:rsidR="002A2AE8" w:rsidRPr="005606BE" w:rsidRDefault="002A2AE8" w:rsidP="002A2AE8">
            <w:pPr>
              <w:rPr>
                <w:rFonts w:eastAsia="Times New Roman" w:cs="Arial"/>
                <w:color w:val="000000"/>
                <w:sz w:val="20"/>
                <w:szCs w:val="20"/>
              </w:rPr>
            </w:pPr>
            <w:r w:rsidRPr="005606BE">
              <w:rPr>
                <w:rFonts w:eastAsia="Times New Roman" w:cs="Arial"/>
                <w:color w:val="000000"/>
                <w:sz w:val="20"/>
                <w:szCs w:val="20"/>
              </w:rPr>
              <w:t xml:space="preserve">11. Select methods to evaluate public health programs </w:t>
            </w:r>
          </w:p>
        </w:tc>
        <w:tc>
          <w:tcPr>
            <w:tcW w:w="1170" w:type="dxa"/>
          </w:tcPr>
          <w:p w:rsidR="002A2AE8" w:rsidRPr="005606BE" w:rsidRDefault="002A2AE8" w:rsidP="002A2AE8">
            <w:pPr>
              <w:rPr>
                <w:rFonts w:eastAsia="Times New Roman" w:cs="Arial"/>
                <w:color w:val="000000"/>
                <w:sz w:val="20"/>
                <w:szCs w:val="20"/>
              </w:rPr>
            </w:pPr>
          </w:p>
        </w:tc>
      </w:tr>
      <w:tr w:rsidR="002A2AE8" w:rsidRPr="005606BE" w:rsidTr="002A2AE8">
        <w:tc>
          <w:tcPr>
            <w:tcW w:w="8910" w:type="dxa"/>
            <w:shd w:val="clear" w:color="auto" w:fill="D0CECE" w:themeFill="background2" w:themeFillShade="E6"/>
          </w:tcPr>
          <w:p w:rsidR="002A2AE8" w:rsidRPr="005606BE" w:rsidRDefault="002A2AE8" w:rsidP="002A2AE8">
            <w:pPr>
              <w:rPr>
                <w:sz w:val="20"/>
                <w:szCs w:val="20"/>
              </w:rPr>
            </w:pPr>
            <w:r w:rsidRPr="005606BE">
              <w:rPr>
                <w:sz w:val="20"/>
                <w:szCs w:val="20"/>
              </w:rPr>
              <w:t xml:space="preserve">Policy in Public Health </w:t>
            </w:r>
          </w:p>
        </w:tc>
        <w:tc>
          <w:tcPr>
            <w:tcW w:w="1170" w:type="dxa"/>
            <w:shd w:val="clear" w:color="auto" w:fill="D0CECE" w:themeFill="background2" w:themeFillShade="E6"/>
          </w:tcPr>
          <w:p w:rsidR="002A2AE8" w:rsidRPr="005606BE" w:rsidRDefault="002A2AE8" w:rsidP="002A2AE8">
            <w:pPr>
              <w:rPr>
                <w:sz w:val="20"/>
                <w:szCs w:val="20"/>
              </w:rPr>
            </w:pPr>
          </w:p>
        </w:tc>
      </w:tr>
      <w:tr w:rsidR="002A2AE8" w:rsidRPr="005606BE" w:rsidTr="002A2AE8">
        <w:tc>
          <w:tcPr>
            <w:tcW w:w="8910" w:type="dxa"/>
          </w:tcPr>
          <w:p w:rsidR="002A2AE8" w:rsidRPr="005606BE" w:rsidRDefault="002A2AE8" w:rsidP="002A2AE8">
            <w:pPr>
              <w:rPr>
                <w:sz w:val="20"/>
                <w:szCs w:val="20"/>
              </w:rPr>
            </w:pPr>
            <w:r w:rsidRPr="005606BE">
              <w:rPr>
                <w:sz w:val="20"/>
                <w:szCs w:val="20"/>
              </w:rPr>
              <w:t xml:space="preserve">12. Discuss multiple dimensions of the policy-making process, including the roles of ethics and evidence </w:t>
            </w:r>
          </w:p>
        </w:tc>
        <w:tc>
          <w:tcPr>
            <w:tcW w:w="1170" w:type="dxa"/>
          </w:tcPr>
          <w:p w:rsidR="002A2AE8" w:rsidRPr="005606BE" w:rsidRDefault="002A2AE8" w:rsidP="002A2AE8">
            <w:pPr>
              <w:rPr>
                <w:sz w:val="20"/>
                <w:szCs w:val="20"/>
              </w:rPr>
            </w:pPr>
          </w:p>
        </w:tc>
      </w:tr>
      <w:tr w:rsidR="002A2AE8" w:rsidRPr="005606BE" w:rsidTr="002A2AE8">
        <w:tc>
          <w:tcPr>
            <w:tcW w:w="8910" w:type="dxa"/>
          </w:tcPr>
          <w:p w:rsidR="002A2AE8" w:rsidRPr="005606BE" w:rsidRDefault="002A2AE8" w:rsidP="002A2AE8">
            <w:pPr>
              <w:rPr>
                <w:sz w:val="20"/>
                <w:szCs w:val="20"/>
              </w:rPr>
            </w:pPr>
            <w:r w:rsidRPr="005606BE">
              <w:rPr>
                <w:sz w:val="20"/>
                <w:szCs w:val="20"/>
              </w:rPr>
              <w:t xml:space="preserve">13. Propose strategies to identify stakeholders and build coalitions and partnerships for influencing public health outcomes </w:t>
            </w:r>
          </w:p>
        </w:tc>
        <w:tc>
          <w:tcPr>
            <w:tcW w:w="1170" w:type="dxa"/>
          </w:tcPr>
          <w:p w:rsidR="002A2AE8" w:rsidRPr="005606BE" w:rsidRDefault="002A2AE8" w:rsidP="002A2AE8">
            <w:pPr>
              <w:rPr>
                <w:sz w:val="20"/>
                <w:szCs w:val="20"/>
              </w:rPr>
            </w:pPr>
          </w:p>
        </w:tc>
      </w:tr>
      <w:tr w:rsidR="002A2AE8" w:rsidRPr="005606BE" w:rsidTr="002A2AE8">
        <w:tc>
          <w:tcPr>
            <w:tcW w:w="8910" w:type="dxa"/>
          </w:tcPr>
          <w:p w:rsidR="002A2AE8" w:rsidRPr="005606BE" w:rsidRDefault="002A2AE8" w:rsidP="002A2AE8">
            <w:pPr>
              <w:rPr>
                <w:sz w:val="20"/>
                <w:szCs w:val="20"/>
              </w:rPr>
            </w:pPr>
            <w:r w:rsidRPr="005606BE">
              <w:rPr>
                <w:sz w:val="20"/>
                <w:szCs w:val="20"/>
              </w:rPr>
              <w:t xml:space="preserve">14. Advocate for political, social or economic policies and programs that will improve health in diverse populations </w:t>
            </w:r>
          </w:p>
        </w:tc>
        <w:tc>
          <w:tcPr>
            <w:tcW w:w="1170" w:type="dxa"/>
          </w:tcPr>
          <w:p w:rsidR="002A2AE8" w:rsidRPr="005606BE" w:rsidRDefault="002A2AE8" w:rsidP="002A2AE8">
            <w:pPr>
              <w:rPr>
                <w:sz w:val="20"/>
                <w:szCs w:val="20"/>
              </w:rPr>
            </w:pPr>
          </w:p>
        </w:tc>
      </w:tr>
      <w:tr w:rsidR="002A2AE8" w:rsidRPr="005606BE" w:rsidTr="002A2AE8">
        <w:tc>
          <w:tcPr>
            <w:tcW w:w="8910" w:type="dxa"/>
          </w:tcPr>
          <w:p w:rsidR="002A2AE8" w:rsidRPr="005606BE" w:rsidRDefault="002A2AE8" w:rsidP="002A2AE8">
            <w:pPr>
              <w:rPr>
                <w:sz w:val="20"/>
                <w:szCs w:val="20"/>
              </w:rPr>
            </w:pPr>
            <w:r w:rsidRPr="005606BE">
              <w:rPr>
                <w:sz w:val="20"/>
                <w:szCs w:val="20"/>
              </w:rPr>
              <w:t xml:space="preserve">15. Evaluate policies for their impact on public health and health equity </w:t>
            </w:r>
          </w:p>
        </w:tc>
        <w:tc>
          <w:tcPr>
            <w:tcW w:w="1170" w:type="dxa"/>
          </w:tcPr>
          <w:p w:rsidR="002A2AE8" w:rsidRPr="005606BE" w:rsidRDefault="002A2AE8" w:rsidP="002A2AE8">
            <w:pPr>
              <w:rPr>
                <w:sz w:val="20"/>
                <w:szCs w:val="20"/>
              </w:rPr>
            </w:pPr>
          </w:p>
        </w:tc>
      </w:tr>
      <w:tr w:rsidR="002A2AE8" w:rsidRPr="005606BE" w:rsidTr="002A2AE8">
        <w:tc>
          <w:tcPr>
            <w:tcW w:w="8910" w:type="dxa"/>
            <w:shd w:val="clear" w:color="auto" w:fill="D0CECE" w:themeFill="background2" w:themeFillShade="E6"/>
          </w:tcPr>
          <w:p w:rsidR="002A2AE8" w:rsidRPr="005606BE" w:rsidRDefault="002A2AE8" w:rsidP="002A2AE8">
            <w:pPr>
              <w:rPr>
                <w:sz w:val="20"/>
                <w:szCs w:val="20"/>
              </w:rPr>
            </w:pPr>
            <w:r w:rsidRPr="005606BE">
              <w:rPr>
                <w:sz w:val="20"/>
                <w:szCs w:val="20"/>
              </w:rPr>
              <w:t xml:space="preserve">Leadership </w:t>
            </w:r>
          </w:p>
        </w:tc>
        <w:tc>
          <w:tcPr>
            <w:tcW w:w="1170" w:type="dxa"/>
            <w:shd w:val="clear" w:color="auto" w:fill="D0CECE" w:themeFill="background2" w:themeFillShade="E6"/>
          </w:tcPr>
          <w:p w:rsidR="002A2AE8" w:rsidRPr="005606BE" w:rsidRDefault="002A2AE8" w:rsidP="002A2AE8">
            <w:pPr>
              <w:rPr>
                <w:sz w:val="20"/>
                <w:szCs w:val="20"/>
              </w:rPr>
            </w:pPr>
          </w:p>
        </w:tc>
      </w:tr>
      <w:tr w:rsidR="002A2AE8" w:rsidRPr="005606BE" w:rsidTr="002A2AE8">
        <w:tc>
          <w:tcPr>
            <w:tcW w:w="8910" w:type="dxa"/>
          </w:tcPr>
          <w:p w:rsidR="002A2AE8" w:rsidRPr="005606BE" w:rsidRDefault="002A2AE8" w:rsidP="002A2AE8">
            <w:pPr>
              <w:rPr>
                <w:sz w:val="20"/>
                <w:szCs w:val="20"/>
              </w:rPr>
            </w:pPr>
            <w:r w:rsidRPr="005606BE">
              <w:rPr>
                <w:sz w:val="20"/>
                <w:szCs w:val="20"/>
              </w:rPr>
              <w:t xml:space="preserve">16. Apply principles of leadership, governance and management, which include creating a vision, empowering others, fostering collaboration and guiding decision making </w:t>
            </w:r>
          </w:p>
        </w:tc>
        <w:tc>
          <w:tcPr>
            <w:tcW w:w="1170" w:type="dxa"/>
          </w:tcPr>
          <w:p w:rsidR="002A2AE8" w:rsidRPr="005606BE" w:rsidRDefault="002A2AE8" w:rsidP="002A2AE8">
            <w:pPr>
              <w:rPr>
                <w:sz w:val="20"/>
                <w:szCs w:val="20"/>
              </w:rPr>
            </w:pPr>
          </w:p>
        </w:tc>
      </w:tr>
      <w:tr w:rsidR="002A2AE8" w:rsidRPr="005606BE" w:rsidTr="002A2AE8">
        <w:tc>
          <w:tcPr>
            <w:tcW w:w="8910" w:type="dxa"/>
          </w:tcPr>
          <w:p w:rsidR="002A2AE8" w:rsidRPr="005606BE" w:rsidRDefault="002A2AE8" w:rsidP="002A2AE8">
            <w:pPr>
              <w:rPr>
                <w:sz w:val="20"/>
                <w:szCs w:val="20"/>
              </w:rPr>
            </w:pPr>
            <w:r w:rsidRPr="005606BE">
              <w:rPr>
                <w:sz w:val="20"/>
                <w:szCs w:val="20"/>
              </w:rPr>
              <w:t xml:space="preserve">17. Apply negotiation and mediation skills to address organizational or community challenges </w:t>
            </w:r>
          </w:p>
        </w:tc>
        <w:tc>
          <w:tcPr>
            <w:tcW w:w="1170" w:type="dxa"/>
          </w:tcPr>
          <w:p w:rsidR="002A2AE8" w:rsidRPr="005606BE" w:rsidRDefault="002A2AE8" w:rsidP="002A2AE8">
            <w:pPr>
              <w:rPr>
                <w:sz w:val="20"/>
                <w:szCs w:val="20"/>
              </w:rPr>
            </w:pPr>
          </w:p>
        </w:tc>
      </w:tr>
      <w:tr w:rsidR="002A2AE8" w:rsidRPr="005606BE" w:rsidTr="002A2AE8">
        <w:tc>
          <w:tcPr>
            <w:tcW w:w="8910" w:type="dxa"/>
            <w:shd w:val="clear" w:color="auto" w:fill="D0CECE" w:themeFill="background2" w:themeFillShade="E6"/>
          </w:tcPr>
          <w:p w:rsidR="002A2AE8" w:rsidRPr="005606BE" w:rsidRDefault="002A2AE8" w:rsidP="002A2AE8">
            <w:pPr>
              <w:rPr>
                <w:sz w:val="20"/>
                <w:szCs w:val="20"/>
              </w:rPr>
            </w:pPr>
            <w:r w:rsidRPr="005606BE">
              <w:rPr>
                <w:sz w:val="20"/>
                <w:szCs w:val="20"/>
              </w:rPr>
              <w:lastRenderedPageBreak/>
              <w:t xml:space="preserve">Communication </w:t>
            </w:r>
          </w:p>
        </w:tc>
        <w:tc>
          <w:tcPr>
            <w:tcW w:w="1170" w:type="dxa"/>
            <w:shd w:val="clear" w:color="auto" w:fill="D0CECE" w:themeFill="background2" w:themeFillShade="E6"/>
          </w:tcPr>
          <w:p w:rsidR="002A2AE8" w:rsidRPr="005606BE" w:rsidRDefault="002A2AE8" w:rsidP="002A2AE8">
            <w:pPr>
              <w:rPr>
                <w:sz w:val="20"/>
                <w:szCs w:val="20"/>
              </w:rPr>
            </w:pPr>
          </w:p>
        </w:tc>
      </w:tr>
      <w:tr w:rsidR="002A2AE8" w:rsidRPr="005606BE" w:rsidTr="002A2AE8">
        <w:tc>
          <w:tcPr>
            <w:tcW w:w="8910" w:type="dxa"/>
          </w:tcPr>
          <w:p w:rsidR="002A2AE8" w:rsidRPr="005606BE" w:rsidRDefault="002A2AE8" w:rsidP="002A2AE8">
            <w:pPr>
              <w:rPr>
                <w:sz w:val="20"/>
                <w:szCs w:val="20"/>
              </w:rPr>
            </w:pPr>
            <w:r w:rsidRPr="005606BE">
              <w:rPr>
                <w:sz w:val="20"/>
                <w:szCs w:val="20"/>
              </w:rPr>
              <w:t xml:space="preserve">18. Select communication strategies for different audiences and sectors </w:t>
            </w:r>
          </w:p>
        </w:tc>
        <w:tc>
          <w:tcPr>
            <w:tcW w:w="1170" w:type="dxa"/>
          </w:tcPr>
          <w:p w:rsidR="002A2AE8" w:rsidRPr="005606BE" w:rsidRDefault="002A2AE8" w:rsidP="002A2AE8">
            <w:pPr>
              <w:rPr>
                <w:sz w:val="20"/>
                <w:szCs w:val="20"/>
              </w:rPr>
            </w:pPr>
          </w:p>
        </w:tc>
      </w:tr>
      <w:tr w:rsidR="002A2AE8" w:rsidRPr="005606BE" w:rsidTr="002A2AE8">
        <w:tc>
          <w:tcPr>
            <w:tcW w:w="8910" w:type="dxa"/>
          </w:tcPr>
          <w:p w:rsidR="002A2AE8" w:rsidRPr="005606BE" w:rsidRDefault="002A2AE8" w:rsidP="002A2AE8">
            <w:pPr>
              <w:rPr>
                <w:sz w:val="20"/>
                <w:szCs w:val="20"/>
              </w:rPr>
            </w:pPr>
            <w:r w:rsidRPr="005606BE">
              <w:rPr>
                <w:sz w:val="20"/>
                <w:szCs w:val="20"/>
              </w:rPr>
              <w:t xml:space="preserve">19. Communicate audience-appropriate public health content, both in writing and through oral presentation </w:t>
            </w:r>
          </w:p>
        </w:tc>
        <w:tc>
          <w:tcPr>
            <w:tcW w:w="1170" w:type="dxa"/>
          </w:tcPr>
          <w:p w:rsidR="002A2AE8" w:rsidRPr="005606BE" w:rsidRDefault="002A2AE8" w:rsidP="002A2AE8">
            <w:pPr>
              <w:rPr>
                <w:sz w:val="20"/>
                <w:szCs w:val="20"/>
              </w:rPr>
            </w:pPr>
          </w:p>
        </w:tc>
      </w:tr>
      <w:tr w:rsidR="002A2AE8" w:rsidRPr="005606BE" w:rsidTr="002A2AE8">
        <w:tc>
          <w:tcPr>
            <w:tcW w:w="8910" w:type="dxa"/>
          </w:tcPr>
          <w:p w:rsidR="002A2AE8" w:rsidRPr="005606BE" w:rsidRDefault="002A2AE8" w:rsidP="002A2AE8">
            <w:pPr>
              <w:rPr>
                <w:sz w:val="20"/>
                <w:szCs w:val="20"/>
              </w:rPr>
            </w:pPr>
            <w:r w:rsidRPr="005606BE">
              <w:rPr>
                <w:sz w:val="20"/>
                <w:szCs w:val="20"/>
              </w:rPr>
              <w:t xml:space="preserve">20. Describe the importance of cultural competence in communicating public health content </w:t>
            </w:r>
          </w:p>
        </w:tc>
        <w:tc>
          <w:tcPr>
            <w:tcW w:w="1170" w:type="dxa"/>
          </w:tcPr>
          <w:p w:rsidR="002A2AE8" w:rsidRPr="005606BE" w:rsidRDefault="002A2AE8" w:rsidP="002A2AE8">
            <w:pPr>
              <w:rPr>
                <w:sz w:val="20"/>
                <w:szCs w:val="20"/>
              </w:rPr>
            </w:pPr>
          </w:p>
        </w:tc>
      </w:tr>
      <w:tr w:rsidR="002A2AE8" w:rsidRPr="005606BE" w:rsidTr="002A2AE8">
        <w:tc>
          <w:tcPr>
            <w:tcW w:w="8910" w:type="dxa"/>
            <w:shd w:val="clear" w:color="auto" w:fill="D0CECE" w:themeFill="background2" w:themeFillShade="E6"/>
          </w:tcPr>
          <w:p w:rsidR="002A2AE8" w:rsidRPr="005606BE" w:rsidRDefault="002A2AE8" w:rsidP="002A2AE8">
            <w:pPr>
              <w:rPr>
                <w:sz w:val="20"/>
                <w:szCs w:val="20"/>
              </w:rPr>
            </w:pPr>
            <w:r w:rsidRPr="005606BE">
              <w:rPr>
                <w:sz w:val="20"/>
                <w:szCs w:val="20"/>
              </w:rPr>
              <w:t xml:space="preserve">Interprofessional Practice </w:t>
            </w:r>
          </w:p>
        </w:tc>
        <w:tc>
          <w:tcPr>
            <w:tcW w:w="1170" w:type="dxa"/>
            <w:shd w:val="clear" w:color="auto" w:fill="D0CECE" w:themeFill="background2" w:themeFillShade="E6"/>
          </w:tcPr>
          <w:p w:rsidR="002A2AE8" w:rsidRPr="005606BE" w:rsidRDefault="002A2AE8" w:rsidP="002A2AE8">
            <w:pPr>
              <w:rPr>
                <w:sz w:val="20"/>
                <w:szCs w:val="20"/>
              </w:rPr>
            </w:pPr>
          </w:p>
        </w:tc>
      </w:tr>
      <w:tr w:rsidR="002A2AE8" w:rsidRPr="005606BE" w:rsidTr="002A2AE8">
        <w:tc>
          <w:tcPr>
            <w:tcW w:w="8910" w:type="dxa"/>
          </w:tcPr>
          <w:p w:rsidR="002A2AE8" w:rsidRPr="005606BE" w:rsidRDefault="002A2AE8" w:rsidP="002A2AE8">
            <w:pPr>
              <w:rPr>
                <w:sz w:val="20"/>
                <w:szCs w:val="20"/>
              </w:rPr>
            </w:pPr>
            <w:r w:rsidRPr="005606BE">
              <w:rPr>
                <w:sz w:val="20"/>
                <w:szCs w:val="20"/>
              </w:rPr>
              <w:t xml:space="preserve">21. Perform effectively on interprofessional teams </w:t>
            </w:r>
          </w:p>
        </w:tc>
        <w:tc>
          <w:tcPr>
            <w:tcW w:w="1170" w:type="dxa"/>
          </w:tcPr>
          <w:p w:rsidR="002A2AE8" w:rsidRPr="005606BE" w:rsidRDefault="002A2AE8" w:rsidP="002A2AE8">
            <w:pPr>
              <w:rPr>
                <w:sz w:val="20"/>
                <w:szCs w:val="20"/>
              </w:rPr>
            </w:pPr>
          </w:p>
        </w:tc>
      </w:tr>
      <w:tr w:rsidR="002A2AE8" w:rsidRPr="005606BE" w:rsidTr="002A2AE8">
        <w:tc>
          <w:tcPr>
            <w:tcW w:w="8910" w:type="dxa"/>
            <w:shd w:val="clear" w:color="auto" w:fill="D0CECE" w:themeFill="background2" w:themeFillShade="E6"/>
          </w:tcPr>
          <w:p w:rsidR="002A2AE8" w:rsidRPr="005606BE" w:rsidRDefault="002A2AE8" w:rsidP="002A2AE8">
            <w:pPr>
              <w:rPr>
                <w:sz w:val="20"/>
                <w:szCs w:val="20"/>
              </w:rPr>
            </w:pPr>
            <w:r w:rsidRPr="005606BE">
              <w:rPr>
                <w:sz w:val="20"/>
                <w:szCs w:val="20"/>
              </w:rPr>
              <w:t>Systems Thinking (waiting on technical assistance paper from CEPH)</w:t>
            </w:r>
          </w:p>
        </w:tc>
        <w:tc>
          <w:tcPr>
            <w:tcW w:w="1170" w:type="dxa"/>
            <w:shd w:val="clear" w:color="auto" w:fill="D0CECE" w:themeFill="background2" w:themeFillShade="E6"/>
          </w:tcPr>
          <w:p w:rsidR="002A2AE8" w:rsidRPr="005606BE" w:rsidRDefault="002A2AE8" w:rsidP="002A2AE8">
            <w:pPr>
              <w:rPr>
                <w:sz w:val="20"/>
                <w:szCs w:val="20"/>
              </w:rPr>
            </w:pPr>
          </w:p>
        </w:tc>
      </w:tr>
      <w:tr w:rsidR="002A2AE8" w:rsidRPr="005606BE" w:rsidTr="002A2AE8">
        <w:tc>
          <w:tcPr>
            <w:tcW w:w="8910" w:type="dxa"/>
          </w:tcPr>
          <w:p w:rsidR="002A2AE8" w:rsidRPr="005606BE" w:rsidRDefault="002A2AE8" w:rsidP="002A2AE8">
            <w:pPr>
              <w:rPr>
                <w:sz w:val="20"/>
                <w:szCs w:val="20"/>
              </w:rPr>
            </w:pPr>
            <w:r w:rsidRPr="005606BE">
              <w:rPr>
                <w:sz w:val="20"/>
                <w:szCs w:val="20"/>
              </w:rPr>
              <w:t xml:space="preserve">22. Apply systems thinking tools to a public health issue </w:t>
            </w:r>
          </w:p>
        </w:tc>
        <w:tc>
          <w:tcPr>
            <w:tcW w:w="1170" w:type="dxa"/>
          </w:tcPr>
          <w:p w:rsidR="002A2AE8" w:rsidRPr="005606BE" w:rsidRDefault="002A2AE8" w:rsidP="002A2AE8">
            <w:pPr>
              <w:rPr>
                <w:sz w:val="20"/>
                <w:szCs w:val="20"/>
              </w:rPr>
            </w:pPr>
          </w:p>
        </w:tc>
      </w:tr>
      <w:tr w:rsidR="002A2AE8" w:rsidRPr="005606BE" w:rsidTr="002A2AE8">
        <w:tc>
          <w:tcPr>
            <w:tcW w:w="8910" w:type="dxa"/>
            <w:shd w:val="clear" w:color="auto" w:fill="D9D9D9" w:themeFill="background1" w:themeFillShade="D9"/>
          </w:tcPr>
          <w:p w:rsidR="002A2AE8" w:rsidRPr="005606BE" w:rsidRDefault="002A2AE8" w:rsidP="002A2AE8">
            <w:pPr>
              <w:rPr>
                <w:sz w:val="20"/>
                <w:szCs w:val="20"/>
              </w:rPr>
            </w:pPr>
            <w:r>
              <w:rPr>
                <w:sz w:val="20"/>
                <w:szCs w:val="20"/>
              </w:rPr>
              <w:t>WKU MPH Program Competencies</w:t>
            </w:r>
          </w:p>
        </w:tc>
        <w:tc>
          <w:tcPr>
            <w:tcW w:w="1170" w:type="dxa"/>
            <w:shd w:val="clear" w:color="auto" w:fill="D9D9D9" w:themeFill="background1" w:themeFillShade="D9"/>
          </w:tcPr>
          <w:p w:rsidR="002A2AE8" w:rsidRPr="005606BE" w:rsidRDefault="002A2AE8" w:rsidP="002A2AE8">
            <w:pPr>
              <w:rPr>
                <w:sz w:val="20"/>
                <w:szCs w:val="20"/>
              </w:rPr>
            </w:pPr>
          </w:p>
        </w:tc>
      </w:tr>
      <w:tr w:rsidR="002A2AE8" w:rsidRPr="005606BE" w:rsidTr="002A2AE8">
        <w:tc>
          <w:tcPr>
            <w:tcW w:w="8910" w:type="dxa"/>
          </w:tcPr>
          <w:p w:rsidR="002A2AE8" w:rsidRPr="00DC5143" w:rsidRDefault="002A2AE8" w:rsidP="002A2AE8">
            <w:pPr>
              <w:rPr>
                <w:color w:val="000000"/>
                <w:sz w:val="20"/>
                <w:szCs w:val="20"/>
              </w:rPr>
            </w:pPr>
            <w:r w:rsidRPr="00DC5143">
              <w:rPr>
                <w:sz w:val="20"/>
                <w:szCs w:val="20"/>
              </w:rPr>
              <w:t xml:space="preserve">23. Apply health behavior theories and models to address public health problems. </w:t>
            </w:r>
          </w:p>
        </w:tc>
        <w:tc>
          <w:tcPr>
            <w:tcW w:w="1170" w:type="dxa"/>
          </w:tcPr>
          <w:p w:rsidR="002A2AE8" w:rsidRPr="005606BE" w:rsidRDefault="002A2AE8" w:rsidP="002A2AE8">
            <w:pPr>
              <w:rPr>
                <w:sz w:val="20"/>
                <w:szCs w:val="20"/>
              </w:rPr>
            </w:pPr>
          </w:p>
        </w:tc>
      </w:tr>
      <w:tr w:rsidR="002A2AE8" w:rsidRPr="005606BE" w:rsidTr="002A2AE8">
        <w:tc>
          <w:tcPr>
            <w:tcW w:w="8910" w:type="dxa"/>
          </w:tcPr>
          <w:p w:rsidR="002A2AE8" w:rsidRPr="00DC5143" w:rsidRDefault="002A2AE8" w:rsidP="002A2AE8">
            <w:pPr>
              <w:rPr>
                <w:sz w:val="20"/>
                <w:szCs w:val="20"/>
              </w:rPr>
            </w:pPr>
            <w:r w:rsidRPr="00DC5143">
              <w:rPr>
                <w:color w:val="000000"/>
                <w:sz w:val="20"/>
                <w:szCs w:val="20"/>
              </w:rPr>
              <w:t xml:space="preserve">24. Describe the role of budgeting; methods of seeking extramural funding; and methods of financial analysis in making decisions about policies, programs and services. </w:t>
            </w:r>
          </w:p>
        </w:tc>
        <w:tc>
          <w:tcPr>
            <w:tcW w:w="1170" w:type="dxa"/>
          </w:tcPr>
          <w:p w:rsidR="002A2AE8" w:rsidRPr="005606BE" w:rsidRDefault="002A2AE8" w:rsidP="002A2AE8">
            <w:pPr>
              <w:rPr>
                <w:sz w:val="20"/>
                <w:szCs w:val="20"/>
              </w:rPr>
            </w:pPr>
          </w:p>
        </w:tc>
      </w:tr>
      <w:tr w:rsidR="002A2AE8" w:rsidRPr="005606BE" w:rsidTr="002A2AE8">
        <w:tc>
          <w:tcPr>
            <w:tcW w:w="8910" w:type="dxa"/>
          </w:tcPr>
          <w:p w:rsidR="002A2AE8" w:rsidRPr="00DC5143" w:rsidRDefault="002A2AE8" w:rsidP="002A2AE8">
            <w:pPr>
              <w:rPr>
                <w:sz w:val="20"/>
                <w:szCs w:val="20"/>
              </w:rPr>
            </w:pPr>
            <w:r w:rsidRPr="00DC5143">
              <w:rPr>
                <w:sz w:val="20"/>
                <w:szCs w:val="20"/>
              </w:rPr>
              <w:t>25. Describe the roles of history, power, privilege and structural inequality in producing health disparities.</w:t>
            </w:r>
          </w:p>
        </w:tc>
        <w:tc>
          <w:tcPr>
            <w:tcW w:w="1170" w:type="dxa"/>
          </w:tcPr>
          <w:p w:rsidR="002A2AE8" w:rsidRPr="005606BE" w:rsidRDefault="002A2AE8" w:rsidP="002A2AE8">
            <w:pPr>
              <w:rPr>
                <w:sz w:val="20"/>
                <w:szCs w:val="20"/>
              </w:rPr>
            </w:pPr>
          </w:p>
        </w:tc>
      </w:tr>
      <w:tr w:rsidR="002A2AE8" w:rsidRPr="005606BE" w:rsidTr="002A2AE8">
        <w:tc>
          <w:tcPr>
            <w:tcW w:w="8910" w:type="dxa"/>
          </w:tcPr>
          <w:p w:rsidR="002A2AE8" w:rsidRPr="00DC5143" w:rsidRDefault="002A2AE8" w:rsidP="002A2AE8">
            <w:pPr>
              <w:rPr>
                <w:rFonts w:eastAsia="Times New Roman" w:cs="Arial"/>
                <w:sz w:val="20"/>
                <w:szCs w:val="20"/>
              </w:rPr>
            </w:pPr>
            <w:r w:rsidRPr="00DC5143">
              <w:rPr>
                <w:rFonts w:eastAsia="Times New Roman" w:cs="Arial"/>
                <w:sz w:val="20"/>
                <w:szCs w:val="20"/>
              </w:rPr>
              <w:t>26. Integrate social determinants into public health science, practice, and research.</w:t>
            </w:r>
          </w:p>
        </w:tc>
        <w:tc>
          <w:tcPr>
            <w:tcW w:w="1170" w:type="dxa"/>
          </w:tcPr>
          <w:p w:rsidR="002A2AE8" w:rsidRPr="005606BE" w:rsidRDefault="002A2AE8" w:rsidP="002A2AE8">
            <w:pPr>
              <w:rPr>
                <w:sz w:val="20"/>
                <w:szCs w:val="20"/>
              </w:rPr>
            </w:pPr>
          </w:p>
        </w:tc>
      </w:tr>
      <w:tr w:rsidR="002A2AE8" w:rsidRPr="005606BE" w:rsidTr="002A2AE8">
        <w:tc>
          <w:tcPr>
            <w:tcW w:w="8910" w:type="dxa"/>
          </w:tcPr>
          <w:p w:rsidR="002A2AE8" w:rsidRPr="00DC5143" w:rsidRDefault="002A2AE8" w:rsidP="002A2AE8">
            <w:pPr>
              <w:rPr>
                <w:sz w:val="20"/>
                <w:szCs w:val="20"/>
              </w:rPr>
            </w:pPr>
            <w:r w:rsidRPr="00DC5143">
              <w:rPr>
                <w:sz w:val="20"/>
                <w:szCs w:val="20"/>
              </w:rPr>
              <w:t>27. Identify the direct and indirect population health effects of environmental hazards (biological, chemical and physical) on humans, animals and the ecology.</w:t>
            </w:r>
          </w:p>
        </w:tc>
        <w:tc>
          <w:tcPr>
            <w:tcW w:w="1170" w:type="dxa"/>
          </w:tcPr>
          <w:p w:rsidR="002A2AE8" w:rsidRPr="005606BE" w:rsidRDefault="002A2AE8" w:rsidP="002A2AE8">
            <w:pPr>
              <w:rPr>
                <w:sz w:val="20"/>
                <w:szCs w:val="20"/>
              </w:rPr>
            </w:pPr>
          </w:p>
        </w:tc>
      </w:tr>
    </w:tbl>
    <w:p w:rsidR="002A2AE8" w:rsidRDefault="002A2AE8" w:rsidP="002A2AE8">
      <w:pPr>
        <w:spacing w:after="0" w:line="240" w:lineRule="auto"/>
      </w:pPr>
    </w:p>
    <w:p w:rsidR="002A2AE8" w:rsidRDefault="002A2AE8" w:rsidP="002A2AE8">
      <w:pPr>
        <w:spacing w:after="0" w:line="240" w:lineRule="auto"/>
      </w:pPr>
    </w:p>
    <w:p w:rsidR="002A2AE8" w:rsidRDefault="002A2AE8" w:rsidP="002A2AE8">
      <w:r>
        <w:br w:type="page"/>
      </w:r>
    </w:p>
    <w:p w:rsidR="002A2AE8" w:rsidRDefault="002A2AE8" w:rsidP="002A2AE8">
      <w:pPr>
        <w:spacing w:after="0" w:line="240" w:lineRule="auto"/>
        <w:sectPr w:rsidR="002A2AE8">
          <w:pgSz w:w="12240" w:h="15840"/>
          <w:pgMar w:top="1440" w:right="1440" w:bottom="1440" w:left="1440" w:header="720" w:footer="720" w:gutter="0"/>
          <w:cols w:space="720"/>
          <w:docGrid w:linePitch="360"/>
        </w:sectPr>
      </w:pPr>
    </w:p>
    <w:tbl>
      <w:tblPr>
        <w:tblStyle w:val="TableGrid"/>
        <w:tblW w:w="14395" w:type="dxa"/>
        <w:tblLook w:val="04A0" w:firstRow="1" w:lastRow="0" w:firstColumn="1" w:lastColumn="0" w:noHBand="0" w:noVBand="1"/>
      </w:tblPr>
      <w:tblGrid>
        <w:gridCol w:w="6475"/>
        <w:gridCol w:w="7920"/>
      </w:tblGrid>
      <w:tr w:rsidR="002A2AE8" w:rsidRPr="005408D0" w:rsidTr="002A2AE8">
        <w:tc>
          <w:tcPr>
            <w:tcW w:w="14395" w:type="dxa"/>
            <w:gridSpan w:val="2"/>
            <w:shd w:val="pct12" w:color="auto" w:fill="auto"/>
          </w:tcPr>
          <w:p w:rsidR="002A2AE8" w:rsidRPr="00E34C30" w:rsidRDefault="002A2AE8" w:rsidP="002A2AE8">
            <w:pPr>
              <w:pStyle w:val="Heading1"/>
              <w:spacing w:before="0" w:after="0"/>
              <w:outlineLvl w:val="0"/>
              <w:rPr>
                <w:sz w:val="24"/>
                <w:szCs w:val="24"/>
              </w:rPr>
            </w:pPr>
            <w:bookmarkStart w:id="4" w:name="_Assurance_of_Student"/>
            <w:bookmarkEnd w:id="4"/>
            <w:r w:rsidRPr="00E34C30">
              <w:rPr>
                <w:sz w:val="24"/>
                <w:szCs w:val="24"/>
              </w:rPr>
              <w:lastRenderedPageBreak/>
              <w:t>Assurance of Student Learning</w:t>
            </w:r>
          </w:p>
          <w:p w:rsidR="002A2AE8" w:rsidRPr="005408D0" w:rsidRDefault="002A2AE8" w:rsidP="002A2AE8">
            <w:pPr>
              <w:widowControl w:val="0"/>
              <w:autoSpaceDE w:val="0"/>
              <w:autoSpaceDN w:val="0"/>
              <w:adjustRightInd w:val="0"/>
              <w:jc w:val="center"/>
              <w:rPr>
                <w:rFonts w:cstheme="minorHAnsi"/>
                <w:b/>
                <w:bCs/>
              </w:rPr>
            </w:pPr>
            <w:r w:rsidRPr="005408D0">
              <w:rPr>
                <w:rFonts w:cstheme="minorHAnsi"/>
                <w:b/>
                <w:bCs/>
              </w:rPr>
              <w:t>2018-2019</w:t>
            </w:r>
          </w:p>
        </w:tc>
      </w:tr>
      <w:tr w:rsidR="002A2AE8" w:rsidRPr="005408D0" w:rsidTr="002A2AE8">
        <w:tc>
          <w:tcPr>
            <w:tcW w:w="6475" w:type="dxa"/>
          </w:tcPr>
          <w:p w:rsidR="002A2AE8" w:rsidRPr="005408D0" w:rsidRDefault="002A2AE8" w:rsidP="002A2AE8">
            <w:pPr>
              <w:widowControl w:val="0"/>
              <w:autoSpaceDE w:val="0"/>
              <w:autoSpaceDN w:val="0"/>
              <w:adjustRightInd w:val="0"/>
              <w:jc w:val="center"/>
              <w:rPr>
                <w:rFonts w:cstheme="minorHAnsi"/>
                <w:bCs/>
              </w:rPr>
            </w:pPr>
            <w:r w:rsidRPr="005408D0">
              <w:rPr>
                <w:rFonts w:cstheme="minorHAnsi"/>
                <w:bCs/>
              </w:rPr>
              <w:t>College of Health and Human Services</w:t>
            </w:r>
          </w:p>
        </w:tc>
        <w:tc>
          <w:tcPr>
            <w:tcW w:w="7920" w:type="dxa"/>
          </w:tcPr>
          <w:p w:rsidR="002A2AE8" w:rsidRPr="005408D0" w:rsidRDefault="002A2AE8" w:rsidP="002A2AE8">
            <w:pPr>
              <w:widowControl w:val="0"/>
              <w:autoSpaceDE w:val="0"/>
              <w:autoSpaceDN w:val="0"/>
              <w:adjustRightInd w:val="0"/>
              <w:jc w:val="center"/>
              <w:rPr>
                <w:rFonts w:cstheme="minorHAnsi"/>
                <w:bCs/>
              </w:rPr>
            </w:pPr>
            <w:r w:rsidRPr="005408D0">
              <w:rPr>
                <w:rFonts w:cstheme="minorHAnsi"/>
                <w:bCs/>
              </w:rPr>
              <w:t>Department of Public Health</w:t>
            </w:r>
          </w:p>
        </w:tc>
      </w:tr>
      <w:tr w:rsidR="002A2AE8" w:rsidRPr="005408D0" w:rsidTr="002A2AE8">
        <w:tc>
          <w:tcPr>
            <w:tcW w:w="14395" w:type="dxa"/>
            <w:gridSpan w:val="2"/>
          </w:tcPr>
          <w:p w:rsidR="002A2AE8" w:rsidRPr="005408D0" w:rsidRDefault="002A2AE8" w:rsidP="002A2AE8">
            <w:pPr>
              <w:widowControl w:val="0"/>
              <w:autoSpaceDE w:val="0"/>
              <w:autoSpaceDN w:val="0"/>
              <w:adjustRightInd w:val="0"/>
              <w:jc w:val="center"/>
              <w:rPr>
                <w:rFonts w:cstheme="minorHAnsi"/>
                <w:bCs/>
              </w:rPr>
            </w:pPr>
            <w:r w:rsidRPr="005408D0">
              <w:rPr>
                <w:rFonts w:cstheme="minorHAnsi"/>
                <w:bCs/>
              </w:rPr>
              <w:t>Master of Public Health 152</w:t>
            </w:r>
          </w:p>
        </w:tc>
      </w:tr>
    </w:tbl>
    <w:p w:rsidR="002A2AE8" w:rsidRPr="005408D0" w:rsidRDefault="002A2AE8" w:rsidP="002A2AE8">
      <w:pPr>
        <w:rPr>
          <w:rFonts w:cstheme="minorHAnsi"/>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2A2AE8" w:rsidRPr="005408D0" w:rsidTr="002A2AE8">
        <w:trPr>
          <w:trHeight w:val="144"/>
        </w:trPr>
        <w:tc>
          <w:tcPr>
            <w:tcW w:w="14395" w:type="dxa"/>
            <w:gridSpan w:val="4"/>
            <w:shd w:val="pct12" w:color="auto" w:fill="auto"/>
            <w:tcMar>
              <w:top w:w="100" w:type="nil"/>
              <w:right w:w="100" w:type="nil"/>
            </w:tcMar>
          </w:tcPr>
          <w:p w:rsidR="002A2AE8" w:rsidRPr="005408D0" w:rsidRDefault="002A2AE8" w:rsidP="002A2AE8">
            <w:pPr>
              <w:widowControl w:val="0"/>
              <w:autoSpaceDE w:val="0"/>
              <w:autoSpaceDN w:val="0"/>
              <w:adjustRightInd w:val="0"/>
              <w:jc w:val="center"/>
              <w:rPr>
                <w:rFonts w:cstheme="minorHAnsi"/>
                <w:b/>
                <w:bCs/>
              </w:rPr>
            </w:pPr>
            <w:r w:rsidRPr="005408D0">
              <w:rPr>
                <w:rFonts w:cstheme="minorHAnsi"/>
                <w:b/>
                <w:bCs/>
              </w:rPr>
              <w:t>Use this page to list learning outcomes, measurements, and summarize results for your program.  Detailed information must be completed in the subsequent pages.</w:t>
            </w:r>
          </w:p>
        </w:tc>
      </w:tr>
      <w:tr w:rsidR="002A2AE8" w:rsidRPr="005408D0" w:rsidTr="002A2AE8">
        <w:trPr>
          <w:trHeight w:val="144"/>
        </w:trPr>
        <w:tc>
          <w:tcPr>
            <w:tcW w:w="14395" w:type="dxa"/>
            <w:gridSpan w:val="4"/>
            <w:shd w:val="clear" w:color="auto" w:fill="auto"/>
            <w:tcMar>
              <w:top w:w="100" w:type="nil"/>
              <w:right w:w="100" w:type="nil"/>
            </w:tcMar>
          </w:tcPr>
          <w:p w:rsidR="002A2AE8" w:rsidRPr="005408D0" w:rsidRDefault="002A2AE8" w:rsidP="002A2AE8">
            <w:pPr>
              <w:widowControl w:val="0"/>
              <w:autoSpaceDE w:val="0"/>
              <w:autoSpaceDN w:val="0"/>
              <w:adjustRightInd w:val="0"/>
              <w:rPr>
                <w:rFonts w:cstheme="minorHAnsi"/>
                <w:b/>
                <w:bCs/>
              </w:rPr>
            </w:pPr>
            <w:r w:rsidRPr="005408D0">
              <w:rPr>
                <w:rFonts w:cstheme="minorHAnsi"/>
                <w:b/>
                <w:bCs/>
              </w:rPr>
              <w:t>Student Learning Outcome 1:  Synthesize foundational MPH competencies.</w:t>
            </w:r>
          </w:p>
        </w:tc>
      </w:tr>
      <w:tr w:rsidR="002A2AE8" w:rsidRPr="005408D0" w:rsidTr="002A2AE8">
        <w:trPr>
          <w:trHeight w:val="323"/>
        </w:trPr>
        <w:tc>
          <w:tcPr>
            <w:tcW w:w="1435" w:type="dxa"/>
            <w:shd w:val="clear" w:color="auto" w:fill="auto"/>
            <w:tcMar>
              <w:top w:w="100" w:type="nil"/>
              <w:right w:w="100" w:type="nil"/>
            </w:tcMar>
          </w:tcPr>
          <w:p w:rsidR="002A2AE8" w:rsidRPr="005408D0" w:rsidRDefault="002A2AE8" w:rsidP="002A2AE8">
            <w:pPr>
              <w:widowControl w:val="0"/>
              <w:autoSpaceDE w:val="0"/>
              <w:autoSpaceDN w:val="0"/>
              <w:adjustRightInd w:val="0"/>
              <w:rPr>
                <w:rFonts w:cstheme="minorHAnsi"/>
                <w:b/>
                <w:bCs/>
              </w:rPr>
            </w:pPr>
            <w:r w:rsidRPr="005408D0">
              <w:rPr>
                <w:rFonts w:cstheme="minorHAnsi"/>
                <w:b/>
                <w:bCs/>
              </w:rPr>
              <w:t>Instrument 1</w:t>
            </w:r>
          </w:p>
        </w:tc>
        <w:tc>
          <w:tcPr>
            <w:tcW w:w="12960" w:type="dxa"/>
            <w:gridSpan w:val="3"/>
            <w:shd w:val="clear" w:color="auto" w:fill="auto"/>
            <w:tcMar>
              <w:top w:w="100" w:type="nil"/>
              <w:right w:w="100" w:type="nil"/>
            </w:tcMar>
          </w:tcPr>
          <w:p w:rsidR="002A2AE8" w:rsidRPr="005408D0" w:rsidRDefault="002A2AE8" w:rsidP="002A2AE8">
            <w:pPr>
              <w:widowControl w:val="0"/>
              <w:autoSpaceDE w:val="0"/>
              <w:autoSpaceDN w:val="0"/>
              <w:adjustRightInd w:val="0"/>
              <w:rPr>
                <w:rFonts w:cstheme="minorHAnsi"/>
                <w:bCs/>
              </w:rPr>
            </w:pPr>
            <w:r w:rsidRPr="005408D0">
              <w:rPr>
                <w:rFonts w:cstheme="minorHAnsi"/>
                <w:bCs/>
              </w:rPr>
              <w:t>Direct: Integrative learning experience (ILE)/capstone paper</w:t>
            </w:r>
          </w:p>
          <w:p w:rsidR="002A2AE8" w:rsidRPr="005408D0" w:rsidRDefault="002A2AE8" w:rsidP="002A2AE8">
            <w:pPr>
              <w:widowControl w:val="0"/>
              <w:autoSpaceDE w:val="0"/>
              <w:autoSpaceDN w:val="0"/>
              <w:adjustRightInd w:val="0"/>
              <w:jc w:val="center"/>
              <w:rPr>
                <w:rFonts w:cstheme="minorHAnsi"/>
                <w:bCs/>
              </w:rPr>
            </w:pPr>
          </w:p>
        </w:tc>
      </w:tr>
      <w:tr w:rsidR="002A2AE8" w:rsidRPr="005408D0" w:rsidTr="002A2AE8">
        <w:trPr>
          <w:trHeight w:val="323"/>
        </w:trPr>
        <w:tc>
          <w:tcPr>
            <w:tcW w:w="1435" w:type="dxa"/>
            <w:shd w:val="clear" w:color="auto" w:fill="auto"/>
            <w:tcMar>
              <w:top w:w="100" w:type="nil"/>
              <w:right w:w="100" w:type="nil"/>
            </w:tcMar>
          </w:tcPr>
          <w:p w:rsidR="002A2AE8" w:rsidRPr="005408D0" w:rsidRDefault="002A2AE8" w:rsidP="002A2AE8">
            <w:pPr>
              <w:widowControl w:val="0"/>
              <w:autoSpaceDE w:val="0"/>
              <w:autoSpaceDN w:val="0"/>
              <w:adjustRightInd w:val="0"/>
              <w:rPr>
                <w:rFonts w:cstheme="minorHAnsi"/>
                <w:b/>
                <w:bCs/>
              </w:rPr>
            </w:pPr>
            <w:r w:rsidRPr="005408D0">
              <w:rPr>
                <w:rFonts w:cstheme="minorHAnsi"/>
                <w:b/>
                <w:bCs/>
              </w:rPr>
              <w:t>Instrument 2</w:t>
            </w:r>
          </w:p>
        </w:tc>
        <w:tc>
          <w:tcPr>
            <w:tcW w:w="12960" w:type="dxa"/>
            <w:gridSpan w:val="3"/>
            <w:shd w:val="clear" w:color="auto" w:fill="auto"/>
            <w:tcMar>
              <w:top w:w="100" w:type="nil"/>
              <w:right w:w="100" w:type="nil"/>
            </w:tcMar>
          </w:tcPr>
          <w:p w:rsidR="002A2AE8" w:rsidRPr="005408D0" w:rsidRDefault="002A2AE8" w:rsidP="002A2AE8">
            <w:pPr>
              <w:widowControl w:val="0"/>
              <w:autoSpaceDE w:val="0"/>
              <w:autoSpaceDN w:val="0"/>
              <w:adjustRightInd w:val="0"/>
              <w:rPr>
                <w:rFonts w:cstheme="minorHAnsi"/>
                <w:bCs/>
              </w:rPr>
            </w:pPr>
            <w:r w:rsidRPr="005408D0">
              <w:rPr>
                <w:rFonts w:cstheme="minorHAnsi"/>
                <w:bCs/>
              </w:rPr>
              <w:t>Direct: Evaluation Report  (PH 591)</w:t>
            </w:r>
          </w:p>
          <w:p w:rsidR="002A2AE8" w:rsidRPr="005408D0" w:rsidRDefault="002A2AE8" w:rsidP="002A2AE8">
            <w:pPr>
              <w:widowControl w:val="0"/>
              <w:autoSpaceDE w:val="0"/>
              <w:autoSpaceDN w:val="0"/>
              <w:adjustRightInd w:val="0"/>
              <w:rPr>
                <w:rFonts w:cstheme="minorHAnsi"/>
                <w:bCs/>
              </w:rPr>
            </w:pPr>
          </w:p>
        </w:tc>
      </w:tr>
      <w:tr w:rsidR="002A2AE8" w:rsidRPr="005408D0" w:rsidTr="002A2AE8">
        <w:trPr>
          <w:trHeight w:val="323"/>
        </w:trPr>
        <w:tc>
          <w:tcPr>
            <w:tcW w:w="1435" w:type="dxa"/>
            <w:shd w:val="clear" w:color="auto" w:fill="auto"/>
            <w:tcMar>
              <w:top w:w="100" w:type="nil"/>
              <w:right w:w="100" w:type="nil"/>
            </w:tcMar>
          </w:tcPr>
          <w:p w:rsidR="002A2AE8" w:rsidRPr="005408D0" w:rsidRDefault="002A2AE8" w:rsidP="002A2AE8">
            <w:pPr>
              <w:widowControl w:val="0"/>
              <w:autoSpaceDE w:val="0"/>
              <w:autoSpaceDN w:val="0"/>
              <w:adjustRightInd w:val="0"/>
              <w:rPr>
                <w:rFonts w:cstheme="minorHAnsi"/>
                <w:b/>
                <w:bCs/>
              </w:rPr>
            </w:pPr>
            <w:r w:rsidRPr="005408D0">
              <w:rPr>
                <w:rFonts w:cstheme="minorHAnsi"/>
                <w:b/>
                <w:bCs/>
              </w:rPr>
              <w:t>Instrument 3</w:t>
            </w:r>
          </w:p>
        </w:tc>
        <w:tc>
          <w:tcPr>
            <w:tcW w:w="12960" w:type="dxa"/>
            <w:gridSpan w:val="3"/>
            <w:shd w:val="clear" w:color="auto" w:fill="auto"/>
            <w:tcMar>
              <w:top w:w="100" w:type="nil"/>
              <w:right w:w="100" w:type="nil"/>
            </w:tcMar>
          </w:tcPr>
          <w:p w:rsidR="002A2AE8" w:rsidRPr="005408D0" w:rsidRDefault="002A2AE8" w:rsidP="002A2AE8">
            <w:pPr>
              <w:widowControl w:val="0"/>
              <w:autoSpaceDE w:val="0"/>
              <w:autoSpaceDN w:val="0"/>
              <w:adjustRightInd w:val="0"/>
              <w:rPr>
                <w:rFonts w:cstheme="minorHAnsi"/>
                <w:bCs/>
              </w:rPr>
            </w:pPr>
            <w:r w:rsidRPr="005408D0">
              <w:rPr>
                <w:rFonts w:cstheme="minorHAnsi"/>
                <w:bCs/>
              </w:rPr>
              <w:t>Indirect:  Student self-assessment of competency development (MPH Exit Survey)</w:t>
            </w:r>
          </w:p>
          <w:p w:rsidR="002A2AE8" w:rsidRPr="005408D0" w:rsidRDefault="002A2AE8" w:rsidP="002A2AE8">
            <w:pPr>
              <w:widowControl w:val="0"/>
              <w:autoSpaceDE w:val="0"/>
              <w:autoSpaceDN w:val="0"/>
              <w:adjustRightInd w:val="0"/>
              <w:rPr>
                <w:rFonts w:cstheme="minorHAnsi"/>
                <w:bCs/>
              </w:rPr>
            </w:pPr>
          </w:p>
        </w:tc>
      </w:tr>
      <w:tr w:rsidR="002A2AE8" w:rsidRPr="005408D0" w:rsidTr="002A2AE8">
        <w:tc>
          <w:tcPr>
            <w:tcW w:w="11875" w:type="dxa"/>
            <w:gridSpan w:val="2"/>
            <w:shd w:val="clear" w:color="auto" w:fill="auto"/>
            <w:tcMar>
              <w:top w:w="100" w:type="nil"/>
              <w:right w:w="100" w:type="nil"/>
            </w:tcMar>
          </w:tcPr>
          <w:p w:rsidR="002A2AE8" w:rsidRPr="005408D0" w:rsidRDefault="002A2AE8" w:rsidP="002A2AE8">
            <w:pPr>
              <w:widowControl w:val="0"/>
              <w:autoSpaceDE w:val="0"/>
              <w:autoSpaceDN w:val="0"/>
              <w:adjustRightInd w:val="0"/>
              <w:rPr>
                <w:rFonts w:cstheme="minorHAnsi"/>
                <w:b/>
                <w:bCs/>
              </w:rPr>
            </w:pPr>
            <w:r w:rsidRPr="005408D0">
              <w:rPr>
                <w:rFonts w:cstheme="minorHAnsi"/>
                <w:b/>
                <w:bCs/>
              </w:rPr>
              <w:t>Based on your results, circle or highlight whether the program met the goal Student Learning Outcome 1.</w:t>
            </w:r>
          </w:p>
          <w:p w:rsidR="002A2AE8" w:rsidRPr="005408D0" w:rsidRDefault="002A2AE8" w:rsidP="002A2AE8">
            <w:pPr>
              <w:widowControl w:val="0"/>
              <w:autoSpaceDE w:val="0"/>
              <w:autoSpaceDN w:val="0"/>
              <w:adjustRightInd w:val="0"/>
              <w:rPr>
                <w:rFonts w:cstheme="minorHAnsi"/>
                <w:b/>
              </w:rPr>
            </w:pPr>
            <w:r w:rsidRPr="005408D0">
              <w:rPr>
                <w:rFonts w:cstheme="minorHAnsi"/>
                <w:b/>
              </w:rPr>
              <w:t xml:space="preserve"> </w:t>
            </w:r>
          </w:p>
        </w:tc>
        <w:tc>
          <w:tcPr>
            <w:tcW w:w="1170" w:type="dxa"/>
            <w:shd w:val="clear" w:color="auto" w:fill="auto"/>
            <w:vAlign w:val="center"/>
          </w:tcPr>
          <w:p w:rsidR="002A2AE8" w:rsidRPr="005408D0" w:rsidRDefault="002A2AE8" w:rsidP="002A2AE8">
            <w:pPr>
              <w:widowControl w:val="0"/>
              <w:autoSpaceDE w:val="0"/>
              <w:autoSpaceDN w:val="0"/>
              <w:adjustRightInd w:val="0"/>
              <w:jc w:val="center"/>
              <w:rPr>
                <w:rFonts w:cstheme="minorHAnsi"/>
                <w:b/>
              </w:rPr>
            </w:pPr>
            <w:r w:rsidRPr="005408D0">
              <w:rPr>
                <w:rFonts w:cstheme="minorHAnsi"/>
                <w:b/>
                <w:highlight w:val="yellow"/>
              </w:rPr>
              <w:t>Met</w:t>
            </w:r>
          </w:p>
        </w:tc>
        <w:tc>
          <w:tcPr>
            <w:tcW w:w="1350" w:type="dxa"/>
            <w:shd w:val="clear" w:color="auto" w:fill="auto"/>
            <w:vAlign w:val="center"/>
          </w:tcPr>
          <w:p w:rsidR="002A2AE8" w:rsidRPr="005408D0" w:rsidRDefault="002A2AE8" w:rsidP="002A2AE8">
            <w:pPr>
              <w:widowControl w:val="0"/>
              <w:autoSpaceDE w:val="0"/>
              <w:autoSpaceDN w:val="0"/>
              <w:adjustRightInd w:val="0"/>
              <w:jc w:val="center"/>
              <w:rPr>
                <w:rFonts w:cstheme="minorHAnsi"/>
                <w:b/>
              </w:rPr>
            </w:pPr>
            <w:r w:rsidRPr="005408D0">
              <w:rPr>
                <w:rFonts w:cstheme="minorHAnsi"/>
                <w:b/>
              </w:rPr>
              <w:t>Not Met</w:t>
            </w:r>
          </w:p>
        </w:tc>
      </w:tr>
      <w:tr w:rsidR="002A2AE8" w:rsidRPr="005408D0" w:rsidTr="002A2AE8">
        <w:tc>
          <w:tcPr>
            <w:tcW w:w="14395" w:type="dxa"/>
            <w:gridSpan w:val="4"/>
            <w:shd w:val="clear" w:color="auto" w:fill="auto"/>
            <w:tcMar>
              <w:top w:w="100" w:type="nil"/>
              <w:right w:w="100" w:type="nil"/>
            </w:tcMar>
          </w:tcPr>
          <w:p w:rsidR="002A2AE8" w:rsidRPr="005408D0" w:rsidRDefault="002A2AE8" w:rsidP="002A2AE8">
            <w:pPr>
              <w:widowControl w:val="0"/>
              <w:autoSpaceDE w:val="0"/>
              <w:autoSpaceDN w:val="0"/>
              <w:adjustRightInd w:val="0"/>
              <w:rPr>
                <w:rFonts w:cstheme="minorHAnsi"/>
                <w:b/>
              </w:rPr>
            </w:pPr>
            <w:r w:rsidRPr="005408D0">
              <w:rPr>
                <w:rFonts w:cstheme="minorHAnsi"/>
                <w:b/>
                <w:bCs/>
              </w:rPr>
              <w:t>Student Learning Outcome 2:  Apply MPH competencies in collaboration with public health/related professionals.</w:t>
            </w:r>
          </w:p>
        </w:tc>
      </w:tr>
      <w:tr w:rsidR="002A2AE8" w:rsidRPr="005408D0" w:rsidTr="002A2AE8">
        <w:tc>
          <w:tcPr>
            <w:tcW w:w="1435" w:type="dxa"/>
            <w:shd w:val="clear" w:color="auto" w:fill="auto"/>
            <w:tcMar>
              <w:top w:w="100" w:type="nil"/>
              <w:right w:w="100" w:type="nil"/>
            </w:tcMar>
          </w:tcPr>
          <w:p w:rsidR="002A2AE8" w:rsidRPr="005408D0" w:rsidRDefault="002A2AE8" w:rsidP="002A2AE8">
            <w:pPr>
              <w:widowControl w:val="0"/>
              <w:autoSpaceDE w:val="0"/>
              <w:autoSpaceDN w:val="0"/>
              <w:adjustRightInd w:val="0"/>
              <w:jc w:val="center"/>
              <w:rPr>
                <w:rFonts w:cstheme="minorHAnsi"/>
                <w:b/>
              </w:rPr>
            </w:pPr>
            <w:r w:rsidRPr="005408D0">
              <w:rPr>
                <w:rFonts w:cstheme="minorHAnsi"/>
                <w:b/>
              </w:rPr>
              <w:t>Instrument 1</w:t>
            </w:r>
          </w:p>
          <w:p w:rsidR="002A2AE8" w:rsidRPr="005408D0" w:rsidRDefault="002A2AE8" w:rsidP="002A2AE8">
            <w:pPr>
              <w:widowControl w:val="0"/>
              <w:autoSpaceDE w:val="0"/>
              <w:autoSpaceDN w:val="0"/>
              <w:adjustRightInd w:val="0"/>
              <w:jc w:val="center"/>
              <w:rPr>
                <w:rFonts w:cstheme="minorHAnsi"/>
                <w:b/>
              </w:rPr>
            </w:pPr>
          </w:p>
        </w:tc>
        <w:tc>
          <w:tcPr>
            <w:tcW w:w="12960" w:type="dxa"/>
            <w:gridSpan w:val="3"/>
            <w:shd w:val="clear" w:color="auto" w:fill="auto"/>
          </w:tcPr>
          <w:p w:rsidR="002A2AE8" w:rsidRPr="005408D0" w:rsidRDefault="002A2AE8" w:rsidP="002A2AE8">
            <w:pPr>
              <w:widowControl w:val="0"/>
              <w:autoSpaceDE w:val="0"/>
              <w:autoSpaceDN w:val="0"/>
              <w:adjustRightInd w:val="0"/>
              <w:rPr>
                <w:rFonts w:cstheme="minorHAnsi"/>
              </w:rPr>
            </w:pPr>
            <w:r w:rsidRPr="005408D0">
              <w:rPr>
                <w:rFonts w:cstheme="minorHAnsi"/>
              </w:rPr>
              <w:t xml:space="preserve">Direct: Summary Report: Applied practice experience projects </w:t>
            </w:r>
          </w:p>
        </w:tc>
      </w:tr>
      <w:tr w:rsidR="002A2AE8" w:rsidRPr="005408D0" w:rsidTr="002A2AE8">
        <w:tc>
          <w:tcPr>
            <w:tcW w:w="1435" w:type="dxa"/>
            <w:shd w:val="clear" w:color="auto" w:fill="auto"/>
            <w:tcMar>
              <w:top w:w="100" w:type="nil"/>
              <w:right w:w="100" w:type="nil"/>
            </w:tcMar>
          </w:tcPr>
          <w:p w:rsidR="002A2AE8" w:rsidRPr="005408D0" w:rsidRDefault="002A2AE8" w:rsidP="002A2AE8">
            <w:pPr>
              <w:widowControl w:val="0"/>
              <w:autoSpaceDE w:val="0"/>
              <w:autoSpaceDN w:val="0"/>
              <w:adjustRightInd w:val="0"/>
              <w:jc w:val="center"/>
              <w:rPr>
                <w:rFonts w:cstheme="minorHAnsi"/>
                <w:b/>
              </w:rPr>
            </w:pPr>
            <w:r w:rsidRPr="005408D0">
              <w:rPr>
                <w:rFonts w:cstheme="minorHAnsi"/>
                <w:b/>
              </w:rPr>
              <w:t>Instrument 2</w:t>
            </w:r>
          </w:p>
          <w:p w:rsidR="002A2AE8" w:rsidRPr="005408D0" w:rsidRDefault="002A2AE8" w:rsidP="002A2AE8">
            <w:pPr>
              <w:widowControl w:val="0"/>
              <w:autoSpaceDE w:val="0"/>
              <w:autoSpaceDN w:val="0"/>
              <w:adjustRightInd w:val="0"/>
              <w:jc w:val="center"/>
              <w:rPr>
                <w:rFonts w:cstheme="minorHAnsi"/>
                <w:b/>
              </w:rPr>
            </w:pPr>
          </w:p>
        </w:tc>
        <w:tc>
          <w:tcPr>
            <w:tcW w:w="12960" w:type="dxa"/>
            <w:gridSpan w:val="3"/>
            <w:shd w:val="clear" w:color="auto" w:fill="auto"/>
          </w:tcPr>
          <w:p w:rsidR="002A2AE8" w:rsidRPr="005408D0" w:rsidRDefault="002A2AE8" w:rsidP="002A2AE8">
            <w:pPr>
              <w:widowControl w:val="0"/>
              <w:autoSpaceDE w:val="0"/>
              <w:autoSpaceDN w:val="0"/>
              <w:adjustRightInd w:val="0"/>
              <w:rPr>
                <w:rFonts w:cstheme="minorHAnsi"/>
              </w:rPr>
            </w:pPr>
            <w:r w:rsidRPr="005408D0">
              <w:rPr>
                <w:rFonts w:cstheme="minorHAnsi"/>
              </w:rPr>
              <w:t>Indirect: Self-report of service beyond curricular/program requirements (MPH Exit Survey)</w:t>
            </w:r>
          </w:p>
        </w:tc>
      </w:tr>
      <w:tr w:rsidR="002A2AE8" w:rsidRPr="005408D0" w:rsidTr="002A2AE8">
        <w:tc>
          <w:tcPr>
            <w:tcW w:w="1435" w:type="dxa"/>
            <w:shd w:val="clear" w:color="auto" w:fill="auto"/>
            <w:tcMar>
              <w:top w:w="100" w:type="nil"/>
              <w:right w:w="100" w:type="nil"/>
            </w:tcMar>
          </w:tcPr>
          <w:p w:rsidR="002A2AE8" w:rsidRPr="005408D0" w:rsidRDefault="002A2AE8" w:rsidP="002A2AE8">
            <w:pPr>
              <w:widowControl w:val="0"/>
              <w:autoSpaceDE w:val="0"/>
              <w:autoSpaceDN w:val="0"/>
              <w:adjustRightInd w:val="0"/>
              <w:jc w:val="center"/>
              <w:rPr>
                <w:rFonts w:cstheme="minorHAnsi"/>
                <w:b/>
              </w:rPr>
            </w:pPr>
            <w:r w:rsidRPr="005408D0">
              <w:rPr>
                <w:rFonts w:cstheme="minorHAnsi"/>
                <w:b/>
              </w:rPr>
              <w:t>Instrument 3</w:t>
            </w:r>
          </w:p>
          <w:p w:rsidR="002A2AE8" w:rsidRPr="005408D0" w:rsidRDefault="002A2AE8" w:rsidP="002A2AE8">
            <w:pPr>
              <w:widowControl w:val="0"/>
              <w:autoSpaceDE w:val="0"/>
              <w:autoSpaceDN w:val="0"/>
              <w:adjustRightInd w:val="0"/>
              <w:jc w:val="center"/>
              <w:rPr>
                <w:rFonts w:cstheme="minorHAnsi"/>
                <w:b/>
              </w:rPr>
            </w:pPr>
          </w:p>
        </w:tc>
        <w:tc>
          <w:tcPr>
            <w:tcW w:w="12960" w:type="dxa"/>
            <w:gridSpan w:val="3"/>
            <w:shd w:val="clear" w:color="auto" w:fill="auto"/>
          </w:tcPr>
          <w:p w:rsidR="002A2AE8" w:rsidRPr="005408D0" w:rsidRDefault="002A2AE8" w:rsidP="002A2AE8">
            <w:pPr>
              <w:widowControl w:val="0"/>
              <w:autoSpaceDE w:val="0"/>
              <w:autoSpaceDN w:val="0"/>
              <w:adjustRightInd w:val="0"/>
              <w:rPr>
                <w:rFonts w:cstheme="minorHAnsi"/>
              </w:rPr>
            </w:pPr>
            <w:r w:rsidRPr="005408D0">
              <w:rPr>
                <w:rFonts w:cstheme="minorHAnsi"/>
              </w:rPr>
              <w:t>Indirect: Student reflection of applied practice experiences</w:t>
            </w:r>
          </w:p>
        </w:tc>
      </w:tr>
      <w:tr w:rsidR="002A2AE8" w:rsidRPr="005408D0" w:rsidTr="002A2AE8">
        <w:tc>
          <w:tcPr>
            <w:tcW w:w="11875" w:type="dxa"/>
            <w:gridSpan w:val="2"/>
            <w:shd w:val="clear" w:color="auto" w:fill="auto"/>
            <w:tcMar>
              <w:top w:w="100" w:type="nil"/>
              <w:right w:w="100" w:type="nil"/>
            </w:tcMar>
          </w:tcPr>
          <w:p w:rsidR="002A2AE8" w:rsidRPr="005408D0" w:rsidRDefault="002A2AE8" w:rsidP="002A2AE8">
            <w:pPr>
              <w:widowControl w:val="0"/>
              <w:autoSpaceDE w:val="0"/>
              <w:autoSpaceDN w:val="0"/>
              <w:adjustRightInd w:val="0"/>
              <w:rPr>
                <w:rFonts w:cstheme="minorHAnsi"/>
                <w:b/>
                <w:bCs/>
              </w:rPr>
            </w:pPr>
            <w:r w:rsidRPr="005408D0">
              <w:rPr>
                <w:rFonts w:cstheme="minorHAnsi"/>
                <w:b/>
                <w:bCs/>
              </w:rPr>
              <w:t>Based on your results, circle or highlight whether the program met the goal Student Learning Outcome 2.</w:t>
            </w:r>
          </w:p>
          <w:p w:rsidR="002A2AE8" w:rsidRPr="005408D0" w:rsidRDefault="002A2AE8" w:rsidP="002A2AE8">
            <w:pPr>
              <w:widowControl w:val="0"/>
              <w:autoSpaceDE w:val="0"/>
              <w:autoSpaceDN w:val="0"/>
              <w:adjustRightInd w:val="0"/>
              <w:rPr>
                <w:rFonts w:cstheme="minorHAnsi"/>
                <w:bCs/>
              </w:rPr>
            </w:pPr>
            <w:r w:rsidRPr="005408D0">
              <w:rPr>
                <w:rFonts w:cstheme="minorHAnsi"/>
                <w:b/>
              </w:rPr>
              <w:t xml:space="preserve"> </w:t>
            </w:r>
          </w:p>
        </w:tc>
        <w:tc>
          <w:tcPr>
            <w:tcW w:w="1170" w:type="dxa"/>
            <w:shd w:val="clear" w:color="auto" w:fill="auto"/>
            <w:vAlign w:val="center"/>
          </w:tcPr>
          <w:p w:rsidR="002A2AE8" w:rsidRPr="005408D0" w:rsidRDefault="002A2AE8" w:rsidP="002A2AE8">
            <w:pPr>
              <w:widowControl w:val="0"/>
              <w:autoSpaceDE w:val="0"/>
              <w:autoSpaceDN w:val="0"/>
              <w:adjustRightInd w:val="0"/>
              <w:jc w:val="center"/>
              <w:rPr>
                <w:rFonts w:cstheme="minorHAnsi"/>
                <w:b/>
              </w:rPr>
            </w:pPr>
            <w:r w:rsidRPr="005408D0">
              <w:rPr>
                <w:rFonts w:cstheme="minorHAnsi"/>
                <w:b/>
                <w:highlight w:val="yellow"/>
              </w:rPr>
              <w:t>Met</w:t>
            </w:r>
          </w:p>
        </w:tc>
        <w:tc>
          <w:tcPr>
            <w:tcW w:w="1350" w:type="dxa"/>
            <w:shd w:val="clear" w:color="auto" w:fill="auto"/>
            <w:vAlign w:val="center"/>
          </w:tcPr>
          <w:p w:rsidR="002A2AE8" w:rsidRPr="005408D0" w:rsidRDefault="002A2AE8" w:rsidP="002A2AE8">
            <w:pPr>
              <w:widowControl w:val="0"/>
              <w:autoSpaceDE w:val="0"/>
              <w:autoSpaceDN w:val="0"/>
              <w:adjustRightInd w:val="0"/>
              <w:jc w:val="center"/>
              <w:rPr>
                <w:rFonts w:cstheme="minorHAnsi"/>
                <w:b/>
              </w:rPr>
            </w:pPr>
            <w:r w:rsidRPr="005408D0">
              <w:rPr>
                <w:rFonts w:cstheme="minorHAnsi"/>
                <w:b/>
              </w:rPr>
              <w:t>Not Met</w:t>
            </w:r>
          </w:p>
        </w:tc>
      </w:tr>
      <w:tr w:rsidR="002A2AE8" w:rsidRPr="005408D0" w:rsidTr="002A2AE8">
        <w:tc>
          <w:tcPr>
            <w:tcW w:w="14395" w:type="dxa"/>
            <w:gridSpan w:val="4"/>
            <w:shd w:val="clear" w:color="auto" w:fill="auto"/>
            <w:tcMar>
              <w:top w:w="100" w:type="nil"/>
              <w:right w:w="100" w:type="nil"/>
            </w:tcMar>
          </w:tcPr>
          <w:p w:rsidR="002A2AE8" w:rsidRPr="005408D0" w:rsidRDefault="002A2AE8" w:rsidP="002A2AE8">
            <w:pPr>
              <w:widowControl w:val="0"/>
              <w:autoSpaceDE w:val="0"/>
              <w:autoSpaceDN w:val="0"/>
              <w:adjustRightInd w:val="0"/>
              <w:rPr>
                <w:rFonts w:cstheme="minorHAnsi"/>
                <w:b/>
              </w:rPr>
            </w:pPr>
            <w:r w:rsidRPr="005408D0">
              <w:rPr>
                <w:rFonts w:cstheme="minorHAnsi"/>
                <w:b/>
                <w:bCs/>
              </w:rPr>
              <w:lastRenderedPageBreak/>
              <w:t>Student Learning Outcome 3:  Develop plan, program, or policy to address a public health problem.</w:t>
            </w:r>
          </w:p>
        </w:tc>
      </w:tr>
      <w:tr w:rsidR="002A2AE8" w:rsidRPr="005408D0" w:rsidTr="002A2AE8">
        <w:tc>
          <w:tcPr>
            <w:tcW w:w="1435" w:type="dxa"/>
            <w:shd w:val="clear" w:color="auto" w:fill="auto"/>
            <w:tcMar>
              <w:top w:w="100" w:type="nil"/>
              <w:right w:w="100" w:type="nil"/>
            </w:tcMar>
          </w:tcPr>
          <w:p w:rsidR="002A2AE8" w:rsidRPr="005408D0" w:rsidRDefault="002A2AE8" w:rsidP="002A2AE8">
            <w:pPr>
              <w:widowControl w:val="0"/>
              <w:autoSpaceDE w:val="0"/>
              <w:autoSpaceDN w:val="0"/>
              <w:adjustRightInd w:val="0"/>
              <w:jc w:val="center"/>
              <w:rPr>
                <w:rFonts w:cstheme="minorHAnsi"/>
                <w:b/>
              </w:rPr>
            </w:pPr>
            <w:r w:rsidRPr="005408D0">
              <w:rPr>
                <w:rFonts w:cstheme="minorHAnsi"/>
                <w:b/>
              </w:rPr>
              <w:t>Instrument 1</w:t>
            </w:r>
          </w:p>
          <w:p w:rsidR="002A2AE8" w:rsidRPr="005408D0" w:rsidRDefault="002A2AE8" w:rsidP="002A2AE8">
            <w:pPr>
              <w:widowControl w:val="0"/>
              <w:autoSpaceDE w:val="0"/>
              <w:autoSpaceDN w:val="0"/>
              <w:adjustRightInd w:val="0"/>
              <w:jc w:val="center"/>
              <w:rPr>
                <w:rFonts w:cstheme="minorHAnsi"/>
                <w:b/>
              </w:rPr>
            </w:pPr>
          </w:p>
        </w:tc>
        <w:tc>
          <w:tcPr>
            <w:tcW w:w="12960" w:type="dxa"/>
            <w:gridSpan w:val="3"/>
            <w:shd w:val="clear" w:color="auto" w:fill="auto"/>
          </w:tcPr>
          <w:p w:rsidR="002A2AE8" w:rsidRPr="005408D0" w:rsidRDefault="002A2AE8" w:rsidP="002A2AE8">
            <w:pPr>
              <w:widowControl w:val="0"/>
              <w:autoSpaceDE w:val="0"/>
              <w:autoSpaceDN w:val="0"/>
              <w:adjustRightInd w:val="0"/>
              <w:rPr>
                <w:rFonts w:cstheme="minorHAnsi"/>
              </w:rPr>
            </w:pPr>
            <w:r w:rsidRPr="005408D0">
              <w:rPr>
                <w:rFonts w:cstheme="minorHAnsi"/>
              </w:rPr>
              <w:t>Direct: Program plan (PH 575)</w:t>
            </w:r>
          </w:p>
        </w:tc>
      </w:tr>
      <w:tr w:rsidR="002A2AE8" w:rsidRPr="005408D0" w:rsidTr="002A2AE8">
        <w:tc>
          <w:tcPr>
            <w:tcW w:w="1435" w:type="dxa"/>
            <w:shd w:val="clear" w:color="auto" w:fill="auto"/>
            <w:tcMar>
              <w:top w:w="100" w:type="nil"/>
              <w:right w:w="100" w:type="nil"/>
            </w:tcMar>
          </w:tcPr>
          <w:p w:rsidR="002A2AE8" w:rsidRPr="005408D0" w:rsidRDefault="002A2AE8" w:rsidP="002A2AE8">
            <w:pPr>
              <w:widowControl w:val="0"/>
              <w:autoSpaceDE w:val="0"/>
              <w:autoSpaceDN w:val="0"/>
              <w:adjustRightInd w:val="0"/>
              <w:jc w:val="center"/>
              <w:rPr>
                <w:rFonts w:cstheme="minorHAnsi"/>
                <w:b/>
              </w:rPr>
            </w:pPr>
            <w:r w:rsidRPr="005408D0">
              <w:rPr>
                <w:rFonts w:cstheme="minorHAnsi"/>
                <w:b/>
              </w:rPr>
              <w:t>Instrument 2</w:t>
            </w:r>
          </w:p>
          <w:p w:rsidR="002A2AE8" w:rsidRPr="005408D0" w:rsidRDefault="002A2AE8" w:rsidP="002A2AE8">
            <w:pPr>
              <w:widowControl w:val="0"/>
              <w:autoSpaceDE w:val="0"/>
              <w:autoSpaceDN w:val="0"/>
              <w:adjustRightInd w:val="0"/>
              <w:jc w:val="center"/>
              <w:rPr>
                <w:rFonts w:cstheme="minorHAnsi"/>
                <w:b/>
              </w:rPr>
            </w:pPr>
          </w:p>
        </w:tc>
        <w:tc>
          <w:tcPr>
            <w:tcW w:w="12960" w:type="dxa"/>
            <w:gridSpan w:val="3"/>
            <w:shd w:val="clear" w:color="auto" w:fill="auto"/>
          </w:tcPr>
          <w:p w:rsidR="002A2AE8" w:rsidRPr="005408D0" w:rsidRDefault="002A2AE8" w:rsidP="002A2AE8">
            <w:pPr>
              <w:widowControl w:val="0"/>
              <w:autoSpaceDE w:val="0"/>
              <w:autoSpaceDN w:val="0"/>
              <w:adjustRightInd w:val="0"/>
              <w:rPr>
                <w:rFonts w:cstheme="minorHAnsi"/>
              </w:rPr>
            </w:pPr>
            <w:r w:rsidRPr="005408D0">
              <w:rPr>
                <w:rFonts w:cstheme="minorHAnsi"/>
              </w:rPr>
              <w:t>Direct:  Program proposal (PH 578)</w:t>
            </w:r>
          </w:p>
        </w:tc>
      </w:tr>
      <w:tr w:rsidR="002A2AE8" w:rsidRPr="005408D0" w:rsidTr="002A2AE8">
        <w:tc>
          <w:tcPr>
            <w:tcW w:w="1435" w:type="dxa"/>
            <w:shd w:val="clear" w:color="auto" w:fill="auto"/>
            <w:tcMar>
              <w:top w:w="100" w:type="nil"/>
              <w:right w:w="100" w:type="nil"/>
            </w:tcMar>
          </w:tcPr>
          <w:p w:rsidR="002A2AE8" w:rsidRPr="005408D0" w:rsidRDefault="002A2AE8" w:rsidP="002A2AE8">
            <w:pPr>
              <w:widowControl w:val="0"/>
              <w:autoSpaceDE w:val="0"/>
              <w:autoSpaceDN w:val="0"/>
              <w:adjustRightInd w:val="0"/>
              <w:jc w:val="center"/>
              <w:rPr>
                <w:rFonts w:cstheme="minorHAnsi"/>
                <w:b/>
              </w:rPr>
            </w:pPr>
            <w:r w:rsidRPr="005408D0">
              <w:rPr>
                <w:rFonts w:cstheme="minorHAnsi"/>
                <w:b/>
              </w:rPr>
              <w:t>Instrument 3</w:t>
            </w:r>
          </w:p>
        </w:tc>
        <w:tc>
          <w:tcPr>
            <w:tcW w:w="12960" w:type="dxa"/>
            <w:gridSpan w:val="3"/>
            <w:shd w:val="clear" w:color="auto" w:fill="auto"/>
          </w:tcPr>
          <w:p w:rsidR="002A2AE8" w:rsidRPr="005408D0" w:rsidRDefault="002A2AE8" w:rsidP="002A2AE8">
            <w:pPr>
              <w:widowControl w:val="0"/>
              <w:autoSpaceDE w:val="0"/>
              <w:autoSpaceDN w:val="0"/>
              <w:adjustRightInd w:val="0"/>
              <w:rPr>
                <w:rFonts w:cstheme="minorHAnsi"/>
              </w:rPr>
            </w:pPr>
            <w:r w:rsidRPr="005408D0">
              <w:rPr>
                <w:rFonts w:cstheme="minorHAnsi"/>
              </w:rPr>
              <w:t>Indirect: Student self-assessment of program preparation to design a population-based policy, program, project or intervention (MPH Exit Survey).</w:t>
            </w:r>
          </w:p>
        </w:tc>
      </w:tr>
      <w:tr w:rsidR="002A2AE8" w:rsidRPr="005408D0" w:rsidTr="002A2AE8">
        <w:tc>
          <w:tcPr>
            <w:tcW w:w="11875" w:type="dxa"/>
            <w:gridSpan w:val="2"/>
            <w:shd w:val="clear" w:color="auto" w:fill="auto"/>
            <w:tcMar>
              <w:top w:w="100" w:type="nil"/>
              <w:right w:w="100" w:type="nil"/>
            </w:tcMar>
          </w:tcPr>
          <w:p w:rsidR="002A2AE8" w:rsidRPr="005408D0" w:rsidRDefault="002A2AE8" w:rsidP="002A2AE8">
            <w:pPr>
              <w:widowControl w:val="0"/>
              <w:autoSpaceDE w:val="0"/>
              <w:autoSpaceDN w:val="0"/>
              <w:adjustRightInd w:val="0"/>
              <w:rPr>
                <w:rFonts w:cstheme="minorHAnsi"/>
                <w:b/>
                <w:bCs/>
              </w:rPr>
            </w:pPr>
            <w:r w:rsidRPr="005408D0">
              <w:rPr>
                <w:rFonts w:cstheme="minorHAnsi"/>
                <w:b/>
                <w:bCs/>
              </w:rPr>
              <w:t>Based on your results, circle or highlight whether the program met the goal Student Learning Outcome 3.</w:t>
            </w:r>
          </w:p>
          <w:p w:rsidR="002A2AE8" w:rsidRPr="005408D0" w:rsidRDefault="002A2AE8" w:rsidP="002A2AE8">
            <w:pPr>
              <w:widowControl w:val="0"/>
              <w:autoSpaceDE w:val="0"/>
              <w:autoSpaceDN w:val="0"/>
              <w:adjustRightInd w:val="0"/>
              <w:jc w:val="center"/>
              <w:rPr>
                <w:rFonts w:cstheme="minorHAnsi"/>
                <w:b/>
              </w:rPr>
            </w:pPr>
            <w:r w:rsidRPr="005408D0">
              <w:rPr>
                <w:rFonts w:cstheme="minorHAnsi"/>
                <w:b/>
              </w:rPr>
              <w:t xml:space="preserve"> </w:t>
            </w:r>
          </w:p>
        </w:tc>
        <w:tc>
          <w:tcPr>
            <w:tcW w:w="1170" w:type="dxa"/>
            <w:shd w:val="clear" w:color="auto" w:fill="auto"/>
            <w:vAlign w:val="center"/>
          </w:tcPr>
          <w:p w:rsidR="002A2AE8" w:rsidRPr="005408D0" w:rsidRDefault="002A2AE8" w:rsidP="002A2AE8">
            <w:pPr>
              <w:widowControl w:val="0"/>
              <w:autoSpaceDE w:val="0"/>
              <w:autoSpaceDN w:val="0"/>
              <w:adjustRightInd w:val="0"/>
              <w:jc w:val="center"/>
              <w:rPr>
                <w:rFonts w:cstheme="minorHAnsi"/>
                <w:b/>
              </w:rPr>
            </w:pPr>
            <w:r w:rsidRPr="005408D0">
              <w:rPr>
                <w:rFonts w:cstheme="minorHAnsi"/>
                <w:b/>
                <w:highlight w:val="yellow"/>
              </w:rPr>
              <w:t>Met</w:t>
            </w:r>
          </w:p>
        </w:tc>
        <w:tc>
          <w:tcPr>
            <w:tcW w:w="1350" w:type="dxa"/>
            <w:shd w:val="clear" w:color="auto" w:fill="auto"/>
            <w:vAlign w:val="center"/>
          </w:tcPr>
          <w:p w:rsidR="002A2AE8" w:rsidRPr="005408D0" w:rsidRDefault="002A2AE8" w:rsidP="002A2AE8">
            <w:pPr>
              <w:widowControl w:val="0"/>
              <w:autoSpaceDE w:val="0"/>
              <w:autoSpaceDN w:val="0"/>
              <w:adjustRightInd w:val="0"/>
              <w:jc w:val="center"/>
              <w:rPr>
                <w:rFonts w:cstheme="minorHAnsi"/>
                <w:b/>
              </w:rPr>
            </w:pPr>
            <w:r w:rsidRPr="005408D0">
              <w:rPr>
                <w:rFonts w:cstheme="minorHAnsi"/>
                <w:b/>
              </w:rPr>
              <w:t>Not Met</w:t>
            </w:r>
          </w:p>
        </w:tc>
      </w:tr>
      <w:tr w:rsidR="002A2AE8" w:rsidRPr="005408D0" w:rsidTr="002A2AE8">
        <w:tc>
          <w:tcPr>
            <w:tcW w:w="14395" w:type="dxa"/>
            <w:gridSpan w:val="4"/>
            <w:shd w:val="clear" w:color="auto" w:fill="auto"/>
            <w:tcMar>
              <w:top w:w="100" w:type="nil"/>
              <w:right w:w="100" w:type="nil"/>
            </w:tcMar>
          </w:tcPr>
          <w:p w:rsidR="002A2AE8" w:rsidRPr="005408D0" w:rsidRDefault="002A2AE8" w:rsidP="002A2AE8">
            <w:pPr>
              <w:widowControl w:val="0"/>
              <w:autoSpaceDE w:val="0"/>
              <w:autoSpaceDN w:val="0"/>
              <w:adjustRightInd w:val="0"/>
              <w:rPr>
                <w:rFonts w:cstheme="minorHAnsi"/>
                <w:b/>
              </w:rPr>
            </w:pPr>
            <w:r w:rsidRPr="005408D0">
              <w:rPr>
                <w:rFonts w:cstheme="minorHAnsi"/>
                <w:b/>
              </w:rPr>
              <w:t xml:space="preserve">Program Summary (Briefly summarize the action and follow up items from your detailed responses on subsequent pages.)  </w:t>
            </w:r>
          </w:p>
        </w:tc>
      </w:tr>
      <w:tr w:rsidR="002A2AE8" w:rsidRPr="005408D0" w:rsidTr="002A2AE8">
        <w:tc>
          <w:tcPr>
            <w:tcW w:w="14395" w:type="dxa"/>
            <w:gridSpan w:val="4"/>
            <w:shd w:val="clear" w:color="auto" w:fill="auto"/>
            <w:tcMar>
              <w:top w:w="100" w:type="nil"/>
              <w:right w:w="100" w:type="nil"/>
            </w:tcMar>
          </w:tcPr>
          <w:p w:rsidR="002A2AE8" w:rsidRPr="005408D0" w:rsidRDefault="002A2AE8" w:rsidP="002A2AE8">
            <w:pPr>
              <w:jc w:val="both"/>
              <w:rPr>
                <w:rFonts w:cstheme="minorHAnsi"/>
              </w:rPr>
            </w:pPr>
          </w:p>
          <w:p w:rsidR="002A2AE8" w:rsidRPr="005408D0" w:rsidRDefault="002A2AE8" w:rsidP="002A2AE8">
            <w:pPr>
              <w:jc w:val="both"/>
              <w:rPr>
                <w:rFonts w:cstheme="minorHAnsi"/>
                <w:bCs/>
              </w:rPr>
            </w:pPr>
            <w:r w:rsidRPr="005408D0">
              <w:rPr>
                <w:rFonts w:cstheme="minorHAnsi"/>
                <w:bCs/>
              </w:rPr>
              <w:t>While each learning outcome is met, we identified areas of student learning that need attention. Student performance on some of the component areas of the ILE were weak and faculty are exploring skills-building opportunities within existing courses, as well as providing students with more detailed guidance during the ILE. We also identified tools to assist students in aligning competencies during their applied practice experience, and are in the process of creating them. Last, some of the instruments used will be assessed to ensure they, and the methodology, are the most appropriate for assuring student learning. Last, we will be exploring alternatives to instructor-assessed assignments as direct measures.</w:t>
            </w:r>
          </w:p>
          <w:p w:rsidR="002A2AE8" w:rsidRPr="005408D0" w:rsidRDefault="002A2AE8" w:rsidP="002A2AE8">
            <w:pPr>
              <w:jc w:val="both"/>
              <w:rPr>
                <w:rFonts w:cstheme="minorHAnsi"/>
                <w:bCs/>
              </w:rPr>
            </w:pPr>
          </w:p>
          <w:p w:rsidR="002A2AE8" w:rsidRPr="005408D0" w:rsidRDefault="002A2AE8" w:rsidP="002A2AE8">
            <w:pPr>
              <w:jc w:val="both"/>
              <w:rPr>
                <w:rFonts w:cstheme="minorHAnsi"/>
                <w:bCs/>
              </w:rPr>
            </w:pPr>
          </w:p>
        </w:tc>
      </w:tr>
    </w:tbl>
    <w:p w:rsidR="002A2AE8" w:rsidRPr="005408D0" w:rsidRDefault="002A2AE8" w:rsidP="002A2AE8">
      <w:pPr>
        <w:rPr>
          <w:rFonts w:cstheme="minorHAnsi"/>
        </w:rPr>
      </w:pPr>
    </w:p>
    <w:p w:rsidR="002A2AE8" w:rsidRPr="005408D0" w:rsidRDefault="002A2AE8" w:rsidP="002A2AE8">
      <w:pPr>
        <w:rPr>
          <w:rFonts w:cstheme="minorHAnsi"/>
        </w:rPr>
      </w:pPr>
    </w:p>
    <w:p w:rsidR="002A2AE8" w:rsidRPr="005408D0" w:rsidRDefault="002A2AE8" w:rsidP="002A2AE8">
      <w:pPr>
        <w:rPr>
          <w:rFonts w:cstheme="minorHAnsi"/>
        </w:rPr>
      </w:pPr>
    </w:p>
    <w:p w:rsidR="002A2AE8" w:rsidRPr="005408D0" w:rsidRDefault="002A2AE8" w:rsidP="002A2AE8">
      <w:pPr>
        <w:rPr>
          <w:rFonts w:cstheme="minorHAnsi"/>
        </w:rPr>
      </w:pPr>
    </w:p>
    <w:tbl>
      <w:tblPr>
        <w:tblpPr w:leftFromText="187" w:rightFromText="187" w:vertAnchor="text" w:horzAnchor="margin" w:tblpY="1"/>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710"/>
        <w:gridCol w:w="3690"/>
        <w:gridCol w:w="90"/>
        <w:gridCol w:w="3510"/>
        <w:gridCol w:w="1350"/>
        <w:gridCol w:w="1530"/>
      </w:tblGrid>
      <w:tr w:rsidR="002A2AE8" w:rsidRPr="005408D0" w:rsidTr="002A2AE8">
        <w:trPr>
          <w:trHeight w:val="144"/>
        </w:trPr>
        <w:tc>
          <w:tcPr>
            <w:tcW w:w="14755" w:type="dxa"/>
            <w:gridSpan w:val="7"/>
            <w:shd w:val="pct10" w:color="auto" w:fill="auto"/>
            <w:tcMar>
              <w:top w:w="100" w:type="nil"/>
              <w:right w:w="100" w:type="nil"/>
            </w:tcMar>
          </w:tcPr>
          <w:p w:rsidR="002A2AE8" w:rsidRPr="005408D0" w:rsidRDefault="002A2AE8" w:rsidP="002A2AE8">
            <w:pPr>
              <w:widowControl w:val="0"/>
              <w:autoSpaceDE w:val="0"/>
              <w:autoSpaceDN w:val="0"/>
              <w:adjustRightInd w:val="0"/>
              <w:jc w:val="center"/>
              <w:rPr>
                <w:rFonts w:cstheme="minorHAnsi"/>
                <w:b/>
                <w:bCs/>
              </w:rPr>
            </w:pPr>
            <w:r w:rsidRPr="005408D0">
              <w:rPr>
                <w:rFonts w:cstheme="minorHAnsi"/>
                <w:b/>
                <w:bCs/>
              </w:rPr>
              <w:t>Student Learning Outcome 1</w:t>
            </w:r>
          </w:p>
        </w:tc>
      </w:tr>
      <w:tr w:rsidR="002A2AE8" w:rsidRPr="005408D0" w:rsidTr="002A2AE8">
        <w:trPr>
          <w:trHeight w:val="323"/>
        </w:trPr>
        <w:tc>
          <w:tcPr>
            <w:tcW w:w="2875" w:type="dxa"/>
            <w:tcBorders>
              <w:bottom w:val="single" w:sz="4" w:space="0" w:color="auto"/>
            </w:tcBorders>
            <w:shd w:val="clear" w:color="auto" w:fill="auto"/>
            <w:tcMar>
              <w:top w:w="100" w:type="nil"/>
              <w:right w:w="100" w:type="nil"/>
            </w:tcMar>
          </w:tcPr>
          <w:p w:rsidR="002A2AE8" w:rsidRPr="005408D0" w:rsidRDefault="002A2AE8" w:rsidP="002A2AE8">
            <w:pPr>
              <w:widowControl w:val="0"/>
              <w:autoSpaceDE w:val="0"/>
              <w:autoSpaceDN w:val="0"/>
              <w:adjustRightInd w:val="0"/>
              <w:rPr>
                <w:rFonts w:cstheme="minorHAnsi"/>
                <w:b/>
                <w:bCs/>
              </w:rPr>
            </w:pPr>
            <w:r w:rsidRPr="005408D0">
              <w:rPr>
                <w:rFonts w:cstheme="minorHAnsi"/>
                <w:b/>
                <w:bCs/>
              </w:rPr>
              <w:t xml:space="preserve">Student Learning Outcome </w:t>
            </w:r>
          </w:p>
        </w:tc>
        <w:tc>
          <w:tcPr>
            <w:tcW w:w="11880" w:type="dxa"/>
            <w:gridSpan w:val="6"/>
            <w:tcBorders>
              <w:bottom w:val="single" w:sz="4" w:space="0" w:color="auto"/>
            </w:tcBorders>
            <w:shd w:val="clear" w:color="auto" w:fill="auto"/>
            <w:tcMar>
              <w:top w:w="100" w:type="nil"/>
              <w:right w:w="100" w:type="nil"/>
            </w:tcMar>
          </w:tcPr>
          <w:p w:rsidR="002A2AE8" w:rsidRPr="005408D0" w:rsidRDefault="002A2AE8" w:rsidP="002A2AE8">
            <w:pPr>
              <w:widowControl w:val="0"/>
              <w:autoSpaceDE w:val="0"/>
              <w:autoSpaceDN w:val="0"/>
              <w:adjustRightInd w:val="0"/>
              <w:rPr>
                <w:rFonts w:cstheme="minorHAnsi"/>
                <w:bCs/>
                <w:color w:val="767171" w:themeColor="background2" w:themeShade="80"/>
              </w:rPr>
            </w:pPr>
            <w:r w:rsidRPr="005408D0">
              <w:rPr>
                <w:rFonts w:cstheme="minorHAnsi"/>
                <w:b/>
                <w:bCs/>
              </w:rPr>
              <w:t>Synthesize foundational MPH competencies.</w:t>
            </w:r>
          </w:p>
        </w:tc>
      </w:tr>
      <w:tr w:rsidR="002A2AE8" w:rsidRPr="005408D0" w:rsidTr="002A2AE8">
        <w:trPr>
          <w:trHeight w:val="539"/>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rsidR="002A2AE8" w:rsidRPr="005408D0" w:rsidRDefault="002A2AE8" w:rsidP="002A2AE8">
            <w:pPr>
              <w:widowControl w:val="0"/>
              <w:autoSpaceDE w:val="0"/>
              <w:autoSpaceDN w:val="0"/>
              <w:adjustRightInd w:val="0"/>
              <w:rPr>
                <w:rFonts w:cstheme="minorHAnsi"/>
                <w:bCs/>
              </w:rPr>
            </w:pPr>
            <w:r w:rsidRPr="005408D0">
              <w:rPr>
                <w:rFonts w:cstheme="minorHAnsi"/>
                <w:b/>
                <w:bCs/>
              </w:rPr>
              <w:lastRenderedPageBreak/>
              <w:t xml:space="preserve">Measurement Instrument 1 </w:t>
            </w:r>
          </w:p>
        </w:tc>
        <w:tc>
          <w:tcPr>
            <w:tcW w:w="11880" w:type="dxa"/>
            <w:gridSpan w:val="6"/>
            <w:tcBorders>
              <w:top w:val="single" w:sz="4" w:space="0" w:color="auto"/>
              <w:left w:val="single" w:sz="4" w:space="0" w:color="auto"/>
              <w:right w:val="single" w:sz="4" w:space="0" w:color="auto"/>
            </w:tcBorders>
            <w:shd w:val="pct12" w:color="auto" w:fill="auto"/>
            <w:tcMar>
              <w:top w:w="100" w:type="nil"/>
              <w:right w:w="100" w:type="nil"/>
            </w:tcMar>
          </w:tcPr>
          <w:p w:rsidR="002A2AE8" w:rsidRPr="005408D0" w:rsidRDefault="002A2AE8" w:rsidP="002A2AE8">
            <w:pPr>
              <w:rPr>
                <w:rFonts w:cstheme="minorHAnsi"/>
              </w:rPr>
            </w:pPr>
            <w:r w:rsidRPr="005408D0">
              <w:rPr>
                <w:rFonts w:cstheme="minorHAnsi"/>
                <w:u w:val="single"/>
              </w:rPr>
              <w:t>ILE paper</w:t>
            </w:r>
            <w:r w:rsidRPr="005408D0">
              <w:rPr>
                <w:rFonts w:cstheme="minorHAnsi"/>
              </w:rPr>
              <w:t>: Professionally written paper that synthesizes program competencies, and minimally includes a four parts: 1) thorough overview of the public health problem; 2) literature review, 3) critical analysis/results, and 4) public health recommendations.</w:t>
            </w:r>
          </w:p>
        </w:tc>
      </w:tr>
      <w:tr w:rsidR="002A2AE8" w:rsidRPr="005408D0" w:rsidTr="002A2AE8">
        <w:tc>
          <w:tcPr>
            <w:tcW w:w="2875" w:type="dxa"/>
            <w:tcBorders>
              <w:left w:val="single" w:sz="4" w:space="0" w:color="auto"/>
            </w:tcBorders>
            <w:shd w:val="pct12" w:color="auto" w:fill="auto"/>
            <w:tcMar>
              <w:top w:w="100" w:type="nil"/>
              <w:right w:w="100" w:type="nil"/>
            </w:tcMar>
          </w:tcPr>
          <w:p w:rsidR="002A2AE8" w:rsidRPr="005408D0" w:rsidRDefault="002A2AE8" w:rsidP="002A2AE8">
            <w:pPr>
              <w:widowControl w:val="0"/>
              <w:autoSpaceDE w:val="0"/>
              <w:autoSpaceDN w:val="0"/>
              <w:adjustRightInd w:val="0"/>
              <w:rPr>
                <w:rFonts w:cstheme="minorHAnsi"/>
                <w:b/>
              </w:rPr>
            </w:pPr>
            <w:r w:rsidRPr="005408D0">
              <w:rPr>
                <w:rFonts w:cstheme="minorHAnsi"/>
                <w:b/>
              </w:rPr>
              <w:t>Criteria for Student Success</w:t>
            </w:r>
          </w:p>
        </w:tc>
        <w:tc>
          <w:tcPr>
            <w:tcW w:w="11880" w:type="dxa"/>
            <w:gridSpan w:val="6"/>
            <w:tcBorders>
              <w:right w:val="single" w:sz="4" w:space="0" w:color="auto"/>
            </w:tcBorders>
            <w:shd w:val="pct12" w:color="auto" w:fill="auto"/>
            <w:tcMar>
              <w:top w:w="100" w:type="nil"/>
              <w:right w:w="100" w:type="nil"/>
            </w:tcMar>
          </w:tcPr>
          <w:p w:rsidR="002A2AE8" w:rsidRPr="005408D0" w:rsidRDefault="002A2AE8" w:rsidP="002A2AE8">
            <w:pPr>
              <w:widowControl w:val="0"/>
              <w:autoSpaceDE w:val="0"/>
              <w:autoSpaceDN w:val="0"/>
              <w:adjustRightInd w:val="0"/>
              <w:rPr>
                <w:rFonts w:cstheme="minorHAnsi"/>
              </w:rPr>
            </w:pPr>
            <w:r w:rsidRPr="005408D0">
              <w:rPr>
                <w:rFonts w:cstheme="minorHAnsi"/>
              </w:rPr>
              <w:t>Students earn a mean of 3 or higher (of 4) on their ILE overall, and on each part.</w:t>
            </w:r>
          </w:p>
        </w:tc>
      </w:tr>
      <w:tr w:rsidR="002A2AE8" w:rsidRPr="005408D0" w:rsidTr="002A2AE8">
        <w:tc>
          <w:tcPr>
            <w:tcW w:w="4585" w:type="dxa"/>
            <w:gridSpan w:val="2"/>
            <w:tcBorders>
              <w:left w:val="single" w:sz="4" w:space="0" w:color="auto"/>
              <w:bottom w:val="single" w:sz="4" w:space="0" w:color="auto"/>
            </w:tcBorders>
            <w:shd w:val="pct12" w:color="auto" w:fill="auto"/>
            <w:tcMar>
              <w:top w:w="100" w:type="nil"/>
              <w:right w:w="100" w:type="nil"/>
            </w:tcMar>
          </w:tcPr>
          <w:p w:rsidR="002A2AE8" w:rsidRPr="005408D0" w:rsidRDefault="002A2AE8" w:rsidP="002A2AE8">
            <w:pPr>
              <w:widowControl w:val="0"/>
              <w:autoSpaceDE w:val="0"/>
              <w:autoSpaceDN w:val="0"/>
              <w:adjustRightInd w:val="0"/>
              <w:rPr>
                <w:rFonts w:cstheme="minorHAnsi"/>
                <w:b/>
              </w:rPr>
            </w:pPr>
            <w:r w:rsidRPr="005408D0">
              <w:rPr>
                <w:rFonts w:cstheme="minorHAnsi"/>
                <w:b/>
              </w:rPr>
              <w:t>Program Success Target for this Measurement</w:t>
            </w:r>
          </w:p>
          <w:p w:rsidR="002A2AE8" w:rsidRPr="005408D0" w:rsidRDefault="002A2AE8" w:rsidP="002A2AE8">
            <w:pPr>
              <w:widowControl w:val="0"/>
              <w:autoSpaceDE w:val="0"/>
              <w:autoSpaceDN w:val="0"/>
              <w:adjustRightInd w:val="0"/>
              <w:rPr>
                <w:rFonts w:cstheme="minorHAnsi"/>
              </w:rPr>
            </w:pPr>
          </w:p>
          <w:p w:rsidR="002A2AE8" w:rsidRPr="005408D0" w:rsidRDefault="002A2AE8" w:rsidP="002A2AE8">
            <w:pPr>
              <w:widowControl w:val="0"/>
              <w:autoSpaceDE w:val="0"/>
              <w:autoSpaceDN w:val="0"/>
              <w:adjustRightInd w:val="0"/>
              <w:rPr>
                <w:rFonts w:cstheme="minorHAnsi"/>
              </w:rPr>
            </w:pPr>
          </w:p>
        </w:tc>
        <w:tc>
          <w:tcPr>
            <w:tcW w:w="3780" w:type="dxa"/>
            <w:gridSpan w:val="2"/>
            <w:tcBorders>
              <w:bottom w:val="single" w:sz="4" w:space="0" w:color="auto"/>
            </w:tcBorders>
            <w:shd w:val="pct12" w:color="auto" w:fill="auto"/>
          </w:tcPr>
          <w:p w:rsidR="002A2AE8" w:rsidRPr="005408D0" w:rsidRDefault="002A2AE8" w:rsidP="002A2AE8">
            <w:pPr>
              <w:widowControl w:val="0"/>
              <w:autoSpaceDE w:val="0"/>
              <w:autoSpaceDN w:val="0"/>
              <w:adjustRightInd w:val="0"/>
              <w:rPr>
                <w:rFonts w:cstheme="minorHAnsi"/>
              </w:rPr>
            </w:pPr>
            <w:r w:rsidRPr="005408D0">
              <w:rPr>
                <w:rFonts w:cstheme="minorHAnsi"/>
              </w:rPr>
              <w:t xml:space="preserve">80% </w:t>
            </w:r>
          </w:p>
        </w:tc>
        <w:tc>
          <w:tcPr>
            <w:tcW w:w="3510" w:type="dxa"/>
            <w:tcBorders>
              <w:bottom w:val="single" w:sz="4" w:space="0" w:color="auto"/>
            </w:tcBorders>
            <w:shd w:val="pct12" w:color="auto" w:fill="auto"/>
            <w:tcMar>
              <w:top w:w="100" w:type="nil"/>
              <w:right w:w="100" w:type="nil"/>
            </w:tcMar>
          </w:tcPr>
          <w:p w:rsidR="002A2AE8" w:rsidRPr="005408D0" w:rsidRDefault="002A2AE8" w:rsidP="002A2AE8">
            <w:pPr>
              <w:widowControl w:val="0"/>
              <w:autoSpaceDE w:val="0"/>
              <w:autoSpaceDN w:val="0"/>
              <w:adjustRightInd w:val="0"/>
              <w:jc w:val="right"/>
              <w:rPr>
                <w:rFonts w:cstheme="minorHAnsi"/>
                <w:b/>
              </w:rPr>
            </w:pPr>
            <w:r w:rsidRPr="005408D0">
              <w:rPr>
                <w:rFonts w:cstheme="minorHAnsi"/>
                <w:b/>
              </w:rPr>
              <w:t>Percent of Program Achieving Target</w:t>
            </w:r>
          </w:p>
        </w:tc>
        <w:tc>
          <w:tcPr>
            <w:tcW w:w="2880" w:type="dxa"/>
            <w:gridSpan w:val="2"/>
            <w:tcBorders>
              <w:bottom w:val="single" w:sz="4" w:space="0" w:color="auto"/>
              <w:right w:val="single" w:sz="4" w:space="0" w:color="auto"/>
            </w:tcBorders>
            <w:shd w:val="pct12" w:color="auto" w:fill="auto"/>
            <w:tcMar>
              <w:top w:w="100" w:type="nil"/>
              <w:right w:w="100" w:type="nil"/>
            </w:tcMar>
          </w:tcPr>
          <w:p w:rsidR="002A2AE8" w:rsidRPr="005408D0" w:rsidRDefault="002A2AE8" w:rsidP="002A2AE8">
            <w:pPr>
              <w:widowControl w:val="0"/>
              <w:autoSpaceDE w:val="0"/>
              <w:autoSpaceDN w:val="0"/>
              <w:adjustRightInd w:val="0"/>
              <w:rPr>
                <w:rFonts w:cstheme="minorHAnsi"/>
              </w:rPr>
            </w:pPr>
            <w:r w:rsidRPr="005408D0">
              <w:rPr>
                <w:rFonts w:cstheme="minorHAnsi"/>
              </w:rPr>
              <w:t>Overall: 85% (17 of 20)</w:t>
            </w:r>
          </w:p>
          <w:p w:rsidR="002A2AE8" w:rsidRPr="005408D0" w:rsidRDefault="002A2AE8" w:rsidP="002A2AE8">
            <w:pPr>
              <w:widowControl w:val="0"/>
              <w:autoSpaceDE w:val="0"/>
              <w:autoSpaceDN w:val="0"/>
              <w:adjustRightInd w:val="0"/>
              <w:rPr>
                <w:rFonts w:cstheme="minorHAnsi"/>
              </w:rPr>
            </w:pPr>
            <w:r w:rsidRPr="005408D0">
              <w:rPr>
                <w:rFonts w:cstheme="minorHAnsi"/>
              </w:rPr>
              <w:t>Part 1: 80% (16 of 20)</w:t>
            </w:r>
          </w:p>
          <w:p w:rsidR="002A2AE8" w:rsidRPr="005408D0" w:rsidRDefault="002A2AE8" w:rsidP="002A2AE8">
            <w:pPr>
              <w:widowControl w:val="0"/>
              <w:autoSpaceDE w:val="0"/>
              <w:autoSpaceDN w:val="0"/>
              <w:adjustRightInd w:val="0"/>
              <w:rPr>
                <w:rFonts w:cstheme="minorHAnsi"/>
              </w:rPr>
            </w:pPr>
            <w:r w:rsidRPr="005408D0">
              <w:rPr>
                <w:rFonts w:cstheme="minorHAnsi"/>
              </w:rPr>
              <w:t>Part 2: 75% (15 of 20)</w:t>
            </w:r>
          </w:p>
          <w:p w:rsidR="002A2AE8" w:rsidRPr="005408D0" w:rsidRDefault="002A2AE8" w:rsidP="002A2AE8">
            <w:pPr>
              <w:widowControl w:val="0"/>
              <w:autoSpaceDE w:val="0"/>
              <w:autoSpaceDN w:val="0"/>
              <w:adjustRightInd w:val="0"/>
              <w:rPr>
                <w:rFonts w:cstheme="minorHAnsi"/>
              </w:rPr>
            </w:pPr>
            <w:r w:rsidRPr="005408D0">
              <w:rPr>
                <w:rFonts w:cstheme="minorHAnsi"/>
              </w:rPr>
              <w:t>Part 3: 60% (12 of 20)</w:t>
            </w:r>
          </w:p>
          <w:p w:rsidR="002A2AE8" w:rsidRPr="005408D0" w:rsidRDefault="002A2AE8" w:rsidP="002A2AE8">
            <w:pPr>
              <w:widowControl w:val="0"/>
              <w:autoSpaceDE w:val="0"/>
              <w:autoSpaceDN w:val="0"/>
              <w:adjustRightInd w:val="0"/>
              <w:rPr>
                <w:rFonts w:cstheme="minorHAnsi"/>
              </w:rPr>
            </w:pPr>
            <w:r w:rsidRPr="005408D0">
              <w:rPr>
                <w:rFonts w:cstheme="minorHAnsi"/>
              </w:rPr>
              <w:t>Part 4: 50% (10 of 20)</w:t>
            </w:r>
          </w:p>
        </w:tc>
      </w:tr>
      <w:tr w:rsidR="002A2AE8" w:rsidRPr="005408D0" w:rsidTr="002A2AE8">
        <w:trPr>
          <w:trHeight w:val="314"/>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rsidR="002A2AE8" w:rsidRPr="005408D0" w:rsidRDefault="002A2AE8" w:rsidP="002A2AE8">
            <w:pPr>
              <w:widowControl w:val="0"/>
              <w:autoSpaceDE w:val="0"/>
              <w:autoSpaceDN w:val="0"/>
              <w:adjustRightInd w:val="0"/>
              <w:rPr>
                <w:rFonts w:cstheme="minorHAnsi"/>
                <w:b/>
                <w:bCs/>
              </w:rPr>
            </w:pPr>
            <w:r w:rsidRPr="005408D0">
              <w:rPr>
                <w:rFonts w:cstheme="minorHAnsi"/>
                <w:b/>
              </w:rPr>
              <w:t>Methods</w:t>
            </w:r>
            <w:r w:rsidRPr="005408D0">
              <w:rPr>
                <w:rFonts w:cstheme="minorHAnsi"/>
                <w:b/>
                <w:bCs/>
              </w:rPr>
              <w:t xml:space="preserve"> </w:t>
            </w:r>
          </w:p>
        </w:tc>
        <w:tc>
          <w:tcPr>
            <w:tcW w:w="11880" w:type="dxa"/>
            <w:gridSpan w:val="6"/>
            <w:tcBorders>
              <w:left w:val="single" w:sz="4" w:space="0" w:color="auto"/>
              <w:bottom w:val="single" w:sz="4" w:space="0" w:color="auto"/>
              <w:right w:val="single" w:sz="4" w:space="0" w:color="auto"/>
            </w:tcBorders>
            <w:shd w:val="pct12" w:color="auto" w:fill="auto"/>
            <w:tcMar>
              <w:top w:w="100" w:type="nil"/>
              <w:right w:w="100" w:type="nil"/>
            </w:tcMar>
          </w:tcPr>
          <w:p w:rsidR="002A2AE8" w:rsidRPr="005408D0" w:rsidRDefault="002A2AE8" w:rsidP="002A2AE8">
            <w:pPr>
              <w:widowControl w:val="0"/>
              <w:autoSpaceDE w:val="0"/>
              <w:autoSpaceDN w:val="0"/>
              <w:adjustRightInd w:val="0"/>
              <w:rPr>
                <w:rFonts w:cstheme="minorHAnsi"/>
              </w:rPr>
            </w:pPr>
            <w:r w:rsidRPr="005408D0">
              <w:rPr>
                <w:rFonts w:cstheme="minorHAnsi"/>
                <w:bCs/>
              </w:rPr>
              <w:t xml:space="preserve">ILE papers are reviewed by a minimum of two reviewers and rated on each of the four parts noted above. Ratings are averaged. </w:t>
            </w:r>
          </w:p>
        </w:tc>
      </w:tr>
      <w:tr w:rsidR="002A2AE8" w:rsidRPr="005408D0" w:rsidTr="002A2AE8">
        <w:tc>
          <w:tcPr>
            <w:tcW w:w="2875" w:type="dxa"/>
            <w:tcBorders>
              <w:top w:val="single" w:sz="4" w:space="0" w:color="auto"/>
              <w:left w:val="single" w:sz="4" w:space="0" w:color="auto"/>
              <w:right w:val="single" w:sz="4" w:space="0" w:color="auto"/>
            </w:tcBorders>
            <w:shd w:val="clear" w:color="auto" w:fill="auto"/>
            <w:tcMar>
              <w:top w:w="100" w:type="nil"/>
              <w:right w:w="100" w:type="nil"/>
            </w:tcMar>
          </w:tcPr>
          <w:p w:rsidR="002A2AE8" w:rsidRPr="005408D0" w:rsidRDefault="002A2AE8" w:rsidP="002A2AE8">
            <w:pPr>
              <w:widowControl w:val="0"/>
              <w:autoSpaceDE w:val="0"/>
              <w:autoSpaceDN w:val="0"/>
              <w:adjustRightInd w:val="0"/>
              <w:rPr>
                <w:rFonts w:cstheme="minorHAnsi"/>
                <w:b/>
                <w:bCs/>
              </w:rPr>
            </w:pPr>
            <w:r w:rsidRPr="005408D0">
              <w:rPr>
                <w:rFonts w:cstheme="minorHAnsi"/>
                <w:b/>
                <w:bCs/>
              </w:rPr>
              <w:t>Measurement Instrument 2</w:t>
            </w:r>
          </w:p>
          <w:p w:rsidR="002A2AE8" w:rsidRPr="005408D0" w:rsidRDefault="002A2AE8" w:rsidP="002A2AE8">
            <w:pPr>
              <w:widowControl w:val="0"/>
              <w:autoSpaceDE w:val="0"/>
              <w:autoSpaceDN w:val="0"/>
              <w:adjustRightInd w:val="0"/>
              <w:rPr>
                <w:rFonts w:cstheme="minorHAnsi"/>
                <w:b/>
              </w:rPr>
            </w:pPr>
          </w:p>
        </w:tc>
        <w:tc>
          <w:tcPr>
            <w:tcW w:w="11880" w:type="dxa"/>
            <w:gridSpan w:val="6"/>
            <w:tcBorders>
              <w:top w:val="single" w:sz="4" w:space="0" w:color="auto"/>
              <w:left w:val="single" w:sz="4" w:space="0" w:color="auto"/>
              <w:right w:val="single" w:sz="4" w:space="0" w:color="auto"/>
            </w:tcBorders>
            <w:shd w:val="clear" w:color="auto" w:fill="auto"/>
          </w:tcPr>
          <w:p w:rsidR="002A2AE8" w:rsidRPr="005408D0" w:rsidRDefault="002A2AE8" w:rsidP="002A2AE8">
            <w:pPr>
              <w:widowControl w:val="0"/>
              <w:autoSpaceDE w:val="0"/>
              <w:autoSpaceDN w:val="0"/>
              <w:adjustRightInd w:val="0"/>
              <w:rPr>
                <w:rFonts w:cstheme="minorHAnsi"/>
              </w:rPr>
            </w:pPr>
            <w:r w:rsidRPr="005408D0">
              <w:rPr>
                <w:rFonts w:cstheme="minorHAnsi"/>
                <w:u w:val="single"/>
              </w:rPr>
              <w:t>Evaluation Report</w:t>
            </w:r>
            <w:r w:rsidRPr="005408D0">
              <w:rPr>
                <w:rFonts w:cstheme="minorHAnsi"/>
              </w:rPr>
              <w:t xml:space="preserve">: Process and impact evaluation of semester-long case that synthesizes and applies multiple program competencies. </w:t>
            </w:r>
          </w:p>
        </w:tc>
      </w:tr>
      <w:tr w:rsidR="002A2AE8" w:rsidRPr="005408D0" w:rsidTr="002A2AE8">
        <w:tc>
          <w:tcPr>
            <w:tcW w:w="2875" w:type="dxa"/>
            <w:tcBorders>
              <w:left w:val="single" w:sz="4" w:space="0" w:color="auto"/>
            </w:tcBorders>
            <w:shd w:val="clear" w:color="auto" w:fill="auto"/>
            <w:tcMar>
              <w:top w:w="100" w:type="nil"/>
              <w:right w:w="100" w:type="nil"/>
            </w:tcMar>
          </w:tcPr>
          <w:p w:rsidR="002A2AE8" w:rsidRPr="005408D0" w:rsidRDefault="002A2AE8" w:rsidP="002A2AE8">
            <w:pPr>
              <w:widowControl w:val="0"/>
              <w:autoSpaceDE w:val="0"/>
              <w:autoSpaceDN w:val="0"/>
              <w:adjustRightInd w:val="0"/>
              <w:rPr>
                <w:rFonts w:cstheme="minorHAnsi"/>
                <w:b/>
                <w:bCs/>
              </w:rPr>
            </w:pPr>
            <w:r w:rsidRPr="005408D0">
              <w:rPr>
                <w:rFonts w:cstheme="minorHAnsi"/>
                <w:b/>
                <w:bCs/>
              </w:rPr>
              <w:t>Criteria for Student Success</w:t>
            </w:r>
          </w:p>
          <w:p w:rsidR="002A2AE8" w:rsidRPr="005408D0" w:rsidRDefault="002A2AE8" w:rsidP="002A2AE8">
            <w:pPr>
              <w:widowControl w:val="0"/>
              <w:autoSpaceDE w:val="0"/>
              <w:autoSpaceDN w:val="0"/>
              <w:adjustRightInd w:val="0"/>
              <w:rPr>
                <w:rFonts w:cstheme="minorHAnsi"/>
                <w:b/>
                <w:bCs/>
              </w:rPr>
            </w:pPr>
          </w:p>
        </w:tc>
        <w:tc>
          <w:tcPr>
            <w:tcW w:w="11880" w:type="dxa"/>
            <w:gridSpan w:val="6"/>
            <w:tcBorders>
              <w:right w:val="single" w:sz="4" w:space="0" w:color="auto"/>
            </w:tcBorders>
            <w:shd w:val="clear" w:color="auto" w:fill="auto"/>
          </w:tcPr>
          <w:p w:rsidR="002A2AE8" w:rsidRPr="005408D0" w:rsidRDefault="002A2AE8" w:rsidP="002A2AE8">
            <w:pPr>
              <w:widowControl w:val="0"/>
              <w:autoSpaceDE w:val="0"/>
              <w:autoSpaceDN w:val="0"/>
              <w:adjustRightInd w:val="0"/>
              <w:rPr>
                <w:rFonts w:cstheme="minorHAnsi"/>
              </w:rPr>
            </w:pPr>
            <w:r w:rsidRPr="005408D0">
              <w:rPr>
                <w:rFonts w:cstheme="minorHAnsi"/>
              </w:rPr>
              <w:t>Students earn an 80% or higher on evaluation report.</w:t>
            </w:r>
          </w:p>
        </w:tc>
      </w:tr>
      <w:tr w:rsidR="002A2AE8" w:rsidRPr="005408D0" w:rsidTr="002A2AE8">
        <w:tc>
          <w:tcPr>
            <w:tcW w:w="4585" w:type="dxa"/>
            <w:gridSpan w:val="2"/>
            <w:tcBorders>
              <w:left w:val="single" w:sz="4" w:space="0" w:color="auto"/>
            </w:tcBorders>
            <w:shd w:val="clear" w:color="auto" w:fill="auto"/>
            <w:tcMar>
              <w:top w:w="100" w:type="nil"/>
              <w:right w:w="100" w:type="nil"/>
            </w:tcMar>
          </w:tcPr>
          <w:p w:rsidR="002A2AE8" w:rsidRPr="005408D0" w:rsidRDefault="002A2AE8" w:rsidP="002A2AE8">
            <w:pPr>
              <w:widowControl w:val="0"/>
              <w:autoSpaceDE w:val="0"/>
              <w:autoSpaceDN w:val="0"/>
              <w:adjustRightInd w:val="0"/>
              <w:rPr>
                <w:rFonts w:cstheme="minorHAnsi"/>
                <w:b/>
              </w:rPr>
            </w:pPr>
            <w:r w:rsidRPr="005408D0">
              <w:rPr>
                <w:rFonts w:cstheme="minorHAnsi"/>
                <w:b/>
              </w:rPr>
              <w:t>Program Success Target for this Measurement</w:t>
            </w:r>
          </w:p>
          <w:p w:rsidR="002A2AE8" w:rsidRPr="005408D0" w:rsidRDefault="002A2AE8" w:rsidP="002A2AE8">
            <w:pPr>
              <w:widowControl w:val="0"/>
              <w:autoSpaceDE w:val="0"/>
              <w:autoSpaceDN w:val="0"/>
              <w:adjustRightInd w:val="0"/>
              <w:jc w:val="center"/>
              <w:rPr>
                <w:rFonts w:cstheme="minorHAnsi"/>
                <w:b/>
              </w:rPr>
            </w:pPr>
          </w:p>
        </w:tc>
        <w:tc>
          <w:tcPr>
            <w:tcW w:w="3690" w:type="dxa"/>
            <w:shd w:val="clear" w:color="auto" w:fill="auto"/>
          </w:tcPr>
          <w:p w:rsidR="002A2AE8" w:rsidRPr="005408D0" w:rsidRDefault="002A2AE8" w:rsidP="002A2AE8">
            <w:pPr>
              <w:widowControl w:val="0"/>
              <w:autoSpaceDE w:val="0"/>
              <w:autoSpaceDN w:val="0"/>
              <w:adjustRightInd w:val="0"/>
              <w:rPr>
                <w:rFonts w:cstheme="minorHAnsi"/>
              </w:rPr>
            </w:pPr>
            <w:r w:rsidRPr="005408D0">
              <w:rPr>
                <w:rFonts w:cstheme="minorHAnsi"/>
              </w:rPr>
              <w:t>80%</w:t>
            </w:r>
          </w:p>
        </w:tc>
        <w:tc>
          <w:tcPr>
            <w:tcW w:w="3600" w:type="dxa"/>
            <w:gridSpan w:val="2"/>
            <w:shd w:val="clear" w:color="auto" w:fill="auto"/>
          </w:tcPr>
          <w:p w:rsidR="002A2AE8" w:rsidRPr="005408D0" w:rsidRDefault="002A2AE8" w:rsidP="002A2AE8">
            <w:pPr>
              <w:widowControl w:val="0"/>
              <w:autoSpaceDE w:val="0"/>
              <w:autoSpaceDN w:val="0"/>
              <w:adjustRightInd w:val="0"/>
              <w:jc w:val="right"/>
              <w:rPr>
                <w:rFonts w:cstheme="minorHAnsi"/>
                <w:b/>
              </w:rPr>
            </w:pPr>
            <w:r w:rsidRPr="005408D0">
              <w:rPr>
                <w:rFonts w:cstheme="minorHAnsi"/>
                <w:b/>
              </w:rPr>
              <w:t>Percent of Program Achieving Target</w:t>
            </w:r>
          </w:p>
        </w:tc>
        <w:tc>
          <w:tcPr>
            <w:tcW w:w="2880" w:type="dxa"/>
            <w:gridSpan w:val="2"/>
            <w:tcBorders>
              <w:right w:val="single" w:sz="4" w:space="0" w:color="auto"/>
            </w:tcBorders>
            <w:shd w:val="clear" w:color="auto" w:fill="auto"/>
          </w:tcPr>
          <w:p w:rsidR="002A2AE8" w:rsidRPr="005408D0" w:rsidRDefault="002A2AE8" w:rsidP="002A2AE8">
            <w:pPr>
              <w:widowControl w:val="0"/>
              <w:autoSpaceDE w:val="0"/>
              <w:autoSpaceDN w:val="0"/>
              <w:adjustRightInd w:val="0"/>
              <w:jc w:val="center"/>
              <w:rPr>
                <w:rFonts w:cstheme="minorHAnsi"/>
              </w:rPr>
            </w:pPr>
            <w:r w:rsidRPr="005408D0">
              <w:rPr>
                <w:rFonts w:cstheme="minorHAnsi"/>
              </w:rPr>
              <w:t>82%</w:t>
            </w:r>
          </w:p>
        </w:tc>
      </w:tr>
      <w:tr w:rsidR="002A2AE8" w:rsidRPr="005408D0" w:rsidTr="002A2AE8">
        <w:trPr>
          <w:trHeight w:val="539"/>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rsidR="002A2AE8" w:rsidRPr="005408D0" w:rsidRDefault="002A2AE8" w:rsidP="002A2AE8">
            <w:pPr>
              <w:widowControl w:val="0"/>
              <w:autoSpaceDE w:val="0"/>
              <w:autoSpaceDN w:val="0"/>
              <w:adjustRightInd w:val="0"/>
              <w:rPr>
                <w:rFonts w:cstheme="minorHAnsi"/>
                <w:b/>
              </w:rPr>
            </w:pPr>
            <w:r w:rsidRPr="005408D0">
              <w:rPr>
                <w:rFonts w:cstheme="minorHAnsi"/>
                <w:b/>
              </w:rPr>
              <w:t>Methods</w:t>
            </w:r>
          </w:p>
          <w:p w:rsidR="002A2AE8" w:rsidRPr="005408D0" w:rsidRDefault="002A2AE8" w:rsidP="002A2AE8">
            <w:pPr>
              <w:widowControl w:val="0"/>
              <w:autoSpaceDE w:val="0"/>
              <w:autoSpaceDN w:val="0"/>
              <w:adjustRightInd w:val="0"/>
              <w:rPr>
                <w:rFonts w:cstheme="minorHAnsi"/>
                <w:b/>
              </w:rPr>
            </w:pPr>
          </w:p>
          <w:p w:rsidR="002A2AE8" w:rsidRPr="005408D0" w:rsidRDefault="002A2AE8" w:rsidP="002A2AE8">
            <w:pPr>
              <w:widowControl w:val="0"/>
              <w:autoSpaceDE w:val="0"/>
              <w:autoSpaceDN w:val="0"/>
              <w:adjustRightInd w:val="0"/>
              <w:rPr>
                <w:rFonts w:cstheme="minorHAnsi"/>
                <w:b/>
              </w:rPr>
            </w:pPr>
          </w:p>
          <w:p w:rsidR="002A2AE8" w:rsidRPr="005408D0" w:rsidRDefault="002A2AE8" w:rsidP="002A2AE8">
            <w:pPr>
              <w:widowControl w:val="0"/>
              <w:autoSpaceDE w:val="0"/>
              <w:autoSpaceDN w:val="0"/>
              <w:adjustRightInd w:val="0"/>
              <w:rPr>
                <w:rFonts w:cstheme="minorHAnsi"/>
                <w:b/>
              </w:rPr>
            </w:pPr>
          </w:p>
        </w:tc>
        <w:tc>
          <w:tcPr>
            <w:tcW w:w="11880" w:type="dxa"/>
            <w:gridSpan w:val="6"/>
            <w:tcBorders>
              <w:left w:val="single" w:sz="4" w:space="0" w:color="auto"/>
              <w:bottom w:val="single" w:sz="4" w:space="0" w:color="auto"/>
              <w:right w:val="single" w:sz="4" w:space="0" w:color="auto"/>
            </w:tcBorders>
            <w:shd w:val="clear" w:color="auto" w:fill="auto"/>
          </w:tcPr>
          <w:p w:rsidR="002A2AE8" w:rsidRPr="005408D0" w:rsidRDefault="002A2AE8" w:rsidP="002A2AE8">
            <w:pPr>
              <w:widowControl w:val="0"/>
              <w:autoSpaceDE w:val="0"/>
              <w:autoSpaceDN w:val="0"/>
              <w:adjustRightInd w:val="0"/>
              <w:rPr>
                <w:rFonts w:cstheme="minorHAnsi"/>
              </w:rPr>
            </w:pPr>
            <w:r w:rsidRPr="005408D0">
              <w:rPr>
                <w:rFonts w:cstheme="minorHAnsi"/>
              </w:rPr>
              <w:t xml:space="preserve"> Evaluation reports are graded by the course instructor. Individual grades are reported on a census of students completing PH 591 during academic year.</w:t>
            </w:r>
          </w:p>
        </w:tc>
      </w:tr>
      <w:tr w:rsidR="002A2AE8" w:rsidRPr="005408D0" w:rsidTr="002A2AE8">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rsidR="002A2AE8" w:rsidRPr="005408D0" w:rsidRDefault="002A2AE8" w:rsidP="002A2AE8">
            <w:pPr>
              <w:widowControl w:val="0"/>
              <w:autoSpaceDE w:val="0"/>
              <w:autoSpaceDN w:val="0"/>
              <w:adjustRightInd w:val="0"/>
              <w:rPr>
                <w:rFonts w:cstheme="minorHAnsi"/>
                <w:b/>
              </w:rPr>
            </w:pPr>
            <w:r w:rsidRPr="005408D0">
              <w:rPr>
                <w:rFonts w:cstheme="minorHAnsi"/>
                <w:b/>
              </w:rPr>
              <w:t>Measurement Instrument 3</w:t>
            </w:r>
          </w:p>
          <w:p w:rsidR="002A2AE8" w:rsidRPr="005408D0" w:rsidRDefault="002A2AE8" w:rsidP="002A2AE8">
            <w:pPr>
              <w:widowControl w:val="0"/>
              <w:autoSpaceDE w:val="0"/>
              <w:autoSpaceDN w:val="0"/>
              <w:adjustRightInd w:val="0"/>
              <w:rPr>
                <w:rFonts w:cstheme="minorHAnsi"/>
                <w:b/>
              </w:rPr>
            </w:pPr>
          </w:p>
        </w:tc>
        <w:tc>
          <w:tcPr>
            <w:tcW w:w="11880" w:type="dxa"/>
            <w:gridSpan w:val="6"/>
            <w:tcBorders>
              <w:left w:val="single" w:sz="4" w:space="0" w:color="auto"/>
              <w:bottom w:val="single" w:sz="4" w:space="0" w:color="auto"/>
              <w:right w:val="single" w:sz="4" w:space="0" w:color="auto"/>
            </w:tcBorders>
            <w:shd w:val="pct12" w:color="auto" w:fill="auto"/>
          </w:tcPr>
          <w:p w:rsidR="002A2AE8" w:rsidRPr="005408D0" w:rsidRDefault="002A2AE8" w:rsidP="002A2AE8">
            <w:pPr>
              <w:widowControl w:val="0"/>
              <w:autoSpaceDE w:val="0"/>
              <w:autoSpaceDN w:val="0"/>
              <w:adjustRightInd w:val="0"/>
              <w:rPr>
                <w:rFonts w:cstheme="minorHAnsi"/>
              </w:rPr>
            </w:pPr>
            <w:r w:rsidRPr="005408D0">
              <w:rPr>
                <w:rFonts w:cstheme="minorHAnsi"/>
                <w:bCs/>
                <w:u w:val="single"/>
              </w:rPr>
              <w:t>MPH Exit Survey:</w:t>
            </w:r>
            <w:r w:rsidRPr="005408D0">
              <w:rPr>
                <w:rFonts w:cstheme="minorHAnsi"/>
                <w:bCs/>
              </w:rPr>
              <w:t xml:space="preserve">  Item: Student self-assessment of competency development</w:t>
            </w:r>
            <w:r w:rsidRPr="005408D0">
              <w:rPr>
                <w:rFonts w:cstheme="minorHAnsi"/>
                <w:bCs/>
                <w:u w:val="single"/>
              </w:rPr>
              <w:t xml:space="preserve">  </w:t>
            </w:r>
            <w:r w:rsidRPr="005408D0">
              <w:rPr>
                <w:rFonts w:cstheme="minorHAnsi"/>
                <w:bCs/>
              </w:rPr>
              <w:t>This is a global measure of student perceptions on how well the program, en toto, developed the required foundational and program competencies.</w:t>
            </w:r>
          </w:p>
        </w:tc>
      </w:tr>
      <w:tr w:rsidR="002A2AE8" w:rsidRPr="005408D0" w:rsidTr="002A2AE8">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rsidR="002A2AE8" w:rsidRPr="005408D0" w:rsidRDefault="002A2AE8" w:rsidP="002A2AE8">
            <w:pPr>
              <w:widowControl w:val="0"/>
              <w:autoSpaceDE w:val="0"/>
              <w:autoSpaceDN w:val="0"/>
              <w:adjustRightInd w:val="0"/>
              <w:rPr>
                <w:rFonts w:cstheme="minorHAnsi"/>
                <w:b/>
              </w:rPr>
            </w:pPr>
            <w:r w:rsidRPr="005408D0">
              <w:rPr>
                <w:rFonts w:cstheme="minorHAnsi"/>
                <w:b/>
              </w:rPr>
              <w:t>Criteria for Student Success</w:t>
            </w:r>
          </w:p>
          <w:p w:rsidR="002A2AE8" w:rsidRPr="005408D0" w:rsidRDefault="002A2AE8" w:rsidP="002A2AE8">
            <w:pPr>
              <w:widowControl w:val="0"/>
              <w:autoSpaceDE w:val="0"/>
              <w:autoSpaceDN w:val="0"/>
              <w:adjustRightInd w:val="0"/>
              <w:rPr>
                <w:rFonts w:cstheme="minorHAnsi"/>
                <w:b/>
              </w:rPr>
            </w:pPr>
          </w:p>
        </w:tc>
        <w:tc>
          <w:tcPr>
            <w:tcW w:w="11880" w:type="dxa"/>
            <w:gridSpan w:val="6"/>
            <w:tcBorders>
              <w:left w:val="single" w:sz="4" w:space="0" w:color="auto"/>
              <w:bottom w:val="single" w:sz="4" w:space="0" w:color="auto"/>
              <w:right w:val="single" w:sz="4" w:space="0" w:color="auto"/>
            </w:tcBorders>
            <w:shd w:val="pct12" w:color="auto" w:fill="auto"/>
          </w:tcPr>
          <w:p w:rsidR="002A2AE8" w:rsidRPr="005408D0" w:rsidRDefault="002A2AE8" w:rsidP="002A2AE8">
            <w:pPr>
              <w:widowControl w:val="0"/>
              <w:autoSpaceDE w:val="0"/>
              <w:autoSpaceDN w:val="0"/>
              <w:adjustRightInd w:val="0"/>
              <w:rPr>
                <w:rFonts w:cstheme="minorHAnsi"/>
              </w:rPr>
            </w:pPr>
            <w:r w:rsidRPr="005408D0">
              <w:rPr>
                <w:rFonts w:cstheme="minorHAnsi"/>
              </w:rPr>
              <w:t>Students rate competency development with 4 or more stars (out of five</w:t>
            </w:r>
            <w:r>
              <w:rPr>
                <w:rFonts w:cstheme="minorHAnsi"/>
              </w:rPr>
              <w:t>, with five being the highest</w:t>
            </w:r>
            <w:r w:rsidRPr="005408D0">
              <w:rPr>
                <w:rFonts w:cstheme="minorHAnsi"/>
              </w:rPr>
              <w:t>).</w:t>
            </w:r>
          </w:p>
          <w:p w:rsidR="002A2AE8" w:rsidRPr="005408D0" w:rsidRDefault="002A2AE8" w:rsidP="002A2AE8">
            <w:pPr>
              <w:widowControl w:val="0"/>
              <w:autoSpaceDE w:val="0"/>
              <w:autoSpaceDN w:val="0"/>
              <w:adjustRightInd w:val="0"/>
              <w:rPr>
                <w:rFonts w:cstheme="minorHAnsi"/>
              </w:rPr>
            </w:pPr>
          </w:p>
        </w:tc>
      </w:tr>
      <w:tr w:rsidR="002A2AE8" w:rsidRPr="005408D0" w:rsidTr="002A2AE8">
        <w:tc>
          <w:tcPr>
            <w:tcW w:w="4585" w:type="dxa"/>
            <w:gridSpan w:val="2"/>
            <w:tcBorders>
              <w:top w:val="single" w:sz="4" w:space="0" w:color="auto"/>
            </w:tcBorders>
            <w:shd w:val="pct12" w:color="auto" w:fill="auto"/>
            <w:tcMar>
              <w:top w:w="100" w:type="nil"/>
              <w:right w:w="100" w:type="nil"/>
            </w:tcMar>
          </w:tcPr>
          <w:p w:rsidR="002A2AE8" w:rsidRPr="005408D0" w:rsidRDefault="002A2AE8" w:rsidP="002A2AE8">
            <w:pPr>
              <w:widowControl w:val="0"/>
              <w:autoSpaceDE w:val="0"/>
              <w:autoSpaceDN w:val="0"/>
              <w:adjustRightInd w:val="0"/>
              <w:jc w:val="center"/>
              <w:rPr>
                <w:rFonts w:cstheme="minorHAnsi"/>
                <w:b/>
              </w:rPr>
            </w:pPr>
            <w:r w:rsidRPr="005408D0">
              <w:rPr>
                <w:rFonts w:cstheme="minorHAnsi"/>
                <w:b/>
              </w:rPr>
              <w:t>Program Success Target for this Measurement</w:t>
            </w:r>
          </w:p>
          <w:p w:rsidR="002A2AE8" w:rsidRPr="005408D0" w:rsidRDefault="002A2AE8" w:rsidP="002A2AE8">
            <w:pPr>
              <w:widowControl w:val="0"/>
              <w:autoSpaceDE w:val="0"/>
              <w:autoSpaceDN w:val="0"/>
              <w:adjustRightInd w:val="0"/>
              <w:rPr>
                <w:rFonts w:cstheme="minorHAnsi"/>
                <w:b/>
                <w:bCs/>
              </w:rPr>
            </w:pPr>
          </w:p>
        </w:tc>
        <w:tc>
          <w:tcPr>
            <w:tcW w:w="3690" w:type="dxa"/>
            <w:tcBorders>
              <w:top w:val="single" w:sz="4" w:space="0" w:color="auto"/>
            </w:tcBorders>
            <w:shd w:val="pct12" w:color="auto" w:fill="auto"/>
          </w:tcPr>
          <w:p w:rsidR="002A2AE8" w:rsidRPr="005408D0" w:rsidRDefault="002A2AE8" w:rsidP="002A2AE8">
            <w:pPr>
              <w:widowControl w:val="0"/>
              <w:autoSpaceDE w:val="0"/>
              <w:autoSpaceDN w:val="0"/>
              <w:adjustRightInd w:val="0"/>
              <w:rPr>
                <w:rFonts w:cstheme="minorHAnsi"/>
              </w:rPr>
            </w:pPr>
            <w:r w:rsidRPr="005408D0">
              <w:rPr>
                <w:rFonts w:cstheme="minorHAnsi"/>
              </w:rPr>
              <w:lastRenderedPageBreak/>
              <w:t xml:space="preserve">80%  </w:t>
            </w:r>
          </w:p>
        </w:tc>
        <w:tc>
          <w:tcPr>
            <w:tcW w:w="3600" w:type="dxa"/>
            <w:gridSpan w:val="2"/>
            <w:tcBorders>
              <w:top w:val="single" w:sz="4" w:space="0" w:color="auto"/>
            </w:tcBorders>
            <w:shd w:val="pct12" w:color="auto" w:fill="auto"/>
          </w:tcPr>
          <w:p w:rsidR="002A2AE8" w:rsidRPr="005408D0" w:rsidRDefault="002A2AE8" w:rsidP="002A2AE8">
            <w:pPr>
              <w:widowControl w:val="0"/>
              <w:autoSpaceDE w:val="0"/>
              <w:autoSpaceDN w:val="0"/>
              <w:adjustRightInd w:val="0"/>
              <w:jc w:val="center"/>
              <w:rPr>
                <w:rFonts w:cstheme="minorHAnsi"/>
                <w:b/>
              </w:rPr>
            </w:pPr>
            <w:r w:rsidRPr="005408D0">
              <w:rPr>
                <w:rFonts w:cstheme="minorHAnsi"/>
                <w:b/>
              </w:rPr>
              <w:t>Percent of Program Achieving Target</w:t>
            </w:r>
          </w:p>
        </w:tc>
        <w:tc>
          <w:tcPr>
            <w:tcW w:w="2880" w:type="dxa"/>
            <w:gridSpan w:val="2"/>
            <w:tcBorders>
              <w:top w:val="single" w:sz="4" w:space="0" w:color="auto"/>
            </w:tcBorders>
            <w:shd w:val="pct12" w:color="auto" w:fill="auto"/>
          </w:tcPr>
          <w:p w:rsidR="002A2AE8" w:rsidRPr="005408D0" w:rsidRDefault="002A2AE8" w:rsidP="002A2AE8">
            <w:pPr>
              <w:widowControl w:val="0"/>
              <w:autoSpaceDE w:val="0"/>
              <w:autoSpaceDN w:val="0"/>
              <w:adjustRightInd w:val="0"/>
              <w:rPr>
                <w:rFonts w:cstheme="minorHAnsi"/>
              </w:rPr>
            </w:pPr>
            <w:r w:rsidRPr="005408D0">
              <w:rPr>
                <w:rFonts w:cstheme="minorHAnsi"/>
              </w:rPr>
              <w:t>86%</w:t>
            </w:r>
          </w:p>
          <w:p w:rsidR="002A2AE8" w:rsidRPr="005408D0" w:rsidRDefault="002A2AE8" w:rsidP="002A2AE8">
            <w:pPr>
              <w:widowControl w:val="0"/>
              <w:autoSpaceDE w:val="0"/>
              <w:autoSpaceDN w:val="0"/>
              <w:adjustRightInd w:val="0"/>
              <w:rPr>
                <w:rFonts w:cstheme="minorHAnsi"/>
              </w:rPr>
            </w:pPr>
            <w:r w:rsidRPr="005408D0">
              <w:rPr>
                <w:rFonts w:cstheme="minorHAnsi"/>
              </w:rPr>
              <w:lastRenderedPageBreak/>
              <w:t>Mean = 4.3</w:t>
            </w:r>
          </w:p>
        </w:tc>
      </w:tr>
      <w:tr w:rsidR="002A2AE8" w:rsidRPr="005408D0" w:rsidTr="002A2AE8">
        <w:tc>
          <w:tcPr>
            <w:tcW w:w="2875" w:type="dxa"/>
            <w:tcBorders>
              <w:top w:val="single" w:sz="4" w:space="0" w:color="auto"/>
              <w:bottom w:val="single" w:sz="4" w:space="0" w:color="auto"/>
            </w:tcBorders>
            <w:shd w:val="pct12" w:color="auto" w:fill="auto"/>
            <w:tcMar>
              <w:top w:w="100" w:type="nil"/>
              <w:right w:w="100" w:type="nil"/>
            </w:tcMar>
          </w:tcPr>
          <w:p w:rsidR="002A2AE8" w:rsidRPr="005408D0" w:rsidRDefault="002A2AE8" w:rsidP="002A2AE8">
            <w:pPr>
              <w:widowControl w:val="0"/>
              <w:autoSpaceDE w:val="0"/>
              <w:autoSpaceDN w:val="0"/>
              <w:adjustRightInd w:val="0"/>
              <w:rPr>
                <w:rFonts w:cstheme="minorHAnsi"/>
                <w:b/>
              </w:rPr>
            </w:pPr>
            <w:r w:rsidRPr="005408D0">
              <w:rPr>
                <w:rFonts w:cstheme="minorHAnsi"/>
                <w:b/>
              </w:rPr>
              <w:t>Methods</w:t>
            </w:r>
          </w:p>
          <w:p w:rsidR="002A2AE8" w:rsidRPr="005408D0" w:rsidRDefault="002A2AE8" w:rsidP="002A2AE8">
            <w:pPr>
              <w:widowControl w:val="0"/>
              <w:autoSpaceDE w:val="0"/>
              <w:autoSpaceDN w:val="0"/>
              <w:adjustRightInd w:val="0"/>
              <w:rPr>
                <w:rFonts w:cstheme="minorHAnsi"/>
                <w:b/>
              </w:rPr>
            </w:pPr>
          </w:p>
          <w:p w:rsidR="002A2AE8" w:rsidRPr="005408D0" w:rsidRDefault="002A2AE8" w:rsidP="002A2AE8">
            <w:pPr>
              <w:widowControl w:val="0"/>
              <w:autoSpaceDE w:val="0"/>
              <w:autoSpaceDN w:val="0"/>
              <w:adjustRightInd w:val="0"/>
              <w:rPr>
                <w:rFonts w:cstheme="minorHAnsi"/>
                <w:b/>
              </w:rPr>
            </w:pPr>
          </w:p>
          <w:p w:rsidR="002A2AE8" w:rsidRPr="005408D0" w:rsidRDefault="002A2AE8" w:rsidP="002A2AE8">
            <w:pPr>
              <w:widowControl w:val="0"/>
              <w:autoSpaceDE w:val="0"/>
              <w:autoSpaceDN w:val="0"/>
              <w:adjustRightInd w:val="0"/>
              <w:rPr>
                <w:rFonts w:cstheme="minorHAnsi"/>
                <w:b/>
              </w:rPr>
            </w:pPr>
          </w:p>
        </w:tc>
        <w:tc>
          <w:tcPr>
            <w:tcW w:w="11880" w:type="dxa"/>
            <w:gridSpan w:val="6"/>
            <w:tcBorders>
              <w:top w:val="single" w:sz="4" w:space="0" w:color="auto"/>
              <w:bottom w:val="single" w:sz="4" w:space="0" w:color="auto"/>
            </w:tcBorders>
            <w:shd w:val="pct12" w:color="auto" w:fill="auto"/>
          </w:tcPr>
          <w:p w:rsidR="002A2AE8" w:rsidRPr="005408D0" w:rsidRDefault="002A2AE8" w:rsidP="002A2AE8">
            <w:pPr>
              <w:widowControl w:val="0"/>
              <w:autoSpaceDE w:val="0"/>
              <w:autoSpaceDN w:val="0"/>
              <w:adjustRightInd w:val="0"/>
              <w:rPr>
                <w:rFonts w:cstheme="minorHAnsi"/>
              </w:rPr>
            </w:pPr>
            <w:r w:rsidRPr="005408D0">
              <w:rPr>
                <w:rFonts w:cstheme="minorHAnsi"/>
              </w:rPr>
              <w:t>Census of graduating students complete mandatory MPH exit survey through Qualtrics. System identifies who has completed the survey, but responses are not linked to the respondents. Results are analyzed descriptively (frequency, central tendency) and compared to target.</w:t>
            </w:r>
          </w:p>
        </w:tc>
      </w:tr>
      <w:tr w:rsidR="002A2AE8" w:rsidRPr="005408D0" w:rsidTr="002A2AE8">
        <w:tc>
          <w:tcPr>
            <w:tcW w:w="11875" w:type="dxa"/>
            <w:gridSpan w:val="5"/>
            <w:tcBorders>
              <w:top w:val="single" w:sz="4" w:space="0" w:color="auto"/>
              <w:bottom w:val="single" w:sz="4" w:space="0" w:color="auto"/>
            </w:tcBorders>
            <w:shd w:val="clear" w:color="auto" w:fill="auto"/>
            <w:tcMar>
              <w:top w:w="100" w:type="nil"/>
              <w:right w:w="100" w:type="nil"/>
            </w:tcMar>
          </w:tcPr>
          <w:p w:rsidR="002A2AE8" w:rsidRPr="005408D0" w:rsidRDefault="002A2AE8" w:rsidP="002A2AE8">
            <w:pPr>
              <w:widowControl w:val="0"/>
              <w:autoSpaceDE w:val="0"/>
              <w:autoSpaceDN w:val="0"/>
              <w:adjustRightInd w:val="0"/>
              <w:rPr>
                <w:rFonts w:cstheme="minorHAnsi"/>
                <w:b/>
                <w:bCs/>
              </w:rPr>
            </w:pPr>
            <w:r w:rsidRPr="005408D0">
              <w:rPr>
                <w:rFonts w:cstheme="minorHAnsi"/>
                <w:b/>
                <w:bCs/>
              </w:rPr>
              <w:t>Based on your results, circle or highlight whether the program met the goal Student Learning Outcome 1.</w:t>
            </w:r>
          </w:p>
          <w:p w:rsidR="002A2AE8" w:rsidRPr="005408D0" w:rsidRDefault="002A2AE8" w:rsidP="002A2AE8">
            <w:pPr>
              <w:widowControl w:val="0"/>
              <w:autoSpaceDE w:val="0"/>
              <w:autoSpaceDN w:val="0"/>
              <w:adjustRightInd w:val="0"/>
              <w:rPr>
                <w:rFonts w:cstheme="minorHAnsi"/>
                <w:b/>
              </w:rPr>
            </w:pPr>
            <w:r w:rsidRPr="005408D0">
              <w:rPr>
                <w:rFonts w:cstheme="minorHAnsi"/>
                <w:b/>
              </w:rPr>
              <w:t xml:space="preserve"> </w:t>
            </w:r>
          </w:p>
        </w:tc>
        <w:tc>
          <w:tcPr>
            <w:tcW w:w="1350" w:type="dxa"/>
            <w:tcBorders>
              <w:top w:val="single" w:sz="4" w:space="0" w:color="auto"/>
              <w:bottom w:val="single" w:sz="4" w:space="0" w:color="auto"/>
            </w:tcBorders>
            <w:shd w:val="clear" w:color="auto" w:fill="auto"/>
            <w:vAlign w:val="center"/>
          </w:tcPr>
          <w:p w:rsidR="002A2AE8" w:rsidRPr="005408D0" w:rsidRDefault="002A2AE8" w:rsidP="002A2AE8">
            <w:pPr>
              <w:widowControl w:val="0"/>
              <w:autoSpaceDE w:val="0"/>
              <w:autoSpaceDN w:val="0"/>
              <w:adjustRightInd w:val="0"/>
              <w:jc w:val="center"/>
              <w:rPr>
                <w:rFonts w:cstheme="minorHAnsi"/>
                <w:b/>
              </w:rPr>
            </w:pPr>
            <w:r w:rsidRPr="005408D0">
              <w:rPr>
                <w:rFonts w:cstheme="minorHAnsi"/>
                <w:b/>
                <w:highlight w:val="yellow"/>
              </w:rPr>
              <w:t>Met</w:t>
            </w:r>
          </w:p>
        </w:tc>
        <w:tc>
          <w:tcPr>
            <w:tcW w:w="1530" w:type="dxa"/>
            <w:tcBorders>
              <w:top w:val="single" w:sz="4" w:space="0" w:color="auto"/>
              <w:bottom w:val="single" w:sz="4" w:space="0" w:color="auto"/>
            </w:tcBorders>
            <w:shd w:val="clear" w:color="auto" w:fill="auto"/>
            <w:vAlign w:val="center"/>
          </w:tcPr>
          <w:p w:rsidR="002A2AE8" w:rsidRPr="005408D0" w:rsidRDefault="002A2AE8" w:rsidP="002A2AE8">
            <w:pPr>
              <w:widowControl w:val="0"/>
              <w:autoSpaceDE w:val="0"/>
              <w:autoSpaceDN w:val="0"/>
              <w:adjustRightInd w:val="0"/>
              <w:jc w:val="center"/>
              <w:rPr>
                <w:rFonts w:cstheme="minorHAnsi"/>
                <w:b/>
              </w:rPr>
            </w:pPr>
            <w:r w:rsidRPr="005408D0">
              <w:rPr>
                <w:rFonts w:cstheme="minorHAnsi"/>
                <w:b/>
              </w:rPr>
              <w:t>Not Met</w:t>
            </w:r>
          </w:p>
        </w:tc>
      </w:tr>
      <w:tr w:rsidR="002A2AE8" w:rsidRPr="005408D0" w:rsidTr="002A2AE8">
        <w:tc>
          <w:tcPr>
            <w:tcW w:w="14755" w:type="dxa"/>
            <w:gridSpan w:val="7"/>
            <w:shd w:val="pct12" w:color="auto" w:fill="auto"/>
            <w:tcMar>
              <w:top w:w="100" w:type="nil"/>
              <w:right w:w="100" w:type="nil"/>
            </w:tcMar>
          </w:tcPr>
          <w:p w:rsidR="002A2AE8" w:rsidRPr="005408D0" w:rsidRDefault="002A2AE8" w:rsidP="002A2AE8">
            <w:pPr>
              <w:widowControl w:val="0"/>
              <w:autoSpaceDE w:val="0"/>
              <w:autoSpaceDN w:val="0"/>
              <w:adjustRightInd w:val="0"/>
              <w:rPr>
                <w:rFonts w:cstheme="minorHAnsi"/>
                <w:b/>
              </w:rPr>
            </w:pPr>
            <w:r w:rsidRPr="005408D0">
              <w:rPr>
                <w:rFonts w:cstheme="minorHAnsi"/>
                <w:b/>
              </w:rPr>
              <w:t xml:space="preserve">Actions </w:t>
            </w:r>
            <w:r w:rsidRPr="005408D0">
              <w:rPr>
                <w:rFonts w:cstheme="minorHAnsi"/>
              </w:rPr>
              <w:t>(Describe the decision-making process and actions planned for program improvement.  The actions should include a timeline.)</w:t>
            </w:r>
          </w:p>
        </w:tc>
      </w:tr>
      <w:tr w:rsidR="002A2AE8" w:rsidRPr="005408D0" w:rsidTr="002A2AE8">
        <w:trPr>
          <w:trHeight w:val="953"/>
        </w:trPr>
        <w:tc>
          <w:tcPr>
            <w:tcW w:w="14755" w:type="dxa"/>
            <w:gridSpan w:val="7"/>
            <w:shd w:val="pct12" w:color="auto" w:fill="auto"/>
            <w:tcMar>
              <w:top w:w="100" w:type="nil"/>
              <w:right w:w="100" w:type="nil"/>
            </w:tcMar>
          </w:tcPr>
          <w:p w:rsidR="002A2AE8" w:rsidRPr="005408D0" w:rsidRDefault="002A2AE8" w:rsidP="002A2AE8">
            <w:pPr>
              <w:jc w:val="both"/>
              <w:rPr>
                <w:rFonts w:cstheme="minorHAnsi"/>
              </w:rPr>
            </w:pPr>
            <w:r w:rsidRPr="005408D0">
              <w:rPr>
                <w:rFonts w:cstheme="minorHAnsi"/>
              </w:rPr>
              <w:t>While</w:t>
            </w:r>
            <w:r>
              <w:rPr>
                <w:rFonts w:cstheme="minorHAnsi"/>
              </w:rPr>
              <w:t xml:space="preserve"> Learning Outcome 1</w:t>
            </w:r>
            <w:r w:rsidRPr="005408D0">
              <w:rPr>
                <w:rFonts w:cstheme="minorHAnsi"/>
              </w:rPr>
              <w:t xml:space="preserve"> </w:t>
            </w:r>
            <w:r>
              <w:rPr>
                <w:rFonts w:cstheme="minorHAnsi"/>
              </w:rPr>
              <w:t>is</w:t>
            </w:r>
            <w:r w:rsidRPr="005408D0">
              <w:rPr>
                <w:rFonts w:cstheme="minorHAnsi"/>
              </w:rPr>
              <w:t xml:space="preserve"> met overall, the low scores on some of the component areas </w:t>
            </w:r>
            <w:r>
              <w:rPr>
                <w:rFonts w:cstheme="minorHAnsi"/>
              </w:rPr>
              <w:t xml:space="preserve">of Instrument 1, ILE paper, </w:t>
            </w:r>
            <w:r w:rsidRPr="005408D0">
              <w:rPr>
                <w:rFonts w:cstheme="minorHAnsi"/>
              </w:rPr>
              <w:t>warrant attention. Faculty will critically assess the ILE process and develop instructions and rubrics to promote student success. Additionally, faculty will discuss reinforcing concepts from low-scoring areas in courses to provide students with opportunities to build competence.</w:t>
            </w:r>
          </w:p>
        </w:tc>
      </w:tr>
      <w:tr w:rsidR="002A2AE8" w:rsidRPr="005408D0" w:rsidTr="002A2AE8">
        <w:tc>
          <w:tcPr>
            <w:tcW w:w="14755" w:type="dxa"/>
            <w:gridSpan w:val="7"/>
            <w:shd w:val="clear" w:color="auto" w:fill="auto"/>
            <w:tcMar>
              <w:top w:w="100" w:type="nil"/>
              <w:right w:w="100" w:type="nil"/>
            </w:tcMar>
          </w:tcPr>
          <w:p w:rsidR="002A2AE8" w:rsidRPr="005408D0" w:rsidRDefault="002A2AE8" w:rsidP="002A2AE8">
            <w:pPr>
              <w:jc w:val="both"/>
              <w:rPr>
                <w:rFonts w:cstheme="minorHAnsi"/>
                <w:b/>
                <w:bCs/>
              </w:rPr>
            </w:pPr>
            <w:r w:rsidRPr="005408D0">
              <w:rPr>
                <w:rFonts w:cstheme="minorHAnsi"/>
                <w:b/>
                <w:bCs/>
              </w:rPr>
              <w:t xml:space="preserve">Follow-Up </w:t>
            </w:r>
            <w:r w:rsidRPr="005408D0">
              <w:rPr>
                <w:rFonts w:cstheme="minorHAnsi"/>
                <w:bCs/>
              </w:rPr>
              <w:t>(Provide your timeline for follow-up.  If follow-up has occurred, describe how the actions above have resulted in program improvement.)</w:t>
            </w:r>
          </w:p>
        </w:tc>
      </w:tr>
      <w:tr w:rsidR="002A2AE8" w:rsidRPr="005408D0" w:rsidTr="002A2AE8">
        <w:tc>
          <w:tcPr>
            <w:tcW w:w="14755" w:type="dxa"/>
            <w:gridSpan w:val="7"/>
            <w:shd w:val="clear" w:color="auto" w:fill="auto"/>
            <w:tcMar>
              <w:top w:w="100" w:type="nil"/>
              <w:right w:w="100" w:type="nil"/>
            </w:tcMar>
          </w:tcPr>
          <w:p w:rsidR="002A2AE8" w:rsidRPr="005408D0" w:rsidRDefault="002A2AE8" w:rsidP="002A2AE8">
            <w:pPr>
              <w:jc w:val="both"/>
              <w:rPr>
                <w:rFonts w:cstheme="minorHAnsi"/>
                <w:bCs/>
              </w:rPr>
            </w:pPr>
            <w:r w:rsidRPr="005408D0">
              <w:rPr>
                <w:rFonts w:cstheme="minorHAnsi"/>
                <w:bCs/>
              </w:rPr>
              <w:t xml:space="preserve"> Fall 2019:  </w:t>
            </w:r>
            <w:r>
              <w:rPr>
                <w:rFonts w:cstheme="minorHAnsi"/>
                <w:bCs/>
              </w:rPr>
              <w:t xml:space="preserve">faculty held </w:t>
            </w:r>
            <w:r w:rsidRPr="005408D0">
              <w:rPr>
                <w:rFonts w:cstheme="minorHAnsi"/>
                <w:bCs/>
              </w:rPr>
              <w:t>internal</w:t>
            </w:r>
            <w:r>
              <w:rPr>
                <w:rFonts w:cstheme="minorHAnsi"/>
                <w:bCs/>
              </w:rPr>
              <w:t xml:space="preserve"> discussions and drafted a potential </w:t>
            </w:r>
            <w:r w:rsidRPr="005408D0">
              <w:rPr>
                <w:rFonts w:cstheme="minorHAnsi"/>
                <w:bCs/>
              </w:rPr>
              <w:t>rubric</w:t>
            </w:r>
            <w:r>
              <w:rPr>
                <w:rFonts w:cstheme="minorHAnsi"/>
                <w:bCs/>
              </w:rPr>
              <w:t xml:space="preserve"> for the ILE</w:t>
            </w:r>
            <w:r w:rsidRPr="005408D0">
              <w:rPr>
                <w:rFonts w:cstheme="minorHAnsi"/>
                <w:bCs/>
              </w:rPr>
              <w:t xml:space="preserve">; </w:t>
            </w:r>
            <w:r>
              <w:rPr>
                <w:rFonts w:cstheme="minorHAnsi"/>
                <w:bCs/>
              </w:rPr>
              <w:t xml:space="preserve">at curriculum committee meeting in spring 2020, the rubric was discussed, then tabled. We convened an ad hoc committee to create a new model based on information presented during a webinar sponsored by CEPH. </w:t>
            </w:r>
          </w:p>
        </w:tc>
      </w:tr>
    </w:tbl>
    <w:p w:rsidR="002A2AE8" w:rsidRPr="005408D0" w:rsidRDefault="002A2AE8" w:rsidP="002A2AE8">
      <w:pPr>
        <w:rPr>
          <w:rFonts w:cstheme="minorHAnsi"/>
        </w:rPr>
      </w:pPr>
    </w:p>
    <w:p w:rsidR="002A2AE8" w:rsidRPr="005408D0" w:rsidRDefault="002A2AE8" w:rsidP="002A2AE8">
      <w:pPr>
        <w:rPr>
          <w:rFonts w:cstheme="minorHAnsi"/>
        </w:rPr>
      </w:pPr>
    </w:p>
    <w:p w:rsidR="002A2AE8" w:rsidRPr="005408D0" w:rsidRDefault="002A2AE8" w:rsidP="002A2AE8">
      <w:pPr>
        <w:rPr>
          <w:rFonts w:cstheme="minorHAnsi"/>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5400"/>
        <w:gridCol w:w="90"/>
        <w:gridCol w:w="3780"/>
        <w:gridCol w:w="1080"/>
        <w:gridCol w:w="1170"/>
      </w:tblGrid>
      <w:tr w:rsidR="002A2AE8" w:rsidRPr="005408D0" w:rsidTr="002A2AE8">
        <w:trPr>
          <w:trHeight w:val="144"/>
        </w:trPr>
        <w:tc>
          <w:tcPr>
            <w:tcW w:w="14395" w:type="dxa"/>
            <w:gridSpan w:val="6"/>
            <w:shd w:val="pct10" w:color="auto" w:fill="auto"/>
            <w:tcMar>
              <w:top w:w="100" w:type="nil"/>
              <w:right w:w="100" w:type="nil"/>
            </w:tcMar>
          </w:tcPr>
          <w:p w:rsidR="002A2AE8" w:rsidRPr="005408D0" w:rsidRDefault="002A2AE8" w:rsidP="002A2AE8">
            <w:pPr>
              <w:widowControl w:val="0"/>
              <w:autoSpaceDE w:val="0"/>
              <w:autoSpaceDN w:val="0"/>
              <w:adjustRightInd w:val="0"/>
              <w:jc w:val="center"/>
              <w:rPr>
                <w:rFonts w:cstheme="minorHAnsi"/>
                <w:b/>
                <w:bCs/>
              </w:rPr>
            </w:pPr>
            <w:r w:rsidRPr="005408D0">
              <w:rPr>
                <w:rFonts w:cstheme="minorHAnsi"/>
                <w:b/>
                <w:bCs/>
              </w:rPr>
              <w:t>Student Learning Outcome 2</w:t>
            </w:r>
          </w:p>
        </w:tc>
      </w:tr>
      <w:tr w:rsidR="002A2AE8" w:rsidRPr="005408D0" w:rsidTr="002A2AE8">
        <w:trPr>
          <w:trHeight w:val="323"/>
        </w:trPr>
        <w:tc>
          <w:tcPr>
            <w:tcW w:w="2875" w:type="dxa"/>
            <w:tcBorders>
              <w:bottom w:val="single" w:sz="4" w:space="0" w:color="auto"/>
            </w:tcBorders>
            <w:shd w:val="clear" w:color="auto" w:fill="auto"/>
            <w:tcMar>
              <w:top w:w="100" w:type="nil"/>
              <w:right w:w="100" w:type="nil"/>
            </w:tcMar>
          </w:tcPr>
          <w:p w:rsidR="002A2AE8" w:rsidRPr="005408D0" w:rsidRDefault="002A2AE8" w:rsidP="002A2AE8">
            <w:pPr>
              <w:widowControl w:val="0"/>
              <w:autoSpaceDE w:val="0"/>
              <w:autoSpaceDN w:val="0"/>
              <w:adjustRightInd w:val="0"/>
              <w:rPr>
                <w:rFonts w:cstheme="minorHAnsi"/>
                <w:b/>
                <w:bCs/>
              </w:rPr>
            </w:pPr>
            <w:r w:rsidRPr="005408D0">
              <w:rPr>
                <w:rFonts w:cstheme="minorHAnsi"/>
                <w:b/>
                <w:bCs/>
              </w:rPr>
              <w:t xml:space="preserve">Student Learning Outcome </w:t>
            </w:r>
          </w:p>
        </w:tc>
        <w:tc>
          <w:tcPr>
            <w:tcW w:w="11520" w:type="dxa"/>
            <w:gridSpan w:val="5"/>
            <w:tcBorders>
              <w:bottom w:val="single" w:sz="4" w:space="0" w:color="auto"/>
            </w:tcBorders>
            <w:shd w:val="clear" w:color="auto" w:fill="auto"/>
            <w:tcMar>
              <w:top w:w="100" w:type="nil"/>
              <w:right w:w="100" w:type="nil"/>
            </w:tcMar>
          </w:tcPr>
          <w:p w:rsidR="002A2AE8" w:rsidRPr="005408D0" w:rsidRDefault="002A2AE8" w:rsidP="002A2AE8">
            <w:pPr>
              <w:widowControl w:val="0"/>
              <w:autoSpaceDE w:val="0"/>
              <w:autoSpaceDN w:val="0"/>
              <w:adjustRightInd w:val="0"/>
              <w:rPr>
                <w:rFonts w:cstheme="minorHAnsi"/>
                <w:bCs/>
                <w:color w:val="767171" w:themeColor="background2" w:themeShade="80"/>
              </w:rPr>
            </w:pPr>
            <w:r w:rsidRPr="005408D0">
              <w:rPr>
                <w:rFonts w:cstheme="minorHAnsi"/>
                <w:b/>
                <w:bCs/>
              </w:rPr>
              <w:t>Apply MPH competencies in collaboration with public health/related professionals.</w:t>
            </w:r>
          </w:p>
        </w:tc>
      </w:tr>
      <w:tr w:rsidR="002A2AE8" w:rsidRPr="005408D0" w:rsidTr="002A2AE8">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rsidR="002A2AE8" w:rsidRPr="005408D0" w:rsidRDefault="002A2AE8" w:rsidP="002A2AE8">
            <w:pPr>
              <w:widowControl w:val="0"/>
              <w:autoSpaceDE w:val="0"/>
              <w:autoSpaceDN w:val="0"/>
              <w:adjustRightInd w:val="0"/>
              <w:rPr>
                <w:rFonts w:cstheme="minorHAnsi"/>
                <w:bCs/>
              </w:rPr>
            </w:pPr>
            <w:r w:rsidRPr="005408D0">
              <w:rPr>
                <w:rFonts w:cstheme="minorHAnsi"/>
                <w:b/>
                <w:bCs/>
              </w:rPr>
              <w:t>Measurement Instrument 1</w:t>
            </w:r>
          </w:p>
        </w:tc>
        <w:tc>
          <w:tcPr>
            <w:tcW w:w="11520" w:type="dxa"/>
            <w:gridSpan w:val="5"/>
            <w:tcBorders>
              <w:top w:val="single" w:sz="4" w:space="0" w:color="auto"/>
              <w:left w:val="single" w:sz="4" w:space="0" w:color="auto"/>
              <w:right w:val="single" w:sz="4" w:space="0" w:color="auto"/>
            </w:tcBorders>
            <w:shd w:val="pct12" w:color="auto" w:fill="auto"/>
            <w:tcMar>
              <w:top w:w="100" w:type="nil"/>
              <w:right w:w="100" w:type="nil"/>
            </w:tcMar>
          </w:tcPr>
          <w:p w:rsidR="002A2AE8" w:rsidRPr="005408D0" w:rsidRDefault="002A2AE8" w:rsidP="002A2AE8">
            <w:pPr>
              <w:widowControl w:val="0"/>
              <w:autoSpaceDE w:val="0"/>
              <w:autoSpaceDN w:val="0"/>
              <w:adjustRightInd w:val="0"/>
              <w:rPr>
                <w:rFonts w:cstheme="minorHAnsi"/>
                <w:b/>
                <w:bCs/>
              </w:rPr>
            </w:pPr>
            <w:r w:rsidRPr="005408D0">
              <w:rPr>
                <w:rFonts w:cstheme="minorHAnsi"/>
                <w:u w:val="single"/>
              </w:rPr>
              <w:t xml:space="preserve">Applied practice experience </w:t>
            </w:r>
            <w:r>
              <w:rPr>
                <w:rFonts w:cstheme="minorHAnsi"/>
                <w:u w:val="single"/>
              </w:rPr>
              <w:t>products</w:t>
            </w:r>
            <w:r w:rsidRPr="005408D0">
              <w:rPr>
                <w:rFonts w:cstheme="minorHAnsi"/>
              </w:rPr>
              <w:t>. Our accrediting agency requires each student to complete a minimum of two competency-based products in collaboration with a</w:t>
            </w:r>
            <w:r>
              <w:rPr>
                <w:rFonts w:cstheme="minorHAnsi"/>
              </w:rPr>
              <w:t xml:space="preserve"> public health/related agency. </w:t>
            </w:r>
          </w:p>
        </w:tc>
      </w:tr>
      <w:tr w:rsidR="002A2AE8" w:rsidRPr="005408D0" w:rsidTr="002A2AE8">
        <w:tc>
          <w:tcPr>
            <w:tcW w:w="2875" w:type="dxa"/>
            <w:tcBorders>
              <w:left w:val="single" w:sz="4" w:space="0" w:color="auto"/>
            </w:tcBorders>
            <w:shd w:val="pct12" w:color="auto" w:fill="auto"/>
            <w:tcMar>
              <w:top w:w="100" w:type="nil"/>
              <w:right w:w="100" w:type="nil"/>
            </w:tcMar>
          </w:tcPr>
          <w:p w:rsidR="002A2AE8" w:rsidRPr="005408D0" w:rsidRDefault="002A2AE8" w:rsidP="002A2AE8">
            <w:pPr>
              <w:widowControl w:val="0"/>
              <w:autoSpaceDE w:val="0"/>
              <w:autoSpaceDN w:val="0"/>
              <w:adjustRightInd w:val="0"/>
              <w:rPr>
                <w:rFonts w:cstheme="minorHAnsi"/>
                <w:b/>
              </w:rPr>
            </w:pPr>
            <w:r w:rsidRPr="005408D0">
              <w:rPr>
                <w:rFonts w:cstheme="minorHAnsi"/>
                <w:b/>
              </w:rPr>
              <w:t>Criteria for Student Success</w:t>
            </w:r>
          </w:p>
        </w:tc>
        <w:tc>
          <w:tcPr>
            <w:tcW w:w="11520" w:type="dxa"/>
            <w:gridSpan w:val="5"/>
            <w:tcBorders>
              <w:right w:val="single" w:sz="4" w:space="0" w:color="auto"/>
            </w:tcBorders>
            <w:shd w:val="pct12" w:color="auto" w:fill="auto"/>
            <w:tcMar>
              <w:top w:w="100" w:type="nil"/>
              <w:right w:w="100" w:type="nil"/>
            </w:tcMar>
          </w:tcPr>
          <w:p w:rsidR="002A2AE8" w:rsidRPr="005408D0" w:rsidRDefault="002A2AE8" w:rsidP="002A2AE8">
            <w:pPr>
              <w:widowControl w:val="0"/>
              <w:autoSpaceDE w:val="0"/>
              <w:autoSpaceDN w:val="0"/>
              <w:adjustRightInd w:val="0"/>
              <w:rPr>
                <w:rFonts w:cstheme="minorHAnsi"/>
              </w:rPr>
            </w:pPr>
            <w:r w:rsidRPr="005408D0">
              <w:rPr>
                <w:rFonts w:cstheme="minorHAnsi"/>
              </w:rPr>
              <w:t>Products, created during applied practice experience, align with MPH competencies</w:t>
            </w:r>
          </w:p>
          <w:p w:rsidR="002A2AE8" w:rsidRPr="005408D0" w:rsidRDefault="002A2AE8" w:rsidP="002A2AE8">
            <w:pPr>
              <w:widowControl w:val="0"/>
              <w:autoSpaceDE w:val="0"/>
              <w:autoSpaceDN w:val="0"/>
              <w:adjustRightInd w:val="0"/>
              <w:rPr>
                <w:rFonts w:cstheme="minorHAnsi"/>
              </w:rPr>
            </w:pPr>
          </w:p>
        </w:tc>
      </w:tr>
      <w:tr w:rsidR="002A2AE8" w:rsidRPr="005408D0" w:rsidTr="002A2AE8">
        <w:trPr>
          <w:trHeight w:val="611"/>
        </w:trPr>
        <w:tc>
          <w:tcPr>
            <w:tcW w:w="2875" w:type="dxa"/>
            <w:tcBorders>
              <w:left w:val="single" w:sz="4" w:space="0" w:color="auto"/>
              <w:bottom w:val="single" w:sz="4" w:space="0" w:color="auto"/>
            </w:tcBorders>
            <w:shd w:val="pct12" w:color="auto" w:fill="auto"/>
            <w:tcMar>
              <w:top w:w="100" w:type="nil"/>
              <w:right w:w="100" w:type="nil"/>
            </w:tcMar>
          </w:tcPr>
          <w:p w:rsidR="002A2AE8" w:rsidRPr="005408D0" w:rsidRDefault="002A2AE8" w:rsidP="002A2AE8">
            <w:pPr>
              <w:widowControl w:val="0"/>
              <w:autoSpaceDE w:val="0"/>
              <w:autoSpaceDN w:val="0"/>
              <w:adjustRightInd w:val="0"/>
              <w:rPr>
                <w:rFonts w:cstheme="minorHAnsi"/>
                <w:b/>
              </w:rPr>
            </w:pPr>
            <w:r w:rsidRPr="005408D0">
              <w:rPr>
                <w:rFonts w:cstheme="minorHAnsi"/>
                <w:b/>
              </w:rPr>
              <w:t>Program Success Target for this Measurement</w:t>
            </w:r>
          </w:p>
          <w:p w:rsidR="002A2AE8" w:rsidRPr="005408D0" w:rsidRDefault="002A2AE8" w:rsidP="002A2AE8">
            <w:pPr>
              <w:widowControl w:val="0"/>
              <w:autoSpaceDE w:val="0"/>
              <w:autoSpaceDN w:val="0"/>
              <w:adjustRightInd w:val="0"/>
              <w:rPr>
                <w:rFonts w:cstheme="minorHAnsi"/>
              </w:rPr>
            </w:pPr>
          </w:p>
          <w:p w:rsidR="002A2AE8" w:rsidRPr="005408D0" w:rsidRDefault="002A2AE8" w:rsidP="002A2AE8">
            <w:pPr>
              <w:widowControl w:val="0"/>
              <w:autoSpaceDE w:val="0"/>
              <w:autoSpaceDN w:val="0"/>
              <w:adjustRightInd w:val="0"/>
              <w:rPr>
                <w:rFonts w:cstheme="minorHAnsi"/>
              </w:rPr>
            </w:pPr>
          </w:p>
        </w:tc>
        <w:tc>
          <w:tcPr>
            <w:tcW w:w="5490" w:type="dxa"/>
            <w:gridSpan w:val="2"/>
            <w:tcBorders>
              <w:bottom w:val="single" w:sz="4" w:space="0" w:color="auto"/>
            </w:tcBorders>
            <w:shd w:val="pct12" w:color="auto" w:fill="auto"/>
          </w:tcPr>
          <w:p w:rsidR="002A2AE8" w:rsidRPr="005408D0" w:rsidRDefault="002A2AE8" w:rsidP="002A2AE8">
            <w:pPr>
              <w:widowControl w:val="0"/>
              <w:autoSpaceDE w:val="0"/>
              <w:autoSpaceDN w:val="0"/>
              <w:adjustRightInd w:val="0"/>
              <w:rPr>
                <w:rFonts w:cstheme="minorHAnsi"/>
              </w:rPr>
            </w:pPr>
            <w:r w:rsidRPr="005408D0">
              <w:rPr>
                <w:rFonts w:cstheme="minorHAnsi"/>
              </w:rPr>
              <w:lastRenderedPageBreak/>
              <w:t>90% of graduates’ products align with five or more competencies</w:t>
            </w:r>
          </w:p>
        </w:tc>
        <w:tc>
          <w:tcPr>
            <w:tcW w:w="3780" w:type="dxa"/>
            <w:tcBorders>
              <w:bottom w:val="single" w:sz="4" w:space="0" w:color="auto"/>
            </w:tcBorders>
            <w:shd w:val="pct12" w:color="auto" w:fill="auto"/>
            <w:tcMar>
              <w:top w:w="100" w:type="nil"/>
              <w:right w:w="100" w:type="nil"/>
            </w:tcMar>
          </w:tcPr>
          <w:p w:rsidR="002A2AE8" w:rsidRPr="005408D0" w:rsidRDefault="002A2AE8" w:rsidP="002A2AE8">
            <w:pPr>
              <w:widowControl w:val="0"/>
              <w:autoSpaceDE w:val="0"/>
              <w:autoSpaceDN w:val="0"/>
              <w:adjustRightInd w:val="0"/>
              <w:jc w:val="right"/>
              <w:rPr>
                <w:rFonts w:cstheme="minorHAnsi"/>
                <w:b/>
              </w:rPr>
            </w:pPr>
            <w:r w:rsidRPr="005408D0">
              <w:rPr>
                <w:rFonts w:cstheme="minorHAnsi"/>
                <w:b/>
              </w:rPr>
              <w:t>Percent of Program Achieving Target</w:t>
            </w:r>
          </w:p>
        </w:tc>
        <w:tc>
          <w:tcPr>
            <w:tcW w:w="2250" w:type="dxa"/>
            <w:gridSpan w:val="2"/>
            <w:tcBorders>
              <w:bottom w:val="single" w:sz="4" w:space="0" w:color="auto"/>
              <w:right w:val="single" w:sz="4" w:space="0" w:color="auto"/>
            </w:tcBorders>
            <w:shd w:val="pct12" w:color="auto" w:fill="auto"/>
            <w:tcMar>
              <w:top w:w="100" w:type="nil"/>
              <w:right w:w="100" w:type="nil"/>
            </w:tcMar>
          </w:tcPr>
          <w:p w:rsidR="002A2AE8" w:rsidRPr="005408D0" w:rsidRDefault="002A2AE8" w:rsidP="002A2AE8">
            <w:pPr>
              <w:widowControl w:val="0"/>
              <w:autoSpaceDE w:val="0"/>
              <w:autoSpaceDN w:val="0"/>
              <w:adjustRightInd w:val="0"/>
              <w:jc w:val="right"/>
              <w:rPr>
                <w:rFonts w:cstheme="minorHAnsi"/>
                <w:color w:val="767171" w:themeColor="background2" w:themeShade="80"/>
              </w:rPr>
            </w:pPr>
            <w:r w:rsidRPr="005408D0">
              <w:rPr>
                <w:rFonts w:cstheme="minorHAnsi"/>
                <w:color w:val="767171" w:themeColor="background2" w:themeShade="80"/>
              </w:rPr>
              <w:t>100%</w:t>
            </w:r>
          </w:p>
        </w:tc>
      </w:tr>
      <w:tr w:rsidR="002A2AE8" w:rsidRPr="005408D0" w:rsidTr="002A2AE8">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rsidR="002A2AE8" w:rsidRPr="005408D0" w:rsidRDefault="002A2AE8" w:rsidP="002A2AE8">
            <w:pPr>
              <w:widowControl w:val="0"/>
              <w:autoSpaceDE w:val="0"/>
              <w:autoSpaceDN w:val="0"/>
              <w:adjustRightInd w:val="0"/>
              <w:rPr>
                <w:rFonts w:cstheme="minorHAnsi"/>
                <w:b/>
                <w:bCs/>
              </w:rPr>
            </w:pPr>
            <w:r w:rsidRPr="005408D0">
              <w:rPr>
                <w:rFonts w:cstheme="minorHAnsi"/>
                <w:b/>
              </w:rPr>
              <w:t>Methods</w:t>
            </w:r>
            <w:r w:rsidRPr="005408D0">
              <w:rPr>
                <w:rFonts w:cstheme="minorHAnsi"/>
                <w:b/>
                <w:bCs/>
              </w:rPr>
              <w:t xml:space="preserve"> </w:t>
            </w:r>
          </w:p>
        </w:tc>
        <w:tc>
          <w:tcPr>
            <w:tcW w:w="11520" w:type="dxa"/>
            <w:gridSpan w:val="5"/>
            <w:tcBorders>
              <w:left w:val="single" w:sz="4" w:space="0" w:color="auto"/>
              <w:bottom w:val="single" w:sz="4" w:space="0" w:color="auto"/>
              <w:right w:val="single" w:sz="4" w:space="0" w:color="auto"/>
            </w:tcBorders>
            <w:shd w:val="pct12" w:color="auto" w:fill="auto"/>
            <w:tcMar>
              <w:top w:w="100" w:type="nil"/>
              <w:right w:w="100" w:type="nil"/>
            </w:tcMar>
          </w:tcPr>
          <w:p w:rsidR="002A2AE8" w:rsidRPr="005408D0" w:rsidRDefault="002A2AE8" w:rsidP="002A2AE8">
            <w:pPr>
              <w:widowControl w:val="0"/>
              <w:autoSpaceDE w:val="0"/>
              <w:autoSpaceDN w:val="0"/>
              <w:adjustRightInd w:val="0"/>
              <w:rPr>
                <w:rFonts w:cstheme="minorHAnsi"/>
              </w:rPr>
            </w:pPr>
            <w:r w:rsidRPr="005408D0">
              <w:rPr>
                <w:rFonts w:cstheme="minorHAnsi"/>
              </w:rPr>
              <w:t>Students’ products are assessed vis a vis the competencies throughout their program. A summary data base is maintained and products are kept in individual files on the shared drive.  Prior to each student’s graduation, these documents/files are audited and assessed for compliance.</w:t>
            </w:r>
            <w:r>
              <w:rPr>
                <w:rFonts w:cstheme="minorHAnsi"/>
              </w:rPr>
              <w:t xml:space="preserve"> Products include such deliverables as a lesson plan, data base, infographic, presentation, webpage, report, program proposal, social media plan, etc.</w:t>
            </w:r>
          </w:p>
        </w:tc>
      </w:tr>
      <w:tr w:rsidR="002A2AE8" w:rsidRPr="005408D0" w:rsidTr="002A2AE8">
        <w:tc>
          <w:tcPr>
            <w:tcW w:w="2875" w:type="dxa"/>
            <w:tcBorders>
              <w:top w:val="single" w:sz="4" w:space="0" w:color="auto"/>
              <w:left w:val="single" w:sz="4" w:space="0" w:color="auto"/>
              <w:right w:val="single" w:sz="4" w:space="0" w:color="auto"/>
            </w:tcBorders>
            <w:shd w:val="clear" w:color="auto" w:fill="auto"/>
            <w:tcMar>
              <w:top w:w="100" w:type="nil"/>
              <w:right w:w="100" w:type="nil"/>
            </w:tcMar>
          </w:tcPr>
          <w:p w:rsidR="002A2AE8" w:rsidRPr="005408D0" w:rsidRDefault="002A2AE8" w:rsidP="002A2AE8">
            <w:pPr>
              <w:widowControl w:val="0"/>
              <w:autoSpaceDE w:val="0"/>
              <w:autoSpaceDN w:val="0"/>
              <w:adjustRightInd w:val="0"/>
              <w:rPr>
                <w:rFonts w:cstheme="minorHAnsi"/>
                <w:b/>
                <w:bCs/>
              </w:rPr>
            </w:pPr>
            <w:r w:rsidRPr="005408D0">
              <w:rPr>
                <w:rFonts w:cstheme="minorHAnsi"/>
                <w:b/>
                <w:bCs/>
              </w:rPr>
              <w:t>Measurement Instrument 2</w:t>
            </w:r>
          </w:p>
          <w:p w:rsidR="002A2AE8" w:rsidRPr="005408D0" w:rsidRDefault="002A2AE8" w:rsidP="002A2AE8">
            <w:pPr>
              <w:widowControl w:val="0"/>
              <w:autoSpaceDE w:val="0"/>
              <w:autoSpaceDN w:val="0"/>
              <w:adjustRightInd w:val="0"/>
              <w:rPr>
                <w:rFonts w:cstheme="minorHAnsi"/>
                <w:b/>
              </w:rPr>
            </w:pPr>
          </w:p>
        </w:tc>
        <w:tc>
          <w:tcPr>
            <w:tcW w:w="11520" w:type="dxa"/>
            <w:gridSpan w:val="5"/>
            <w:tcBorders>
              <w:top w:val="single" w:sz="4" w:space="0" w:color="auto"/>
              <w:left w:val="single" w:sz="4" w:space="0" w:color="auto"/>
              <w:right w:val="single" w:sz="4" w:space="0" w:color="auto"/>
            </w:tcBorders>
            <w:shd w:val="clear" w:color="auto" w:fill="auto"/>
          </w:tcPr>
          <w:p w:rsidR="002A2AE8" w:rsidRPr="005408D0" w:rsidRDefault="002A2AE8" w:rsidP="002A2AE8">
            <w:pPr>
              <w:widowControl w:val="0"/>
              <w:autoSpaceDE w:val="0"/>
              <w:autoSpaceDN w:val="0"/>
              <w:adjustRightInd w:val="0"/>
              <w:rPr>
                <w:rFonts w:cstheme="minorHAnsi"/>
              </w:rPr>
            </w:pPr>
            <w:r w:rsidRPr="005408D0">
              <w:rPr>
                <w:rFonts w:cstheme="minorHAnsi"/>
                <w:u w:val="single"/>
              </w:rPr>
              <w:t xml:space="preserve">MPH Exit Survey: Service beyond curricular/program requirements.  </w:t>
            </w:r>
            <w:r w:rsidRPr="005408D0">
              <w:rPr>
                <w:rFonts w:cstheme="minorHAnsi"/>
              </w:rPr>
              <w:t xml:space="preserve">Public health competencies are typically reinforced during community service activities; thus, this is an indirect, or proxy measure, for the learning objective. MPH students are encouraged to engage in service beyond curricular/program requirements. </w:t>
            </w:r>
          </w:p>
        </w:tc>
      </w:tr>
      <w:tr w:rsidR="002A2AE8" w:rsidRPr="005408D0" w:rsidTr="002A2AE8">
        <w:tc>
          <w:tcPr>
            <w:tcW w:w="2875" w:type="dxa"/>
            <w:tcBorders>
              <w:left w:val="single" w:sz="4" w:space="0" w:color="auto"/>
            </w:tcBorders>
            <w:shd w:val="clear" w:color="auto" w:fill="auto"/>
            <w:tcMar>
              <w:top w:w="100" w:type="nil"/>
              <w:right w:w="100" w:type="nil"/>
            </w:tcMar>
          </w:tcPr>
          <w:p w:rsidR="002A2AE8" w:rsidRPr="005408D0" w:rsidRDefault="002A2AE8" w:rsidP="002A2AE8">
            <w:pPr>
              <w:widowControl w:val="0"/>
              <w:autoSpaceDE w:val="0"/>
              <w:autoSpaceDN w:val="0"/>
              <w:adjustRightInd w:val="0"/>
              <w:rPr>
                <w:rFonts w:cstheme="minorHAnsi"/>
                <w:b/>
                <w:bCs/>
              </w:rPr>
            </w:pPr>
            <w:r w:rsidRPr="005408D0">
              <w:rPr>
                <w:rFonts w:cstheme="minorHAnsi"/>
                <w:b/>
                <w:bCs/>
              </w:rPr>
              <w:t>Criteria for Student Success</w:t>
            </w:r>
          </w:p>
          <w:p w:rsidR="002A2AE8" w:rsidRPr="005408D0" w:rsidRDefault="002A2AE8" w:rsidP="002A2AE8">
            <w:pPr>
              <w:widowControl w:val="0"/>
              <w:autoSpaceDE w:val="0"/>
              <w:autoSpaceDN w:val="0"/>
              <w:adjustRightInd w:val="0"/>
              <w:rPr>
                <w:rFonts w:cstheme="minorHAnsi"/>
                <w:b/>
                <w:bCs/>
              </w:rPr>
            </w:pPr>
          </w:p>
        </w:tc>
        <w:tc>
          <w:tcPr>
            <w:tcW w:w="11520" w:type="dxa"/>
            <w:gridSpan w:val="5"/>
            <w:tcBorders>
              <w:right w:val="single" w:sz="4" w:space="0" w:color="auto"/>
            </w:tcBorders>
            <w:shd w:val="clear" w:color="auto" w:fill="auto"/>
          </w:tcPr>
          <w:p w:rsidR="002A2AE8" w:rsidRPr="005408D0" w:rsidRDefault="002A2AE8" w:rsidP="002A2AE8">
            <w:pPr>
              <w:widowControl w:val="0"/>
              <w:autoSpaceDE w:val="0"/>
              <w:autoSpaceDN w:val="0"/>
              <w:adjustRightInd w:val="0"/>
              <w:rPr>
                <w:rFonts w:cstheme="minorHAnsi"/>
              </w:rPr>
            </w:pPr>
            <w:r w:rsidRPr="005408D0">
              <w:rPr>
                <w:rFonts w:cstheme="minorHAnsi"/>
              </w:rPr>
              <w:t>Students self-report that they engage in extra-curricular service activities related to public health during MPH program.</w:t>
            </w:r>
          </w:p>
        </w:tc>
      </w:tr>
      <w:tr w:rsidR="002A2AE8" w:rsidRPr="005408D0" w:rsidTr="002A2AE8">
        <w:tc>
          <w:tcPr>
            <w:tcW w:w="2875" w:type="dxa"/>
            <w:tcBorders>
              <w:left w:val="single" w:sz="4" w:space="0" w:color="auto"/>
            </w:tcBorders>
            <w:shd w:val="clear" w:color="auto" w:fill="auto"/>
            <w:tcMar>
              <w:top w:w="100" w:type="nil"/>
              <w:right w:w="100" w:type="nil"/>
            </w:tcMar>
          </w:tcPr>
          <w:p w:rsidR="002A2AE8" w:rsidRPr="005408D0" w:rsidRDefault="002A2AE8" w:rsidP="002A2AE8">
            <w:pPr>
              <w:widowControl w:val="0"/>
              <w:autoSpaceDE w:val="0"/>
              <w:autoSpaceDN w:val="0"/>
              <w:adjustRightInd w:val="0"/>
              <w:rPr>
                <w:rFonts w:cstheme="minorHAnsi"/>
                <w:b/>
              </w:rPr>
            </w:pPr>
            <w:r w:rsidRPr="005408D0">
              <w:rPr>
                <w:rFonts w:cstheme="minorHAnsi"/>
                <w:b/>
              </w:rPr>
              <w:t>Program Success Target for this Measurement</w:t>
            </w:r>
          </w:p>
          <w:p w:rsidR="002A2AE8" w:rsidRPr="005408D0" w:rsidRDefault="002A2AE8" w:rsidP="002A2AE8">
            <w:pPr>
              <w:widowControl w:val="0"/>
              <w:autoSpaceDE w:val="0"/>
              <w:autoSpaceDN w:val="0"/>
              <w:adjustRightInd w:val="0"/>
              <w:rPr>
                <w:rFonts w:cstheme="minorHAnsi"/>
                <w:b/>
              </w:rPr>
            </w:pPr>
          </w:p>
        </w:tc>
        <w:tc>
          <w:tcPr>
            <w:tcW w:w="5400" w:type="dxa"/>
            <w:shd w:val="clear" w:color="auto" w:fill="auto"/>
          </w:tcPr>
          <w:p w:rsidR="002A2AE8" w:rsidRPr="005408D0" w:rsidRDefault="002A2AE8" w:rsidP="002A2AE8">
            <w:pPr>
              <w:widowControl w:val="0"/>
              <w:autoSpaceDE w:val="0"/>
              <w:autoSpaceDN w:val="0"/>
              <w:adjustRightInd w:val="0"/>
              <w:rPr>
                <w:rFonts w:cstheme="minorHAnsi"/>
              </w:rPr>
            </w:pPr>
            <w:r w:rsidRPr="005408D0">
              <w:rPr>
                <w:rFonts w:cstheme="minorHAnsi"/>
              </w:rPr>
              <w:t>50% of graduates</w:t>
            </w:r>
          </w:p>
        </w:tc>
        <w:tc>
          <w:tcPr>
            <w:tcW w:w="3870" w:type="dxa"/>
            <w:gridSpan w:val="2"/>
            <w:shd w:val="clear" w:color="auto" w:fill="auto"/>
          </w:tcPr>
          <w:p w:rsidR="002A2AE8" w:rsidRPr="005408D0" w:rsidRDefault="002A2AE8" w:rsidP="002A2AE8">
            <w:pPr>
              <w:widowControl w:val="0"/>
              <w:autoSpaceDE w:val="0"/>
              <w:autoSpaceDN w:val="0"/>
              <w:adjustRightInd w:val="0"/>
              <w:jc w:val="right"/>
              <w:rPr>
                <w:rFonts w:cstheme="minorHAnsi"/>
                <w:b/>
              </w:rPr>
            </w:pPr>
            <w:r w:rsidRPr="005408D0">
              <w:rPr>
                <w:rFonts w:cstheme="minorHAnsi"/>
                <w:b/>
              </w:rPr>
              <w:t>Percent of Program Achieving Target</w:t>
            </w:r>
          </w:p>
        </w:tc>
        <w:tc>
          <w:tcPr>
            <w:tcW w:w="2250" w:type="dxa"/>
            <w:gridSpan w:val="2"/>
            <w:tcBorders>
              <w:right w:val="single" w:sz="4" w:space="0" w:color="auto"/>
            </w:tcBorders>
            <w:shd w:val="clear" w:color="auto" w:fill="auto"/>
          </w:tcPr>
          <w:p w:rsidR="002A2AE8" w:rsidRPr="005408D0" w:rsidRDefault="002A2AE8" w:rsidP="002A2AE8">
            <w:pPr>
              <w:widowControl w:val="0"/>
              <w:autoSpaceDE w:val="0"/>
              <w:autoSpaceDN w:val="0"/>
              <w:adjustRightInd w:val="0"/>
              <w:jc w:val="center"/>
              <w:rPr>
                <w:rFonts w:cstheme="minorHAnsi"/>
              </w:rPr>
            </w:pPr>
            <w:r w:rsidRPr="005408D0">
              <w:rPr>
                <w:rFonts w:cstheme="minorHAnsi"/>
              </w:rPr>
              <w:t xml:space="preserve">94.7% </w:t>
            </w:r>
          </w:p>
        </w:tc>
      </w:tr>
      <w:tr w:rsidR="002A2AE8" w:rsidRPr="005408D0" w:rsidTr="002A2AE8">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rsidR="002A2AE8" w:rsidRPr="005408D0" w:rsidRDefault="002A2AE8" w:rsidP="002A2AE8">
            <w:pPr>
              <w:widowControl w:val="0"/>
              <w:autoSpaceDE w:val="0"/>
              <w:autoSpaceDN w:val="0"/>
              <w:adjustRightInd w:val="0"/>
              <w:rPr>
                <w:rFonts w:cstheme="minorHAnsi"/>
                <w:b/>
              </w:rPr>
            </w:pPr>
            <w:r w:rsidRPr="005408D0">
              <w:rPr>
                <w:rFonts w:cstheme="minorHAnsi"/>
                <w:b/>
              </w:rPr>
              <w:t>Methods</w:t>
            </w:r>
          </w:p>
          <w:p w:rsidR="002A2AE8" w:rsidRPr="005408D0" w:rsidRDefault="002A2AE8" w:rsidP="002A2AE8">
            <w:pPr>
              <w:widowControl w:val="0"/>
              <w:autoSpaceDE w:val="0"/>
              <w:autoSpaceDN w:val="0"/>
              <w:adjustRightInd w:val="0"/>
              <w:rPr>
                <w:rFonts w:cstheme="minorHAnsi"/>
                <w:b/>
              </w:rPr>
            </w:pPr>
          </w:p>
        </w:tc>
        <w:tc>
          <w:tcPr>
            <w:tcW w:w="11520" w:type="dxa"/>
            <w:gridSpan w:val="5"/>
            <w:tcBorders>
              <w:left w:val="single" w:sz="4" w:space="0" w:color="auto"/>
              <w:bottom w:val="single" w:sz="4" w:space="0" w:color="auto"/>
              <w:right w:val="single" w:sz="4" w:space="0" w:color="auto"/>
            </w:tcBorders>
            <w:shd w:val="clear" w:color="auto" w:fill="auto"/>
          </w:tcPr>
          <w:p w:rsidR="002A2AE8" w:rsidRPr="005408D0" w:rsidRDefault="002A2AE8" w:rsidP="002A2AE8">
            <w:pPr>
              <w:widowControl w:val="0"/>
              <w:autoSpaceDE w:val="0"/>
              <w:autoSpaceDN w:val="0"/>
              <w:adjustRightInd w:val="0"/>
              <w:rPr>
                <w:rFonts w:cstheme="minorHAnsi"/>
              </w:rPr>
            </w:pPr>
            <w:r w:rsidRPr="005408D0">
              <w:rPr>
                <w:rFonts w:cstheme="minorHAnsi"/>
              </w:rPr>
              <w:t>Census of graduating students take mandatory MPH exit survey through Qualtrics. System identifies who has completed the survey, but responses are not linked to the respondents. Results are analyzed descriptively (frequency, central tendency) and compared to target.</w:t>
            </w:r>
          </w:p>
        </w:tc>
      </w:tr>
      <w:tr w:rsidR="002A2AE8" w:rsidRPr="005408D0" w:rsidTr="002A2AE8">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rsidR="002A2AE8" w:rsidRPr="005408D0" w:rsidRDefault="002A2AE8" w:rsidP="002A2AE8">
            <w:pPr>
              <w:widowControl w:val="0"/>
              <w:autoSpaceDE w:val="0"/>
              <w:autoSpaceDN w:val="0"/>
              <w:adjustRightInd w:val="0"/>
              <w:rPr>
                <w:rFonts w:cstheme="minorHAnsi"/>
                <w:b/>
              </w:rPr>
            </w:pPr>
            <w:r w:rsidRPr="005408D0">
              <w:rPr>
                <w:rFonts w:cstheme="minorHAnsi"/>
                <w:b/>
              </w:rPr>
              <w:t>Measurement Instrument 3</w:t>
            </w:r>
          </w:p>
          <w:p w:rsidR="002A2AE8" w:rsidRPr="005408D0" w:rsidRDefault="002A2AE8" w:rsidP="002A2AE8">
            <w:pPr>
              <w:widowControl w:val="0"/>
              <w:autoSpaceDE w:val="0"/>
              <w:autoSpaceDN w:val="0"/>
              <w:adjustRightInd w:val="0"/>
              <w:rPr>
                <w:rFonts w:cstheme="minorHAnsi"/>
                <w:b/>
              </w:rPr>
            </w:pPr>
          </w:p>
        </w:tc>
        <w:tc>
          <w:tcPr>
            <w:tcW w:w="11520" w:type="dxa"/>
            <w:gridSpan w:val="5"/>
            <w:tcBorders>
              <w:left w:val="single" w:sz="4" w:space="0" w:color="auto"/>
              <w:bottom w:val="single" w:sz="4" w:space="0" w:color="auto"/>
              <w:right w:val="single" w:sz="4" w:space="0" w:color="auto"/>
            </w:tcBorders>
            <w:shd w:val="pct12" w:color="auto" w:fill="auto"/>
          </w:tcPr>
          <w:p w:rsidR="002A2AE8" w:rsidRPr="005408D0" w:rsidRDefault="002A2AE8" w:rsidP="002A2AE8">
            <w:pPr>
              <w:widowControl w:val="0"/>
              <w:autoSpaceDE w:val="0"/>
              <w:autoSpaceDN w:val="0"/>
              <w:adjustRightInd w:val="0"/>
              <w:rPr>
                <w:rFonts w:cstheme="minorHAnsi"/>
                <w:b/>
              </w:rPr>
            </w:pPr>
            <w:r w:rsidRPr="005408D0">
              <w:rPr>
                <w:rFonts w:cstheme="minorHAnsi"/>
                <w:u w:val="single"/>
              </w:rPr>
              <w:t>Applied Practice Experience Reflections</w:t>
            </w:r>
            <w:r w:rsidRPr="005408D0">
              <w:rPr>
                <w:rFonts w:cstheme="minorHAnsi"/>
              </w:rPr>
              <w:t xml:space="preserve">. Students complete 100 hours </w:t>
            </w:r>
            <w:r>
              <w:rPr>
                <w:rFonts w:cstheme="minorHAnsi"/>
              </w:rPr>
              <w:t xml:space="preserve">of applied practice </w:t>
            </w:r>
            <w:r w:rsidRPr="005408D0">
              <w:rPr>
                <w:rFonts w:cstheme="minorHAnsi"/>
              </w:rPr>
              <w:t xml:space="preserve">that involves substantial interaction with public health/related practitioners. </w:t>
            </w:r>
            <w:r>
              <w:rPr>
                <w:rFonts w:cstheme="minorHAnsi"/>
              </w:rPr>
              <w:t xml:space="preserve">These hours may be completed in a single experience, such as an internship, or in multiple experiences. To get credit, students must submit a summary report at the conclusion of each applied experience, in which students </w:t>
            </w:r>
            <w:r w:rsidRPr="005408D0">
              <w:rPr>
                <w:rFonts w:cstheme="minorHAnsi"/>
              </w:rPr>
              <w:t>reflect</w:t>
            </w:r>
            <w:r>
              <w:rPr>
                <w:rFonts w:cstheme="minorHAnsi"/>
              </w:rPr>
              <w:t xml:space="preserve"> on the experience and </w:t>
            </w:r>
            <w:r w:rsidRPr="005408D0">
              <w:rPr>
                <w:rFonts w:cstheme="minorHAnsi"/>
              </w:rPr>
              <w:t>the competencies applied/</w:t>
            </w:r>
            <w:r>
              <w:rPr>
                <w:rFonts w:cstheme="minorHAnsi"/>
              </w:rPr>
              <w:t>developed.</w:t>
            </w:r>
          </w:p>
        </w:tc>
      </w:tr>
      <w:tr w:rsidR="002A2AE8" w:rsidRPr="005408D0" w:rsidTr="002A2AE8">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rsidR="002A2AE8" w:rsidRPr="005408D0" w:rsidRDefault="002A2AE8" w:rsidP="002A2AE8">
            <w:pPr>
              <w:widowControl w:val="0"/>
              <w:autoSpaceDE w:val="0"/>
              <w:autoSpaceDN w:val="0"/>
              <w:adjustRightInd w:val="0"/>
              <w:rPr>
                <w:rFonts w:cstheme="minorHAnsi"/>
                <w:b/>
              </w:rPr>
            </w:pPr>
            <w:r w:rsidRPr="005408D0">
              <w:rPr>
                <w:rFonts w:cstheme="minorHAnsi"/>
                <w:b/>
              </w:rPr>
              <w:t>Criteria for Student Success</w:t>
            </w:r>
          </w:p>
          <w:p w:rsidR="002A2AE8" w:rsidRPr="005408D0" w:rsidRDefault="002A2AE8" w:rsidP="002A2AE8">
            <w:pPr>
              <w:widowControl w:val="0"/>
              <w:autoSpaceDE w:val="0"/>
              <w:autoSpaceDN w:val="0"/>
              <w:adjustRightInd w:val="0"/>
              <w:rPr>
                <w:rFonts w:cstheme="minorHAnsi"/>
                <w:b/>
              </w:rPr>
            </w:pPr>
          </w:p>
        </w:tc>
        <w:tc>
          <w:tcPr>
            <w:tcW w:w="11520" w:type="dxa"/>
            <w:gridSpan w:val="5"/>
            <w:tcBorders>
              <w:left w:val="single" w:sz="4" w:space="0" w:color="auto"/>
              <w:bottom w:val="single" w:sz="4" w:space="0" w:color="auto"/>
              <w:right w:val="single" w:sz="4" w:space="0" w:color="auto"/>
            </w:tcBorders>
            <w:shd w:val="pct12" w:color="auto" w:fill="auto"/>
          </w:tcPr>
          <w:p w:rsidR="002A2AE8" w:rsidRPr="005408D0" w:rsidRDefault="002A2AE8" w:rsidP="002A2AE8">
            <w:pPr>
              <w:widowControl w:val="0"/>
              <w:autoSpaceDE w:val="0"/>
              <w:autoSpaceDN w:val="0"/>
              <w:adjustRightInd w:val="0"/>
              <w:rPr>
                <w:rFonts w:cstheme="minorHAnsi"/>
              </w:rPr>
            </w:pPr>
            <w:r w:rsidRPr="005408D0">
              <w:rPr>
                <w:rFonts w:cstheme="minorHAnsi"/>
              </w:rPr>
              <w:t>Students clearly identify competencies applied during their applied practice experience hours in their reflections.</w:t>
            </w:r>
          </w:p>
        </w:tc>
      </w:tr>
      <w:tr w:rsidR="002A2AE8" w:rsidRPr="005408D0" w:rsidTr="002A2AE8">
        <w:tc>
          <w:tcPr>
            <w:tcW w:w="2875" w:type="dxa"/>
            <w:tcBorders>
              <w:top w:val="single" w:sz="4" w:space="0" w:color="auto"/>
            </w:tcBorders>
            <w:shd w:val="pct12" w:color="auto" w:fill="auto"/>
            <w:tcMar>
              <w:top w:w="100" w:type="nil"/>
              <w:right w:w="100" w:type="nil"/>
            </w:tcMar>
          </w:tcPr>
          <w:p w:rsidR="002A2AE8" w:rsidRPr="005408D0" w:rsidRDefault="002A2AE8" w:rsidP="002A2AE8">
            <w:pPr>
              <w:widowControl w:val="0"/>
              <w:autoSpaceDE w:val="0"/>
              <w:autoSpaceDN w:val="0"/>
              <w:adjustRightInd w:val="0"/>
              <w:rPr>
                <w:rFonts w:cstheme="minorHAnsi"/>
                <w:b/>
              </w:rPr>
            </w:pPr>
            <w:r w:rsidRPr="005408D0">
              <w:rPr>
                <w:rFonts w:cstheme="minorHAnsi"/>
                <w:b/>
              </w:rPr>
              <w:t>Program Success Target for this Measurement</w:t>
            </w:r>
          </w:p>
          <w:p w:rsidR="002A2AE8" w:rsidRPr="005408D0" w:rsidRDefault="002A2AE8" w:rsidP="002A2AE8">
            <w:pPr>
              <w:widowControl w:val="0"/>
              <w:autoSpaceDE w:val="0"/>
              <w:autoSpaceDN w:val="0"/>
              <w:adjustRightInd w:val="0"/>
              <w:rPr>
                <w:rFonts w:cstheme="minorHAnsi"/>
                <w:b/>
                <w:bCs/>
              </w:rPr>
            </w:pPr>
          </w:p>
        </w:tc>
        <w:tc>
          <w:tcPr>
            <w:tcW w:w="5400" w:type="dxa"/>
            <w:tcBorders>
              <w:top w:val="single" w:sz="4" w:space="0" w:color="auto"/>
            </w:tcBorders>
            <w:shd w:val="pct12" w:color="auto" w:fill="auto"/>
          </w:tcPr>
          <w:p w:rsidR="002A2AE8" w:rsidRPr="005408D0" w:rsidRDefault="002A2AE8" w:rsidP="002A2AE8">
            <w:pPr>
              <w:widowControl w:val="0"/>
              <w:autoSpaceDE w:val="0"/>
              <w:autoSpaceDN w:val="0"/>
              <w:adjustRightInd w:val="0"/>
              <w:rPr>
                <w:rFonts w:cstheme="minorHAnsi"/>
              </w:rPr>
            </w:pPr>
            <w:r w:rsidRPr="005408D0">
              <w:rPr>
                <w:rFonts w:cstheme="minorHAnsi"/>
              </w:rPr>
              <w:t>70%</w:t>
            </w:r>
          </w:p>
        </w:tc>
        <w:tc>
          <w:tcPr>
            <w:tcW w:w="3870" w:type="dxa"/>
            <w:gridSpan w:val="2"/>
            <w:tcBorders>
              <w:top w:val="single" w:sz="4" w:space="0" w:color="auto"/>
            </w:tcBorders>
            <w:shd w:val="pct12" w:color="auto" w:fill="auto"/>
          </w:tcPr>
          <w:p w:rsidR="002A2AE8" w:rsidRPr="005408D0" w:rsidRDefault="002A2AE8" w:rsidP="002A2AE8">
            <w:pPr>
              <w:widowControl w:val="0"/>
              <w:autoSpaceDE w:val="0"/>
              <w:autoSpaceDN w:val="0"/>
              <w:adjustRightInd w:val="0"/>
              <w:rPr>
                <w:rFonts w:cstheme="minorHAnsi"/>
                <w:b/>
              </w:rPr>
            </w:pPr>
            <w:r w:rsidRPr="005408D0">
              <w:rPr>
                <w:rFonts w:cstheme="minorHAnsi"/>
                <w:b/>
              </w:rPr>
              <w:t>Program Success Target for this Measurement</w:t>
            </w:r>
          </w:p>
          <w:p w:rsidR="002A2AE8" w:rsidRPr="005408D0" w:rsidRDefault="002A2AE8" w:rsidP="002A2AE8">
            <w:pPr>
              <w:widowControl w:val="0"/>
              <w:autoSpaceDE w:val="0"/>
              <w:autoSpaceDN w:val="0"/>
              <w:adjustRightInd w:val="0"/>
              <w:rPr>
                <w:rFonts w:cstheme="minorHAnsi"/>
                <w:b/>
              </w:rPr>
            </w:pPr>
          </w:p>
        </w:tc>
        <w:tc>
          <w:tcPr>
            <w:tcW w:w="2250" w:type="dxa"/>
            <w:gridSpan w:val="2"/>
            <w:tcBorders>
              <w:top w:val="single" w:sz="4" w:space="0" w:color="auto"/>
            </w:tcBorders>
            <w:shd w:val="pct12" w:color="auto" w:fill="auto"/>
          </w:tcPr>
          <w:p w:rsidR="002A2AE8" w:rsidRPr="005408D0" w:rsidRDefault="002A2AE8" w:rsidP="002A2AE8">
            <w:pPr>
              <w:widowControl w:val="0"/>
              <w:autoSpaceDE w:val="0"/>
              <w:autoSpaceDN w:val="0"/>
              <w:adjustRightInd w:val="0"/>
              <w:rPr>
                <w:rFonts w:cstheme="minorHAnsi"/>
              </w:rPr>
            </w:pPr>
            <w:r w:rsidRPr="005408D0">
              <w:rPr>
                <w:rFonts w:cstheme="minorHAnsi"/>
              </w:rPr>
              <w:t>94%</w:t>
            </w:r>
          </w:p>
        </w:tc>
      </w:tr>
      <w:tr w:rsidR="002A2AE8" w:rsidRPr="005408D0" w:rsidTr="002A2AE8">
        <w:tc>
          <w:tcPr>
            <w:tcW w:w="2875" w:type="dxa"/>
            <w:tcBorders>
              <w:top w:val="single" w:sz="4" w:space="0" w:color="auto"/>
              <w:bottom w:val="single" w:sz="4" w:space="0" w:color="auto"/>
            </w:tcBorders>
            <w:shd w:val="pct12" w:color="auto" w:fill="auto"/>
            <w:tcMar>
              <w:top w:w="100" w:type="nil"/>
              <w:right w:w="100" w:type="nil"/>
            </w:tcMar>
          </w:tcPr>
          <w:p w:rsidR="002A2AE8" w:rsidRPr="005408D0" w:rsidRDefault="002A2AE8" w:rsidP="002A2AE8">
            <w:pPr>
              <w:widowControl w:val="0"/>
              <w:autoSpaceDE w:val="0"/>
              <w:autoSpaceDN w:val="0"/>
              <w:adjustRightInd w:val="0"/>
              <w:rPr>
                <w:rFonts w:cstheme="minorHAnsi"/>
                <w:b/>
              </w:rPr>
            </w:pPr>
            <w:r w:rsidRPr="005408D0">
              <w:rPr>
                <w:rFonts w:cstheme="minorHAnsi"/>
                <w:b/>
              </w:rPr>
              <w:t>Methods</w:t>
            </w:r>
          </w:p>
          <w:p w:rsidR="002A2AE8" w:rsidRPr="005408D0" w:rsidRDefault="002A2AE8" w:rsidP="002A2AE8">
            <w:pPr>
              <w:widowControl w:val="0"/>
              <w:autoSpaceDE w:val="0"/>
              <w:autoSpaceDN w:val="0"/>
              <w:adjustRightInd w:val="0"/>
              <w:rPr>
                <w:rFonts w:cstheme="minorHAnsi"/>
                <w:b/>
              </w:rPr>
            </w:pPr>
          </w:p>
          <w:p w:rsidR="002A2AE8" w:rsidRPr="005408D0" w:rsidRDefault="002A2AE8" w:rsidP="002A2AE8">
            <w:pPr>
              <w:widowControl w:val="0"/>
              <w:autoSpaceDE w:val="0"/>
              <w:autoSpaceDN w:val="0"/>
              <w:adjustRightInd w:val="0"/>
              <w:rPr>
                <w:rFonts w:cstheme="minorHAnsi"/>
                <w:b/>
              </w:rPr>
            </w:pPr>
          </w:p>
          <w:p w:rsidR="002A2AE8" w:rsidRPr="005408D0" w:rsidRDefault="002A2AE8" w:rsidP="002A2AE8">
            <w:pPr>
              <w:widowControl w:val="0"/>
              <w:autoSpaceDE w:val="0"/>
              <w:autoSpaceDN w:val="0"/>
              <w:adjustRightInd w:val="0"/>
              <w:rPr>
                <w:rFonts w:cstheme="minorHAnsi"/>
                <w:b/>
              </w:rPr>
            </w:pPr>
          </w:p>
        </w:tc>
        <w:tc>
          <w:tcPr>
            <w:tcW w:w="11520" w:type="dxa"/>
            <w:gridSpan w:val="5"/>
            <w:tcBorders>
              <w:top w:val="single" w:sz="4" w:space="0" w:color="auto"/>
              <w:bottom w:val="single" w:sz="4" w:space="0" w:color="auto"/>
            </w:tcBorders>
            <w:shd w:val="pct12" w:color="auto" w:fill="auto"/>
          </w:tcPr>
          <w:p w:rsidR="002A2AE8" w:rsidRPr="005408D0" w:rsidRDefault="002A2AE8" w:rsidP="002A2AE8">
            <w:pPr>
              <w:widowControl w:val="0"/>
              <w:autoSpaceDE w:val="0"/>
              <w:autoSpaceDN w:val="0"/>
              <w:adjustRightInd w:val="0"/>
              <w:rPr>
                <w:rFonts w:cstheme="minorHAnsi"/>
              </w:rPr>
            </w:pPr>
            <w:r>
              <w:rPr>
                <w:rFonts w:cstheme="minorHAnsi"/>
              </w:rPr>
              <w:lastRenderedPageBreak/>
              <w:t>Upon submission, the summary report is checked for completeness and alignment between activities and competencies. Once approved, the summary report is added to the student’s</w:t>
            </w:r>
            <w:r w:rsidRPr="005408D0">
              <w:rPr>
                <w:rFonts w:cstheme="minorHAnsi"/>
              </w:rPr>
              <w:t xml:space="preserve"> file</w:t>
            </w:r>
            <w:r>
              <w:rPr>
                <w:rFonts w:cstheme="minorHAnsi"/>
              </w:rPr>
              <w:t xml:space="preserve">/portfolio and the hours are awarded. A running tally of hours is housed in the gradebook of the MPH Student organizational site on Blackboard. </w:t>
            </w:r>
            <w:r w:rsidRPr="005408D0">
              <w:rPr>
                <w:rFonts w:cstheme="minorHAnsi"/>
              </w:rPr>
              <w:t xml:space="preserve">Prior to graduation, an audit is conducted on </w:t>
            </w:r>
            <w:r w:rsidRPr="005408D0">
              <w:rPr>
                <w:rFonts w:cstheme="minorHAnsi"/>
              </w:rPr>
              <w:lastRenderedPageBreak/>
              <w:t xml:space="preserve">each graduate’s </w:t>
            </w:r>
            <w:r>
              <w:rPr>
                <w:rFonts w:cstheme="minorHAnsi"/>
              </w:rPr>
              <w:t>file and the competencies met are abstracted.</w:t>
            </w:r>
          </w:p>
        </w:tc>
      </w:tr>
      <w:tr w:rsidR="002A2AE8" w:rsidRPr="005408D0" w:rsidTr="002A2AE8">
        <w:tc>
          <w:tcPr>
            <w:tcW w:w="12145" w:type="dxa"/>
            <w:gridSpan w:val="4"/>
            <w:tcBorders>
              <w:top w:val="single" w:sz="4" w:space="0" w:color="auto"/>
              <w:bottom w:val="single" w:sz="4" w:space="0" w:color="auto"/>
            </w:tcBorders>
            <w:shd w:val="clear" w:color="auto" w:fill="auto"/>
            <w:tcMar>
              <w:top w:w="100" w:type="nil"/>
              <w:right w:w="100" w:type="nil"/>
            </w:tcMar>
          </w:tcPr>
          <w:p w:rsidR="002A2AE8" w:rsidRPr="005408D0" w:rsidRDefault="002A2AE8" w:rsidP="002A2AE8">
            <w:pPr>
              <w:widowControl w:val="0"/>
              <w:autoSpaceDE w:val="0"/>
              <w:autoSpaceDN w:val="0"/>
              <w:adjustRightInd w:val="0"/>
              <w:rPr>
                <w:rFonts w:cstheme="minorHAnsi"/>
                <w:b/>
                <w:bCs/>
              </w:rPr>
            </w:pPr>
            <w:r w:rsidRPr="005408D0">
              <w:rPr>
                <w:rFonts w:cstheme="minorHAnsi"/>
                <w:b/>
                <w:bCs/>
              </w:rPr>
              <w:t>Based on your results, circle or highlight whether the program met the goal Student Learning Outcome 2.</w:t>
            </w:r>
          </w:p>
          <w:p w:rsidR="002A2AE8" w:rsidRPr="005408D0" w:rsidRDefault="002A2AE8" w:rsidP="002A2AE8">
            <w:pPr>
              <w:widowControl w:val="0"/>
              <w:autoSpaceDE w:val="0"/>
              <w:autoSpaceDN w:val="0"/>
              <w:adjustRightInd w:val="0"/>
              <w:rPr>
                <w:rFonts w:cstheme="minorHAnsi"/>
                <w:b/>
              </w:rPr>
            </w:pPr>
            <w:r w:rsidRPr="005408D0">
              <w:rPr>
                <w:rFonts w:cstheme="minorHAnsi"/>
                <w:b/>
              </w:rPr>
              <w:t xml:space="preserve"> </w:t>
            </w:r>
          </w:p>
        </w:tc>
        <w:tc>
          <w:tcPr>
            <w:tcW w:w="1080" w:type="dxa"/>
            <w:tcBorders>
              <w:top w:val="single" w:sz="4" w:space="0" w:color="auto"/>
              <w:bottom w:val="single" w:sz="4" w:space="0" w:color="auto"/>
            </w:tcBorders>
            <w:shd w:val="clear" w:color="auto" w:fill="auto"/>
            <w:vAlign w:val="center"/>
          </w:tcPr>
          <w:p w:rsidR="002A2AE8" w:rsidRPr="005408D0" w:rsidRDefault="002A2AE8" w:rsidP="002A2AE8">
            <w:pPr>
              <w:widowControl w:val="0"/>
              <w:autoSpaceDE w:val="0"/>
              <w:autoSpaceDN w:val="0"/>
              <w:adjustRightInd w:val="0"/>
              <w:jc w:val="center"/>
              <w:rPr>
                <w:rFonts w:cstheme="minorHAnsi"/>
                <w:b/>
              </w:rPr>
            </w:pPr>
            <w:r w:rsidRPr="005408D0">
              <w:rPr>
                <w:rFonts w:cstheme="minorHAnsi"/>
                <w:b/>
                <w:highlight w:val="yellow"/>
              </w:rPr>
              <w:t>Met</w:t>
            </w:r>
          </w:p>
        </w:tc>
        <w:tc>
          <w:tcPr>
            <w:tcW w:w="1170" w:type="dxa"/>
            <w:tcBorders>
              <w:top w:val="single" w:sz="4" w:space="0" w:color="auto"/>
              <w:bottom w:val="single" w:sz="4" w:space="0" w:color="auto"/>
            </w:tcBorders>
            <w:shd w:val="clear" w:color="auto" w:fill="auto"/>
            <w:vAlign w:val="center"/>
          </w:tcPr>
          <w:p w:rsidR="002A2AE8" w:rsidRPr="005408D0" w:rsidRDefault="002A2AE8" w:rsidP="002A2AE8">
            <w:pPr>
              <w:widowControl w:val="0"/>
              <w:autoSpaceDE w:val="0"/>
              <w:autoSpaceDN w:val="0"/>
              <w:adjustRightInd w:val="0"/>
              <w:jc w:val="center"/>
              <w:rPr>
                <w:rFonts w:cstheme="minorHAnsi"/>
                <w:b/>
              </w:rPr>
            </w:pPr>
            <w:r w:rsidRPr="005408D0">
              <w:rPr>
                <w:rFonts w:cstheme="minorHAnsi"/>
                <w:b/>
              </w:rPr>
              <w:t>Not Met</w:t>
            </w:r>
          </w:p>
        </w:tc>
      </w:tr>
      <w:tr w:rsidR="002A2AE8" w:rsidRPr="005408D0" w:rsidTr="002A2AE8">
        <w:tc>
          <w:tcPr>
            <w:tcW w:w="14395" w:type="dxa"/>
            <w:gridSpan w:val="6"/>
            <w:shd w:val="pct12" w:color="auto" w:fill="auto"/>
            <w:tcMar>
              <w:top w:w="100" w:type="nil"/>
              <w:right w:w="100" w:type="nil"/>
            </w:tcMar>
          </w:tcPr>
          <w:p w:rsidR="002A2AE8" w:rsidRPr="005408D0" w:rsidRDefault="002A2AE8" w:rsidP="002A2AE8">
            <w:pPr>
              <w:widowControl w:val="0"/>
              <w:autoSpaceDE w:val="0"/>
              <w:autoSpaceDN w:val="0"/>
              <w:adjustRightInd w:val="0"/>
              <w:rPr>
                <w:rFonts w:cstheme="minorHAnsi"/>
                <w:b/>
              </w:rPr>
            </w:pPr>
            <w:r w:rsidRPr="005408D0">
              <w:rPr>
                <w:rFonts w:cstheme="minorHAnsi"/>
                <w:b/>
              </w:rPr>
              <w:t xml:space="preserve">Actions </w:t>
            </w:r>
            <w:r w:rsidRPr="005408D0">
              <w:rPr>
                <w:rFonts w:cstheme="minorHAnsi"/>
              </w:rPr>
              <w:t>(Describe the decision-making process and actions planned for program improvement.  The actions should include a timeline.)</w:t>
            </w:r>
          </w:p>
        </w:tc>
      </w:tr>
      <w:tr w:rsidR="002A2AE8" w:rsidRPr="005408D0" w:rsidTr="002A2AE8">
        <w:trPr>
          <w:trHeight w:val="1340"/>
        </w:trPr>
        <w:tc>
          <w:tcPr>
            <w:tcW w:w="14395" w:type="dxa"/>
            <w:gridSpan w:val="6"/>
            <w:shd w:val="pct12" w:color="auto" w:fill="auto"/>
            <w:tcMar>
              <w:top w:w="100" w:type="nil"/>
              <w:right w:w="100" w:type="nil"/>
            </w:tcMar>
          </w:tcPr>
          <w:p w:rsidR="002A2AE8" w:rsidRPr="005408D0" w:rsidRDefault="002A2AE8" w:rsidP="002A2AE8">
            <w:pPr>
              <w:jc w:val="both"/>
              <w:rPr>
                <w:rFonts w:cstheme="minorHAnsi"/>
              </w:rPr>
            </w:pPr>
            <w:r w:rsidRPr="005408D0">
              <w:rPr>
                <w:rFonts w:cstheme="minorHAnsi"/>
                <w:b/>
              </w:rPr>
              <w:t>Develop handbook for applied practice experiences.</w:t>
            </w:r>
            <w:r w:rsidRPr="005408D0">
              <w:rPr>
                <w:rFonts w:cstheme="minorHAnsi"/>
              </w:rPr>
              <w:t xml:space="preserve"> Currently, the information is provided on the MPH Student organization site on Blackboard. Feedback from students indicate that a more detailed handbook with examples would be helpful.</w:t>
            </w:r>
          </w:p>
          <w:p w:rsidR="002A2AE8" w:rsidRPr="005408D0" w:rsidRDefault="002A2AE8" w:rsidP="002A2AE8">
            <w:pPr>
              <w:jc w:val="both"/>
              <w:rPr>
                <w:rFonts w:cstheme="minorHAnsi"/>
              </w:rPr>
            </w:pPr>
            <w:r w:rsidRPr="005408D0">
              <w:rPr>
                <w:rFonts w:cstheme="minorHAnsi"/>
                <w:b/>
              </w:rPr>
              <w:t>Develop and implement portfolio presentation</w:t>
            </w:r>
            <w:r w:rsidRPr="005408D0">
              <w:rPr>
                <w:rFonts w:cstheme="minorHAnsi"/>
              </w:rPr>
              <w:t xml:space="preserve">. The portfolio presentation will require students to discuss how competencies were demonstrated in their ILE and applied practice experiences. </w:t>
            </w:r>
          </w:p>
        </w:tc>
      </w:tr>
      <w:tr w:rsidR="002A2AE8" w:rsidRPr="005408D0" w:rsidTr="002A2AE8">
        <w:tc>
          <w:tcPr>
            <w:tcW w:w="14395" w:type="dxa"/>
            <w:gridSpan w:val="6"/>
            <w:shd w:val="clear" w:color="auto" w:fill="auto"/>
            <w:tcMar>
              <w:top w:w="100" w:type="nil"/>
              <w:right w:w="100" w:type="nil"/>
            </w:tcMar>
          </w:tcPr>
          <w:p w:rsidR="002A2AE8" w:rsidRPr="005408D0" w:rsidRDefault="002A2AE8" w:rsidP="002A2AE8">
            <w:pPr>
              <w:jc w:val="both"/>
              <w:rPr>
                <w:rFonts w:cstheme="minorHAnsi"/>
                <w:b/>
                <w:bCs/>
              </w:rPr>
            </w:pPr>
            <w:r w:rsidRPr="005408D0">
              <w:rPr>
                <w:rFonts w:cstheme="minorHAnsi"/>
                <w:b/>
                <w:bCs/>
              </w:rPr>
              <w:t xml:space="preserve">Follow-Up </w:t>
            </w:r>
            <w:r w:rsidRPr="005408D0">
              <w:rPr>
                <w:rFonts w:cstheme="minorHAnsi"/>
                <w:bCs/>
              </w:rPr>
              <w:t>(Provide your timeline for follow-up.  If follow-up has occurred, describe how the actions above have resulted in program improvement.)</w:t>
            </w:r>
          </w:p>
        </w:tc>
      </w:tr>
      <w:tr w:rsidR="002A2AE8" w:rsidRPr="005408D0" w:rsidTr="002A2AE8">
        <w:tc>
          <w:tcPr>
            <w:tcW w:w="14395" w:type="dxa"/>
            <w:gridSpan w:val="6"/>
            <w:shd w:val="clear" w:color="auto" w:fill="auto"/>
            <w:tcMar>
              <w:top w:w="100" w:type="nil"/>
              <w:right w:w="100" w:type="nil"/>
            </w:tcMar>
          </w:tcPr>
          <w:p w:rsidR="002A2AE8" w:rsidRPr="005408D0" w:rsidRDefault="002A2AE8" w:rsidP="002A2AE8">
            <w:pPr>
              <w:jc w:val="both"/>
              <w:rPr>
                <w:rFonts w:cstheme="minorHAnsi"/>
                <w:color w:val="767171" w:themeColor="background2" w:themeShade="80"/>
              </w:rPr>
            </w:pPr>
            <w:r w:rsidRPr="005408D0">
              <w:rPr>
                <w:rFonts w:cstheme="minorHAnsi"/>
                <w:color w:val="767171" w:themeColor="background2" w:themeShade="80"/>
              </w:rPr>
              <w:t>Handbook: develop in January 2020.</w:t>
            </w:r>
          </w:p>
          <w:p w:rsidR="002A2AE8" w:rsidRPr="005408D0" w:rsidRDefault="002A2AE8" w:rsidP="002A2AE8">
            <w:pPr>
              <w:jc w:val="both"/>
              <w:rPr>
                <w:rFonts w:cstheme="minorHAnsi"/>
                <w:color w:val="767171" w:themeColor="background2" w:themeShade="80"/>
              </w:rPr>
            </w:pPr>
            <w:r w:rsidRPr="005408D0">
              <w:rPr>
                <w:rFonts w:cstheme="minorHAnsi"/>
                <w:color w:val="767171" w:themeColor="background2" w:themeShade="80"/>
              </w:rPr>
              <w:t>Portfolio Presentation: develop in January 2020; pilot on May graduates.</w:t>
            </w:r>
          </w:p>
          <w:p w:rsidR="002A2AE8" w:rsidRPr="005408D0" w:rsidRDefault="002A2AE8" w:rsidP="002A2AE8">
            <w:pPr>
              <w:jc w:val="both"/>
              <w:rPr>
                <w:rFonts w:cstheme="minorHAnsi"/>
                <w:bCs/>
              </w:rPr>
            </w:pPr>
          </w:p>
        </w:tc>
      </w:tr>
    </w:tbl>
    <w:p w:rsidR="002A2AE8" w:rsidRPr="005408D0" w:rsidRDefault="002A2AE8" w:rsidP="002A2AE8">
      <w:pPr>
        <w:rPr>
          <w:rFonts w:cstheme="minorHAnsi"/>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2A2AE8" w:rsidRPr="005408D0" w:rsidTr="002A2AE8">
        <w:trPr>
          <w:trHeight w:val="144"/>
        </w:trPr>
        <w:tc>
          <w:tcPr>
            <w:tcW w:w="14395" w:type="dxa"/>
            <w:gridSpan w:val="8"/>
            <w:shd w:val="pct10" w:color="auto" w:fill="auto"/>
            <w:tcMar>
              <w:top w:w="100" w:type="nil"/>
              <w:right w:w="100" w:type="nil"/>
            </w:tcMar>
          </w:tcPr>
          <w:p w:rsidR="002A2AE8" w:rsidRPr="005408D0" w:rsidRDefault="002A2AE8" w:rsidP="002A2AE8">
            <w:pPr>
              <w:widowControl w:val="0"/>
              <w:autoSpaceDE w:val="0"/>
              <w:autoSpaceDN w:val="0"/>
              <w:adjustRightInd w:val="0"/>
              <w:jc w:val="center"/>
              <w:rPr>
                <w:rFonts w:cstheme="minorHAnsi"/>
                <w:b/>
                <w:bCs/>
              </w:rPr>
            </w:pPr>
            <w:r w:rsidRPr="005408D0">
              <w:rPr>
                <w:rFonts w:cstheme="minorHAnsi"/>
                <w:b/>
                <w:bCs/>
              </w:rPr>
              <w:t>Student Learning Outcome 3</w:t>
            </w:r>
          </w:p>
        </w:tc>
      </w:tr>
      <w:tr w:rsidR="002A2AE8" w:rsidRPr="005408D0" w:rsidTr="002A2AE8">
        <w:trPr>
          <w:trHeight w:val="323"/>
        </w:trPr>
        <w:tc>
          <w:tcPr>
            <w:tcW w:w="2875" w:type="dxa"/>
            <w:tcBorders>
              <w:bottom w:val="single" w:sz="4" w:space="0" w:color="auto"/>
            </w:tcBorders>
            <w:shd w:val="clear" w:color="auto" w:fill="auto"/>
            <w:tcMar>
              <w:top w:w="100" w:type="nil"/>
              <w:right w:w="100" w:type="nil"/>
            </w:tcMar>
          </w:tcPr>
          <w:p w:rsidR="002A2AE8" w:rsidRPr="005408D0" w:rsidRDefault="002A2AE8" w:rsidP="002A2AE8">
            <w:pPr>
              <w:widowControl w:val="0"/>
              <w:autoSpaceDE w:val="0"/>
              <w:autoSpaceDN w:val="0"/>
              <w:adjustRightInd w:val="0"/>
              <w:rPr>
                <w:rFonts w:cstheme="minorHAnsi"/>
                <w:b/>
                <w:bCs/>
              </w:rPr>
            </w:pPr>
            <w:r w:rsidRPr="005408D0">
              <w:rPr>
                <w:rFonts w:cstheme="minorHAnsi"/>
                <w:b/>
                <w:bCs/>
              </w:rPr>
              <w:t xml:space="preserve">Student Learning Outcome </w:t>
            </w:r>
          </w:p>
        </w:tc>
        <w:tc>
          <w:tcPr>
            <w:tcW w:w="11520" w:type="dxa"/>
            <w:gridSpan w:val="7"/>
            <w:tcBorders>
              <w:bottom w:val="single" w:sz="4" w:space="0" w:color="auto"/>
            </w:tcBorders>
            <w:shd w:val="clear" w:color="auto" w:fill="auto"/>
            <w:tcMar>
              <w:top w:w="100" w:type="nil"/>
              <w:right w:w="100" w:type="nil"/>
            </w:tcMar>
          </w:tcPr>
          <w:p w:rsidR="002A2AE8" w:rsidRPr="005408D0" w:rsidRDefault="002A2AE8" w:rsidP="002A2AE8">
            <w:pPr>
              <w:widowControl w:val="0"/>
              <w:autoSpaceDE w:val="0"/>
              <w:autoSpaceDN w:val="0"/>
              <w:adjustRightInd w:val="0"/>
              <w:rPr>
                <w:rFonts w:cstheme="minorHAnsi"/>
                <w:bCs/>
                <w:color w:val="767171" w:themeColor="background2" w:themeShade="80"/>
              </w:rPr>
            </w:pPr>
            <w:r w:rsidRPr="005408D0">
              <w:rPr>
                <w:rFonts w:cstheme="minorHAnsi"/>
                <w:b/>
                <w:bCs/>
              </w:rPr>
              <w:t>Develop plan, program, or policy to address a public health problem.</w:t>
            </w:r>
          </w:p>
        </w:tc>
      </w:tr>
      <w:tr w:rsidR="002A2AE8" w:rsidRPr="005408D0" w:rsidTr="002A2AE8">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rsidR="002A2AE8" w:rsidRPr="005408D0" w:rsidRDefault="002A2AE8" w:rsidP="002A2AE8">
            <w:pPr>
              <w:widowControl w:val="0"/>
              <w:autoSpaceDE w:val="0"/>
              <w:autoSpaceDN w:val="0"/>
              <w:adjustRightInd w:val="0"/>
              <w:rPr>
                <w:rFonts w:cstheme="minorHAnsi"/>
                <w:bCs/>
              </w:rPr>
            </w:pPr>
            <w:r w:rsidRPr="005408D0">
              <w:rPr>
                <w:rFonts w:cstheme="minorHAnsi"/>
                <w:b/>
                <w:bCs/>
              </w:rPr>
              <w:t>Measurement Instrument 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rsidR="002A2AE8" w:rsidRPr="005408D0" w:rsidRDefault="002A2AE8" w:rsidP="002A2AE8">
            <w:pPr>
              <w:autoSpaceDE w:val="0"/>
              <w:autoSpaceDN w:val="0"/>
              <w:spacing w:after="240"/>
              <w:rPr>
                <w:rFonts w:cstheme="minorHAnsi"/>
              </w:rPr>
            </w:pPr>
            <w:r w:rsidRPr="005408D0">
              <w:rPr>
                <w:rFonts w:cstheme="minorHAnsi"/>
                <w:u w:val="single"/>
              </w:rPr>
              <w:t>Program Proposal:</w:t>
            </w:r>
            <w:r w:rsidRPr="005408D0">
              <w:rPr>
                <w:rFonts w:cstheme="minorHAnsi"/>
              </w:rPr>
              <w:t xml:space="preserve">  Base</w:t>
            </w:r>
            <w:r>
              <w:rPr>
                <w:rFonts w:cstheme="minorHAnsi"/>
              </w:rPr>
              <w:t xml:space="preserve">d on an identified public health problem, </w:t>
            </w:r>
            <w:r w:rsidRPr="005408D0">
              <w:rPr>
                <w:rFonts w:cstheme="minorHAnsi"/>
              </w:rPr>
              <w:t xml:space="preserve">students develop a program proposal which includes program goals and objectives, budget, marketing, and sustainability.  </w:t>
            </w:r>
          </w:p>
          <w:p w:rsidR="002A2AE8" w:rsidRPr="005408D0" w:rsidRDefault="002A2AE8" w:rsidP="002A2AE8">
            <w:pPr>
              <w:widowControl w:val="0"/>
              <w:autoSpaceDE w:val="0"/>
              <w:autoSpaceDN w:val="0"/>
              <w:adjustRightInd w:val="0"/>
              <w:rPr>
                <w:rFonts w:cstheme="minorHAnsi"/>
                <w:b/>
                <w:bCs/>
              </w:rPr>
            </w:pPr>
          </w:p>
        </w:tc>
      </w:tr>
      <w:tr w:rsidR="002A2AE8" w:rsidRPr="005408D0" w:rsidTr="002A2AE8">
        <w:tc>
          <w:tcPr>
            <w:tcW w:w="2875" w:type="dxa"/>
            <w:tcBorders>
              <w:left w:val="single" w:sz="4" w:space="0" w:color="auto"/>
            </w:tcBorders>
            <w:shd w:val="pct12" w:color="auto" w:fill="auto"/>
            <w:tcMar>
              <w:top w:w="100" w:type="nil"/>
              <w:right w:w="100" w:type="nil"/>
            </w:tcMar>
          </w:tcPr>
          <w:p w:rsidR="002A2AE8" w:rsidRPr="005408D0" w:rsidRDefault="002A2AE8" w:rsidP="002A2AE8">
            <w:pPr>
              <w:widowControl w:val="0"/>
              <w:autoSpaceDE w:val="0"/>
              <w:autoSpaceDN w:val="0"/>
              <w:adjustRightInd w:val="0"/>
              <w:rPr>
                <w:rFonts w:cstheme="minorHAnsi"/>
                <w:b/>
              </w:rPr>
            </w:pPr>
            <w:r w:rsidRPr="005408D0">
              <w:rPr>
                <w:rFonts w:cstheme="minorHAnsi"/>
                <w:b/>
              </w:rPr>
              <w:t>Criteria for Student Success</w:t>
            </w:r>
          </w:p>
        </w:tc>
        <w:tc>
          <w:tcPr>
            <w:tcW w:w="11520" w:type="dxa"/>
            <w:gridSpan w:val="7"/>
            <w:tcBorders>
              <w:right w:val="single" w:sz="4" w:space="0" w:color="auto"/>
            </w:tcBorders>
            <w:shd w:val="pct12" w:color="auto" w:fill="auto"/>
            <w:tcMar>
              <w:top w:w="100" w:type="nil"/>
              <w:right w:w="100" w:type="nil"/>
            </w:tcMar>
          </w:tcPr>
          <w:p w:rsidR="002A2AE8" w:rsidRPr="005408D0" w:rsidRDefault="002A2AE8" w:rsidP="002A2AE8">
            <w:pPr>
              <w:widowControl w:val="0"/>
              <w:autoSpaceDE w:val="0"/>
              <w:autoSpaceDN w:val="0"/>
              <w:adjustRightInd w:val="0"/>
              <w:rPr>
                <w:rFonts w:cstheme="minorHAnsi"/>
              </w:rPr>
            </w:pPr>
            <w:r w:rsidRPr="005408D0">
              <w:rPr>
                <w:rFonts w:cstheme="minorHAnsi"/>
              </w:rPr>
              <w:t>Students score 80% or higher on program proposal.</w:t>
            </w:r>
          </w:p>
          <w:p w:rsidR="002A2AE8" w:rsidRPr="005408D0" w:rsidRDefault="002A2AE8" w:rsidP="002A2AE8">
            <w:pPr>
              <w:widowControl w:val="0"/>
              <w:autoSpaceDE w:val="0"/>
              <w:autoSpaceDN w:val="0"/>
              <w:adjustRightInd w:val="0"/>
              <w:rPr>
                <w:rFonts w:cstheme="minorHAnsi"/>
                <w:color w:val="767171" w:themeColor="background2" w:themeShade="80"/>
              </w:rPr>
            </w:pPr>
          </w:p>
        </w:tc>
      </w:tr>
      <w:tr w:rsidR="002A2AE8" w:rsidRPr="005408D0" w:rsidTr="002A2AE8">
        <w:tc>
          <w:tcPr>
            <w:tcW w:w="4315" w:type="dxa"/>
            <w:gridSpan w:val="3"/>
            <w:tcBorders>
              <w:left w:val="single" w:sz="4" w:space="0" w:color="auto"/>
              <w:bottom w:val="single" w:sz="4" w:space="0" w:color="auto"/>
            </w:tcBorders>
            <w:shd w:val="pct12" w:color="auto" w:fill="auto"/>
            <w:tcMar>
              <w:top w:w="100" w:type="nil"/>
              <w:right w:w="100" w:type="nil"/>
            </w:tcMar>
          </w:tcPr>
          <w:p w:rsidR="002A2AE8" w:rsidRPr="005408D0" w:rsidRDefault="002A2AE8" w:rsidP="002A2AE8">
            <w:pPr>
              <w:widowControl w:val="0"/>
              <w:autoSpaceDE w:val="0"/>
              <w:autoSpaceDN w:val="0"/>
              <w:adjustRightInd w:val="0"/>
              <w:rPr>
                <w:rFonts w:cstheme="minorHAnsi"/>
                <w:b/>
              </w:rPr>
            </w:pPr>
            <w:r w:rsidRPr="005408D0">
              <w:rPr>
                <w:rFonts w:cstheme="minorHAnsi"/>
                <w:b/>
              </w:rPr>
              <w:t>Program Success Target for this Measurement</w:t>
            </w:r>
          </w:p>
          <w:p w:rsidR="002A2AE8" w:rsidRPr="005408D0" w:rsidRDefault="002A2AE8" w:rsidP="002A2AE8">
            <w:pPr>
              <w:widowControl w:val="0"/>
              <w:autoSpaceDE w:val="0"/>
              <w:autoSpaceDN w:val="0"/>
              <w:adjustRightInd w:val="0"/>
              <w:rPr>
                <w:rFonts w:cstheme="minorHAnsi"/>
              </w:rPr>
            </w:pPr>
          </w:p>
          <w:p w:rsidR="002A2AE8" w:rsidRPr="005408D0" w:rsidRDefault="002A2AE8" w:rsidP="002A2AE8">
            <w:pPr>
              <w:widowControl w:val="0"/>
              <w:autoSpaceDE w:val="0"/>
              <w:autoSpaceDN w:val="0"/>
              <w:adjustRightInd w:val="0"/>
              <w:rPr>
                <w:rFonts w:cstheme="minorHAnsi"/>
              </w:rPr>
            </w:pPr>
          </w:p>
        </w:tc>
        <w:tc>
          <w:tcPr>
            <w:tcW w:w="4050" w:type="dxa"/>
            <w:gridSpan w:val="2"/>
            <w:tcBorders>
              <w:bottom w:val="single" w:sz="4" w:space="0" w:color="auto"/>
            </w:tcBorders>
            <w:shd w:val="pct12" w:color="auto" w:fill="auto"/>
          </w:tcPr>
          <w:p w:rsidR="002A2AE8" w:rsidRPr="005408D0" w:rsidRDefault="002A2AE8" w:rsidP="002A2AE8">
            <w:pPr>
              <w:widowControl w:val="0"/>
              <w:autoSpaceDE w:val="0"/>
              <w:autoSpaceDN w:val="0"/>
              <w:adjustRightInd w:val="0"/>
              <w:rPr>
                <w:rFonts w:cstheme="minorHAnsi"/>
              </w:rPr>
            </w:pPr>
            <w:r w:rsidRPr="005408D0">
              <w:rPr>
                <w:rFonts w:cstheme="minorHAnsi"/>
              </w:rPr>
              <w:lastRenderedPageBreak/>
              <w:t>80%</w:t>
            </w:r>
          </w:p>
        </w:tc>
        <w:tc>
          <w:tcPr>
            <w:tcW w:w="3510" w:type="dxa"/>
            <w:tcBorders>
              <w:bottom w:val="single" w:sz="4" w:space="0" w:color="auto"/>
            </w:tcBorders>
            <w:shd w:val="pct12" w:color="auto" w:fill="auto"/>
            <w:tcMar>
              <w:top w:w="100" w:type="nil"/>
              <w:right w:w="100" w:type="nil"/>
            </w:tcMar>
          </w:tcPr>
          <w:p w:rsidR="002A2AE8" w:rsidRPr="005408D0" w:rsidRDefault="002A2AE8" w:rsidP="002A2AE8">
            <w:pPr>
              <w:widowControl w:val="0"/>
              <w:autoSpaceDE w:val="0"/>
              <w:autoSpaceDN w:val="0"/>
              <w:adjustRightInd w:val="0"/>
              <w:jc w:val="right"/>
              <w:rPr>
                <w:rFonts w:cstheme="minorHAnsi"/>
                <w:b/>
              </w:rPr>
            </w:pPr>
            <w:r w:rsidRPr="005408D0">
              <w:rPr>
                <w:rFonts w:cstheme="minorHAnsi"/>
                <w:b/>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rsidR="002A2AE8" w:rsidRPr="005408D0" w:rsidRDefault="002A2AE8" w:rsidP="002A2AE8">
            <w:pPr>
              <w:widowControl w:val="0"/>
              <w:autoSpaceDE w:val="0"/>
              <w:autoSpaceDN w:val="0"/>
              <w:adjustRightInd w:val="0"/>
              <w:jc w:val="right"/>
              <w:rPr>
                <w:rFonts w:cstheme="minorHAnsi"/>
                <w:color w:val="767171" w:themeColor="background2" w:themeShade="80"/>
              </w:rPr>
            </w:pPr>
            <w:r>
              <w:rPr>
                <w:rFonts w:cstheme="minorHAnsi"/>
                <w:color w:val="767171" w:themeColor="background2" w:themeShade="80"/>
              </w:rPr>
              <w:t>unknown</w:t>
            </w:r>
          </w:p>
        </w:tc>
      </w:tr>
      <w:tr w:rsidR="002A2AE8" w:rsidRPr="005408D0" w:rsidTr="002A2AE8">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rsidR="002A2AE8" w:rsidRPr="005408D0" w:rsidRDefault="002A2AE8" w:rsidP="002A2AE8">
            <w:pPr>
              <w:widowControl w:val="0"/>
              <w:autoSpaceDE w:val="0"/>
              <w:autoSpaceDN w:val="0"/>
              <w:adjustRightInd w:val="0"/>
              <w:rPr>
                <w:rFonts w:cstheme="minorHAnsi"/>
                <w:b/>
                <w:bCs/>
              </w:rPr>
            </w:pPr>
            <w:r w:rsidRPr="005408D0">
              <w:rPr>
                <w:rFonts w:cstheme="minorHAnsi"/>
                <w:b/>
              </w:rPr>
              <w:t>Methods</w:t>
            </w:r>
            <w:r w:rsidRPr="005408D0">
              <w:rPr>
                <w:rFonts w:cstheme="minorHAnsi"/>
                <w:b/>
                <w:bCs/>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rsidR="002A2AE8" w:rsidRPr="005408D0" w:rsidRDefault="002A2AE8" w:rsidP="002A2AE8">
            <w:pPr>
              <w:widowControl w:val="0"/>
              <w:autoSpaceDE w:val="0"/>
              <w:autoSpaceDN w:val="0"/>
              <w:adjustRightInd w:val="0"/>
              <w:rPr>
                <w:rFonts w:cstheme="minorHAnsi"/>
              </w:rPr>
            </w:pPr>
            <w:r w:rsidRPr="005408D0">
              <w:rPr>
                <w:rFonts w:cstheme="minorHAnsi"/>
              </w:rPr>
              <w:t>Planning projects are graded by the course instructor. Individual grades are reported on a census of students completing PH 575 during academic year.</w:t>
            </w:r>
          </w:p>
        </w:tc>
      </w:tr>
      <w:tr w:rsidR="002A2AE8" w:rsidRPr="005408D0" w:rsidTr="002A2AE8">
        <w:tc>
          <w:tcPr>
            <w:tcW w:w="2875" w:type="dxa"/>
            <w:tcBorders>
              <w:top w:val="single" w:sz="4" w:space="0" w:color="auto"/>
              <w:left w:val="single" w:sz="4" w:space="0" w:color="auto"/>
              <w:right w:val="single" w:sz="4" w:space="0" w:color="auto"/>
            </w:tcBorders>
            <w:shd w:val="clear" w:color="auto" w:fill="auto"/>
            <w:tcMar>
              <w:top w:w="100" w:type="nil"/>
              <w:right w:w="100" w:type="nil"/>
            </w:tcMar>
          </w:tcPr>
          <w:p w:rsidR="002A2AE8" w:rsidRPr="005408D0" w:rsidRDefault="002A2AE8" w:rsidP="002A2AE8">
            <w:pPr>
              <w:widowControl w:val="0"/>
              <w:autoSpaceDE w:val="0"/>
              <w:autoSpaceDN w:val="0"/>
              <w:adjustRightInd w:val="0"/>
              <w:rPr>
                <w:rFonts w:cstheme="minorHAnsi"/>
                <w:b/>
                <w:bCs/>
              </w:rPr>
            </w:pPr>
            <w:r w:rsidRPr="005408D0">
              <w:rPr>
                <w:rFonts w:cstheme="minorHAnsi"/>
                <w:b/>
                <w:bCs/>
              </w:rPr>
              <w:t>Measurement Instrument 2</w:t>
            </w:r>
          </w:p>
          <w:p w:rsidR="002A2AE8" w:rsidRPr="005408D0" w:rsidRDefault="002A2AE8" w:rsidP="002A2AE8">
            <w:pPr>
              <w:widowControl w:val="0"/>
              <w:autoSpaceDE w:val="0"/>
              <w:autoSpaceDN w:val="0"/>
              <w:adjustRightInd w:val="0"/>
              <w:rPr>
                <w:rFonts w:cstheme="minorHAnsi"/>
                <w:b/>
              </w:rPr>
            </w:pPr>
          </w:p>
        </w:tc>
        <w:tc>
          <w:tcPr>
            <w:tcW w:w="11520" w:type="dxa"/>
            <w:gridSpan w:val="7"/>
            <w:tcBorders>
              <w:top w:val="single" w:sz="4" w:space="0" w:color="auto"/>
              <w:left w:val="single" w:sz="4" w:space="0" w:color="auto"/>
              <w:right w:val="single" w:sz="4" w:space="0" w:color="auto"/>
            </w:tcBorders>
            <w:shd w:val="clear" w:color="auto" w:fill="auto"/>
          </w:tcPr>
          <w:p w:rsidR="002A2AE8" w:rsidRPr="005408D0" w:rsidRDefault="002A2AE8" w:rsidP="002A2AE8">
            <w:pPr>
              <w:widowControl w:val="0"/>
              <w:autoSpaceDE w:val="0"/>
              <w:autoSpaceDN w:val="0"/>
              <w:adjustRightInd w:val="0"/>
              <w:rPr>
                <w:rFonts w:cstheme="minorHAnsi"/>
                <w:b/>
              </w:rPr>
            </w:pPr>
            <w:r w:rsidRPr="005408D0">
              <w:rPr>
                <w:rFonts w:cstheme="minorHAnsi"/>
              </w:rPr>
              <w:t>Health Disparities final pape</w:t>
            </w:r>
            <w:r>
              <w:rPr>
                <w:rFonts w:cstheme="minorHAnsi"/>
              </w:rPr>
              <w:t>r</w:t>
            </w:r>
            <w:r w:rsidRPr="005408D0">
              <w:rPr>
                <w:rFonts w:cstheme="minorHAnsi"/>
              </w:rPr>
              <w:t>/presentation: Students create theory-based plan to address a health disparity.</w:t>
            </w:r>
          </w:p>
        </w:tc>
      </w:tr>
      <w:tr w:rsidR="002A2AE8" w:rsidRPr="005408D0" w:rsidTr="002A2AE8">
        <w:tc>
          <w:tcPr>
            <w:tcW w:w="2875" w:type="dxa"/>
            <w:tcBorders>
              <w:left w:val="single" w:sz="4" w:space="0" w:color="auto"/>
            </w:tcBorders>
            <w:shd w:val="clear" w:color="auto" w:fill="auto"/>
            <w:tcMar>
              <w:top w:w="100" w:type="nil"/>
              <w:right w:w="100" w:type="nil"/>
            </w:tcMar>
          </w:tcPr>
          <w:p w:rsidR="002A2AE8" w:rsidRPr="005408D0" w:rsidRDefault="002A2AE8" w:rsidP="002A2AE8">
            <w:pPr>
              <w:widowControl w:val="0"/>
              <w:autoSpaceDE w:val="0"/>
              <w:autoSpaceDN w:val="0"/>
              <w:adjustRightInd w:val="0"/>
              <w:rPr>
                <w:rFonts w:cstheme="minorHAnsi"/>
                <w:b/>
                <w:bCs/>
              </w:rPr>
            </w:pPr>
            <w:r w:rsidRPr="005408D0">
              <w:rPr>
                <w:rFonts w:cstheme="minorHAnsi"/>
                <w:b/>
                <w:bCs/>
              </w:rPr>
              <w:t>Criteria for Student Success</w:t>
            </w:r>
          </w:p>
          <w:p w:rsidR="002A2AE8" w:rsidRPr="005408D0" w:rsidRDefault="002A2AE8" w:rsidP="002A2AE8">
            <w:pPr>
              <w:widowControl w:val="0"/>
              <w:autoSpaceDE w:val="0"/>
              <w:autoSpaceDN w:val="0"/>
              <w:adjustRightInd w:val="0"/>
              <w:rPr>
                <w:rFonts w:cstheme="minorHAnsi"/>
                <w:b/>
                <w:bCs/>
              </w:rPr>
            </w:pPr>
          </w:p>
        </w:tc>
        <w:tc>
          <w:tcPr>
            <w:tcW w:w="11520" w:type="dxa"/>
            <w:gridSpan w:val="7"/>
            <w:tcBorders>
              <w:right w:val="single" w:sz="4" w:space="0" w:color="auto"/>
            </w:tcBorders>
            <w:shd w:val="clear" w:color="auto" w:fill="auto"/>
          </w:tcPr>
          <w:p w:rsidR="002A2AE8" w:rsidRPr="005408D0" w:rsidRDefault="002A2AE8" w:rsidP="002A2AE8">
            <w:pPr>
              <w:widowControl w:val="0"/>
              <w:autoSpaceDE w:val="0"/>
              <w:autoSpaceDN w:val="0"/>
              <w:adjustRightInd w:val="0"/>
              <w:rPr>
                <w:rFonts w:cstheme="minorHAnsi"/>
              </w:rPr>
            </w:pPr>
            <w:r w:rsidRPr="005408D0">
              <w:rPr>
                <w:rFonts w:cstheme="minorHAnsi"/>
              </w:rPr>
              <w:t>Students score at least 80% on final paper/presentation.</w:t>
            </w:r>
          </w:p>
        </w:tc>
      </w:tr>
      <w:tr w:rsidR="002A2AE8" w:rsidRPr="005408D0" w:rsidTr="002A2AE8">
        <w:tc>
          <w:tcPr>
            <w:tcW w:w="4225" w:type="dxa"/>
            <w:gridSpan w:val="2"/>
            <w:tcBorders>
              <w:left w:val="single" w:sz="4" w:space="0" w:color="auto"/>
            </w:tcBorders>
            <w:shd w:val="clear" w:color="auto" w:fill="auto"/>
            <w:tcMar>
              <w:top w:w="100" w:type="nil"/>
              <w:right w:w="100" w:type="nil"/>
            </w:tcMar>
          </w:tcPr>
          <w:p w:rsidR="002A2AE8" w:rsidRPr="005408D0" w:rsidRDefault="002A2AE8" w:rsidP="002A2AE8">
            <w:pPr>
              <w:widowControl w:val="0"/>
              <w:autoSpaceDE w:val="0"/>
              <w:autoSpaceDN w:val="0"/>
              <w:adjustRightInd w:val="0"/>
              <w:jc w:val="center"/>
              <w:rPr>
                <w:rFonts w:cstheme="minorHAnsi"/>
                <w:b/>
              </w:rPr>
            </w:pPr>
            <w:r w:rsidRPr="005408D0">
              <w:rPr>
                <w:rFonts w:cstheme="minorHAnsi"/>
                <w:b/>
              </w:rPr>
              <w:t>Program Success Target for this Measurement</w:t>
            </w:r>
          </w:p>
          <w:p w:rsidR="002A2AE8" w:rsidRPr="005408D0" w:rsidRDefault="002A2AE8" w:rsidP="002A2AE8">
            <w:pPr>
              <w:widowControl w:val="0"/>
              <w:autoSpaceDE w:val="0"/>
              <w:autoSpaceDN w:val="0"/>
              <w:adjustRightInd w:val="0"/>
              <w:jc w:val="center"/>
              <w:rPr>
                <w:rFonts w:cstheme="minorHAnsi"/>
                <w:b/>
              </w:rPr>
            </w:pPr>
          </w:p>
        </w:tc>
        <w:tc>
          <w:tcPr>
            <w:tcW w:w="4050" w:type="dxa"/>
            <w:gridSpan w:val="2"/>
            <w:shd w:val="clear" w:color="auto" w:fill="auto"/>
          </w:tcPr>
          <w:p w:rsidR="002A2AE8" w:rsidRPr="005408D0" w:rsidRDefault="002A2AE8" w:rsidP="002A2AE8">
            <w:pPr>
              <w:widowControl w:val="0"/>
              <w:autoSpaceDE w:val="0"/>
              <w:autoSpaceDN w:val="0"/>
              <w:adjustRightInd w:val="0"/>
              <w:rPr>
                <w:rFonts w:cstheme="minorHAnsi"/>
              </w:rPr>
            </w:pPr>
            <w:r w:rsidRPr="005408D0">
              <w:rPr>
                <w:rFonts w:cstheme="minorHAnsi"/>
              </w:rPr>
              <w:t>80%</w:t>
            </w:r>
          </w:p>
        </w:tc>
        <w:tc>
          <w:tcPr>
            <w:tcW w:w="3600" w:type="dxa"/>
            <w:gridSpan w:val="2"/>
            <w:shd w:val="clear" w:color="auto" w:fill="auto"/>
          </w:tcPr>
          <w:p w:rsidR="002A2AE8" w:rsidRPr="005408D0" w:rsidRDefault="002A2AE8" w:rsidP="002A2AE8">
            <w:pPr>
              <w:widowControl w:val="0"/>
              <w:autoSpaceDE w:val="0"/>
              <w:autoSpaceDN w:val="0"/>
              <w:adjustRightInd w:val="0"/>
              <w:jc w:val="right"/>
              <w:rPr>
                <w:rFonts w:cstheme="minorHAnsi"/>
                <w:b/>
              </w:rPr>
            </w:pPr>
            <w:r w:rsidRPr="005408D0">
              <w:rPr>
                <w:rFonts w:cstheme="minorHAnsi"/>
                <w:b/>
              </w:rPr>
              <w:t>Percent of Program Achieving Target</w:t>
            </w:r>
          </w:p>
        </w:tc>
        <w:tc>
          <w:tcPr>
            <w:tcW w:w="2520" w:type="dxa"/>
            <w:gridSpan w:val="2"/>
            <w:tcBorders>
              <w:right w:val="single" w:sz="4" w:space="0" w:color="auto"/>
            </w:tcBorders>
            <w:shd w:val="clear" w:color="auto" w:fill="auto"/>
          </w:tcPr>
          <w:p w:rsidR="002A2AE8" w:rsidRPr="005408D0" w:rsidRDefault="002A2AE8" w:rsidP="002A2AE8">
            <w:pPr>
              <w:widowControl w:val="0"/>
              <w:autoSpaceDE w:val="0"/>
              <w:autoSpaceDN w:val="0"/>
              <w:adjustRightInd w:val="0"/>
              <w:jc w:val="center"/>
              <w:rPr>
                <w:rFonts w:cstheme="minorHAnsi"/>
              </w:rPr>
            </w:pPr>
            <w:r>
              <w:rPr>
                <w:rFonts w:cstheme="minorHAnsi"/>
                <w:color w:val="767171" w:themeColor="background2" w:themeShade="80"/>
              </w:rPr>
              <w:t>91%</w:t>
            </w:r>
          </w:p>
        </w:tc>
      </w:tr>
      <w:tr w:rsidR="002A2AE8" w:rsidRPr="005408D0" w:rsidTr="002A2AE8">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rsidR="002A2AE8" w:rsidRPr="005408D0" w:rsidRDefault="002A2AE8" w:rsidP="002A2AE8">
            <w:pPr>
              <w:widowControl w:val="0"/>
              <w:autoSpaceDE w:val="0"/>
              <w:autoSpaceDN w:val="0"/>
              <w:adjustRightInd w:val="0"/>
              <w:rPr>
                <w:rFonts w:cstheme="minorHAnsi"/>
                <w:b/>
              </w:rPr>
            </w:pPr>
            <w:r w:rsidRPr="005408D0">
              <w:rPr>
                <w:rFonts w:cstheme="minorHAnsi"/>
                <w:b/>
              </w:rPr>
              <w:t>Methods</w:t>
            </w:r>
          </w:p>
          <w:p w:rsidR="002A2AE8" w:rsidRPr="005408D0" w:rsidRDefault="002A2AE8" w:rsidP="002A2AE8">
            <w:pPr>
              <w:widowControl w:val="0"/>
              <w:autoSpaceDE w:val="0"/>
              <w:autoSpaceDN w:val="0"/>
              <w:adjustRightInd w:val="0"/>
              <w:rPr>
                <w:rFonts w:cstheme="minorHAnsi"/>
                <w:b/>
              </w:rPr>
            </w:pPr>
          </w:p>
        </w:tc>
        <w:tc>
          <w:tcPr>
            <w:tcW w:w="11520" w:type="dxa"/>
            <w:gridSpan w:val="7"/>
            <w:tcBorders>
              <w:left w:val="single" w:sz="4" w:space="0" w:color="auto"/>
              <w:bottom w:val="single" w:sz="4" w:space="0" w:color="auto"/>
              <w:right w:val="single" w:sz="4" w:space="0" w:color="auto"/>
            </w:tcBorders>
            <w:shd w:val="clear" w:color="auto" w:fill="auto"/>
          </w:tcPr>
          <w:p w:rsidR="002A2AE8" w:rsidRPr="005408D0" w:rsidRDefault="002A2AE8" w:rsidP="002A2AE8">
            <w:pPr>
              <w:widowControl w:val="0"/>
              <w:autoSpaceDE w:val="0"/>
              <w:autoSpaceDN w:val="0"/>
              <w:adjustRightInd w:val="0"/>
              <w:rPr>
                <w:rFonts w:cstheme="minorHAnsi"/>
                <w:b/>
              </w:rPr>
            </w:pPr>
            <w:r w:rsidRPr="005408D0">
              <w:rPr>
                <w:rFonts w:cstheme="minorHAnsi"/>
              </w:rPr>
              <w:t>Papers are graded by the course instructor. Individual grades are reported on a census of students completing PH 578 during academic year.</w:t>
            </w:r>
          </w:p>
        </w:tc>
      </w:tr>
      <w:tr w:rsidR="002A2AE8" w:rsidRPr="005408D0" w:rsidTr="002A2AE8">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rsidR="002A2AE8" w:rsidRPr="005408D0" w:rsidRDefault="002A2AE8" w:rsidP="002A2AE8">
            <w:pPr>
              <w:widowControl w:val="0"/>
              <w:autoSpaceDE w:val="0"/>
              <w:autoSpaceDN w:val="0"/>
              <w:adjustRightInd w:val="0"/>
              <w:rPr>
                <w:rFonts w:cstheme="minorHAnsi"/>
                <w:b/>
              </w:rPr>
            </w:pPr>
            <w:r w:rsidRPr="005408D0">
              <w:rPr>
                <w:rFonts w:cstheme="minorHAnsi"/>
                <w:b/>
              </w:rPr>
              <w:t>Measurement Instrument 3</w:t>
            </w:r>
          </w:p>
          <w:p w:rsidR="002A2AE8" w:rsidRPr="005408D0" w:rsidRDefault="002A2AE8" w:rsidP="002A2AE8">
            <w:pPr>
              <w:widowControl w:val="0"/>
              <w:autoSpaceDE w:val="0"/>
              <w:autoSpaceDN w:val="0"/>
              <w:adjustRightInd w:val="0"/>
              <w:rPr>
                <w:rFonts w:cstheme="minorHAnsi"/>
                <w:b/>
              </w:rPr>
            </w:pPr>
          </w:p>
        </w:tc>
        <w:tc>
          <w:tcPr>
            <w:tcW w:w="11520" w:type="dxa"/>
            <w:gridSpan w:val="7"/>
            <w:tcBorders>
              <w:left w:val="single" w:sz="4" w:space="0" w:color="auto"/>
              <w:bottom w:val="single" w:sz="4" w:space="0" w:color="auto"/>
              <w:right w:val="single" w:sz="4" w:space="0" w:color="auto"/>
            </w:tcBorders>
            <w:shd w:val="pct12" w:color="auto" w:fill="auto"/>
          </w:tcPr>
          <w:p w:rsidR="002A2AE8" w:rsidRPr="005408D0" w:rsidRDefault="002A2AE8" w:rsidP="002A2AE8">
            <w:pPr>
              <w:widowControl w:val="0"/>
              <w:autoSpaceDE w:val="0"/>
              <w:autoSpaceDN w:val="0"/>
              <w:adjustRightInd w:val="0"/>
              <w:rPr>
                <w:rFonts w:cstheme="minorHAnsi"/>
              </w:rPr>
            </w:pPr>
            <w:r w:rsidRPr="005408D0">
              <w:rPr>
                <w:rFonts w:cstheme="minorHAnsi"/>
                <w:u w:val="single"/>
              </w:rPr>
              <w:t>MPH Exit Survey</w:t>
            </w:r>
            <w:r w:rsidRPr="005408D0">
              <w:rPr>
                <w:rFonts w:cstheme="minorHAnsi"/>
              </w:rPr>
              <w:t>: Assessment of competency 9.  The MPH Exit Survey includes a section that assesses students’ perception of how well the program developed each competency.  Competency 9  is  “Design a population-based policy, program, project or intervention.”</w:t>
            </w:r>
          </w:p>
          <w:p w:rsidR="002A2AE8" w:rsidRPr="005408D0" w:rsidRDefault="002A2AE8" w:rsidP="002A2AE8">
            <w:pPr>
              <w:widowControl w:val="0"/>
              <w:autoSpaceDE w:val="0"/>
              <w:autoSpaceDN w:val="0"/>
              <w:adjustRightInd w:val="0"/>
              <w:rPr>
                <w:rFonts w:cstheme="minorHAnsi"/>
                <w:b/>
              </w:rPr>
            </w:pPr>
          </w:p>
        </w:tc>
      </w:tr>
      <w:tr w:rsidR="002A2AE8" w:rsidRPr="005408D0" w:rsidTr="002A2AE8">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rsidR="002A2AE8" w:rsidRPr="005408D0" w:rsidRDefault="002A2AE8" w:rsidP="002A2AE8">
            <w:pPr>
              <w:widowControl w:val="0"/>
              <w:autoSpaceDE w:val="0"/>
              <w:autoSpaceDN w:val="0"/>
              <w:adjustRightInd w:val="0"/>
              <w:rPr>
                <w:rFonts w:cstheme="minorHAnsi"/>
                <w:b/>
              </w:rPr>
            </w:pPr>
            <w:r w:rsidRPr="005408D0">
              <w:rPr>
                <w:rFonts w:cstheme="minorHAnsi"/>
                <w:b/>
              </w:rPr>
              <w:t>Criteria for Student Success</w:t>
            </w:r>
          </w:p>
          <w:p w:rsidR="002A2AE8" w:rsidRPr="005408D0" w:rsidRDefault="002A2AE8" w:rsidP="002A2AE8">
            <w:pPr>
              <w:widowControl w:val="0"/>
              <w:autoSpaceDE w:val="0"/>
              <w:autoSpaceDN w:val="0"/>
              <w:adjustRightInd w:val="0"/>
              <w:rPr>
                <w:rFonts w:cstheme="minorHAnsi"/>
                <w:b/>
              </w:rPr>
            </w:pPr>
          </w:p>
        </w:tc>
        <w:tc>
          <w:tcPr>
            <w:tcW w:w="11520" w:type="dxa"/>
            <w:gridSpan w:val="7"/>
            <w:tcBorders>
              <w:left w:val="single" w:sz="4" w:space="0" w:color="auto"/>
              <w:bottom w:val="single" w:sz="4" w:space="0" w:color="auto"/>
              <w:right w:val="single" w:sz="4" w:space="0" w:color="auto"/>
            </w:tcBorders>
            <w:shd w:val="pct12" w:color="auto" w:fill="auto"/>
          </w:tcPr>
          <w:p w:rsidR="002A2AE8" w:rsidRPr="005408D0" w:rsidRDefault="002A2AE8" w:rsidP="002A2AE8">
            <w:pPr>
              <w:widowControl w:val="0"/>
              <w:autoSpaceDE w:val="0"/>
              <w:autoSpaceDN w:val="0"/>
              <w:adjustRightInd w:val="0"/>
              <w:rPr>
                <w:rFonts w:cstheme="minorHAnsi"/>
                <w:b/>
              </w:rPr>
            </w:pPr>
            <w:r w:rsidRPr="005408D0">
              <w:rPr>
                <w:rFonts w:cstheme="minorHAnsi"/>
              </w:rPr>
              <w:t>Students rate competency 9 as 4 or higher (of 5).</w:t>
            </w:r>
          </w:p>
        </w:tc>
      </w:tr>
      <w:tr w:rsidR="002A2AE8" w:rsidRPr="005408D0" w:rsidTr="002A2AE8">
        <w:tc>
          <w:tcPr>
            <w:tcW w:w="2875" w:type="dxa"/>
            <w:tcBorders>
              <w:top w:val="single" w:sz="4" w:space="0" w:color="auto"/>
            </w:tcBorders>
            <w:shd w:val="pct12" w:color="auto" w:fill="auto"/>
            <w:tcMar>
              <w:top w:w="100" w:type="nil"/>
              <w:right w:w="100" w:type="nil"/>
            </w:tcMar>
          </w:tcPr>
          <w:p w:rsidR="002A2AE8" w:rsidRPr="005408D0" w:rsidRDefault="002A2AE8" w:rsidP="002A2AE8">
            <w:pPr>
              <w:widowControl w:val="0"/>
              <w:autoSpaceDE w:val="0"/>
              <w:autoSpaceDN w:val="0"/>
              <w:adjustRightInd w:val="0"/>
              <w:rPr>
                <w:rFonts w:cstheme="minorHAnsi"/>
                <w:b/>
              </w:rPr>
            </w:pPr>
            <w:r w:rsidRPr="005408D0">
              <w:rPr>
                <w:rFonts w:cstheme="minorHAnsi"/>
                <w:b/>
              </w:rPr>
              <w:t>Program Success Target for this Measurement</w:t>
            </w:r>
          </w:p>
          <w:p w:rsidR="002A2AE8" w:rsidRPr="005408D0" w:rsidRDefault="002A2AE8" w:rsidP="002A2AE8">
            <w:pPr>
              <w:widowControl w:val="0"/>
              <w:autoSpaceDE w:val="0"/>
              <w:autoSpaceDN w:val="0"/>
              <w:adjustRightInd w:val="0"/>
              <w:rPr>
                <w:rFonts w:cstheme="minorHAnsi"/>
                <w:b/>
                <w:bCs/>
              </w:rPr>
            </w:pPr>
          </w:p>
        </w:tc>
        <w:tc>
          <w:tcPr>
            <w:tcW w:w="5400" w:type="dxa"/>
            <w:gridSpan w:val="3"/>
            <w:tcBorders>
              <w:top w:val="single" w:sz="4" w:space="0" w:color="auto"/>
            </w:tcBorders>
            <w:shd w:val="pct12" w:color="auto" w:fill="auto"/>
          </w:tcPr>
          <w:p w:rsidR="002A2AE8" w:rsidRPr="005408D0" w:rsidRDefault="002A2AE8" w:rsidP="002A2AE8">
            <w:pPr>
              <w:widowControl w:val="0"/>
              <w:autoSpaceDE w:val="0"/>
              <w:autoSpaceDN w:val="0"/>
              <w:adjustRightInd w:val="0"/>
              <w:rPr>
                <w:rFonts w:cstheme="minorHAnsi"/>
                <w:b/>
              </w:rPr>
            </w:pPr>
            <w:r w:rsidRPr="005408D0">
              <w:rPr>
                <w:rFonts w:cstheme="minorHAnsi"/>
              </w:rPr>
              <w:t xml:space="preserve">80% </w:t>
            </w:r>
          </w:p>
        </w:tc>
        <w:tc>
          <w:tcPr>
            <w:tcW w:w="3600" w:type="dxa"/>
            <w:gridSpan w:val="2"/>
            <w:tcBorders>
              <w:top w:val="single" w:sz="4" w:space="0" w:color="auto"/>
            </w:tcBorders>
            <w:shd w:val="pct12" w:color="auto" w:fill="auto"/>
          </w:tcPr>
          <w:p w:rsidR="002A2AE8" w:rsidRPr="005408D0" w:rsidRDefault="002A2AE8" w:rsidP="002A2AE8">
            <w:pPr>
              <w:widowControl w:val="0"/>
              <w:autoSpaceDE w:val="0"/>
              <w:autoSpaceDN w:val="0"/>
              <w:adjustRightInd w:val="0"/>
              <w:rPr>
                <w:rFonts w:cstheme="minorHAnsi"/>
                <w:b/>
              </w:rPr>
            </w:pPr>
            <w:r w:rsidRPr="005408D0">
              <w:rPr>
                <w:rFonts w:cstheme="minorHAnsi"/>
                <w:b/>
              </w:rPr>
              <w:t>Percent of Program Achieving Target</w:t>
            </w:r>
          </w:p>
          <w:p w:rsidR="002A2AE8" w:rsidRPr="005408D0" w:rsidRDefault="002A2AE8" w:rsidP="002A2AE8">
            <w:pPr>
              <w:widowControl w:val="0"/>
              <w:autoSpaceDE w:val="0"/>
              <w:autoSpaceDN w:val="0"/>
              <w:adjustRightInd w:val="0"/>
              <w:rPr>
                <w:rFonts w:cstheme="minorHAnsi"/>
                <w:b/>
              </w:rPr>
            </w:pPr>
          </w:p>
        </w:tc>
        <w:tc>
          <w:tcPr>
            <w:tcW w:w="2520" w:type="dxa"/>
            <w:gridSpan w:val="2"/>
            <w:tcBorders>
              <w:top w:val="single" w:sz="4" w:space="0" w:color="auto"/>
            </w:tcBorders>
            <w:shd w:val="pct12" w:color="auto" w:fill="auto"/>
          </w:tcPr>
          <w:p w:rsidR="002A2AE8" w:rsidRPr="005408D0" w:rsidRDefault="002A2AE8" w:rsidP="002A2AE8">
            <w:pPr>
              <w:widowControl w:val="0"/>
              <w:autoSpaceDE w:val="0"/>
              <w:autoSpaceDN w:val="0"/>
              <w:adjustRightInd w:val="0"/>
              <w:rPr>
                <w:rFonts w:cstheme="minorHAnsi"/>
              </w:rPr>
            </w:pPr>
            <w:r w:rsidRPr="005408D0">
              <w:rPr>
                <w:rFonts w:cstheme="minorHAnsi"/>
              </w:rPr>
              <w:t xml:space="preserve">90% </w:t>
            </w:r>
          </w:p>
          <w:p w:rsidR="002A2AE8" w:rsidRPr="005408D0" w:rsidRDefault="002A2AE8" w:rsidP="002A2AE8">
            <w:pPr>
              <w:widowControl w:val="0"/>
              <w:autoSpaceDE w:val="0"/>
              <w:autoSpaceDN w:val="0"/>
              <w:adjustRightInd w:val="0"/>
              <w:rPr>
                <w:rFonts w:cstheme="minorHAnsi"/>
              </w:rPr>
            </w:pPr>
            <w:r w:rsidRPr="005408D0">
              <w:rPr>
                <w:rFonts w:cstheme="minorHAnsi"/>
              </w:rPr>
              <w:t>4.4 Mean</w:t>
            </w:r>
          </w:p>
          <w:p w:rsidR="002A2AE8" w:rsidRPr="005408D0" w:rsidRDefault="002A2AE8" w:rsidP="002A2AE8">
            <w:pPr>
              <w:widowControl w:val="0"/>
              <w:autoSpaceDE w:val="0"/>
              <w:autoSpaceDN w:val="0"/>
              <w:adjustRightInd w:val="0"/>
              <w:rPr>
                <w:rFonts w:cstheme="minorHAnsi"/>
                <w:b/>
              </w:rPr>
            </w:pPr>
          </w:p>
        </w:tc>
      </w:tr>
      <w:tr w:rsidR="002A2AE8" w:rsidRPr="005408D0" w:rsidTr="002A2AE8">
        <w:tc>
          <w:tcPr>
            <w:tcW w:w="2875" w:type="dxa"/>
            <w:tcBorders>
              <w:top w:val="single" w:sz="4" w:space="0" w:color="auto"/>
              <w:bottom w:val="single" w:sz="4" w:space="0" w:color="auto"/>
            </w:tcBorders>
            <w:shd w:val="pct12" w:color="auto" w:fill="auto"/>
            <w:tcMar>
              <w:top w:w="100" w:type="nil"/>
              <w:right w:w="100" w:type="nil"/>
            </w:tcMar>
          </w:tcPr>
          <w:p w:rsidR="002A2AE8" w:rsidRPr="005408D0" w:rsidRDefault="002A2AE8" w:rsidP="002A2AE8">
            <w:pPr>
              <w:widowControl w:val="0"/>
              <w:autoSpaceDE w:val="0"/>
              <w:autoSpaceDN w:val="0"/>
              <w:adjustRightInd w:val="0"/>
              <w:rPr>
                <w:rFonts w:cstheme="minorHAnsi"/>
                <w:b/>
              </w:rPr>
            </w:pPr>
            <w:r w:rsidRPr="005408D0">
              <w:rPr>
                <w:rFonts w:cstheme="minorHAnsi"/>
                <w:b/>
              </w:rPr>
              <w:t>Methods</w:t>
            </w:r>
          </w:p>
          <w:p w:rsidR="002A2AE8" w:rsidRPr="005408D0" w:rsidRDefault="002A2AE8" w:rsidP="002A2AE8">
            <w:pPr>
              <w:widowControl w:val="0"/>
              <w:autoSpaceDE w:val="0"/>
              <w:autoSpaceDN w:val="0"/>
              <w:adjustRightInd w:val="0"/>
              <w:rPr>
                <w:rFonts w:cstheme="minorHAnsi"/>
                <w:b/>
              </w:rPr>
            </w:pPr>
          </w:p>
          <w:p w:rsidR="002A2AE8" w:rsidRPr="005408D0" w:rsidRDefault="002A2AE8" w:rsidP="002A2AE8">
            <w:pPr>
              <w:widowControl w:val="0"/>
              <w:autoSpaceDE w:val="0"/>
              <w:autoSpaceDN w:val="0"/>
              <w:adjustRightInd w:val="0"/>
              <w:rPr>
                <w:rFonts w:cstheme="minorHAnsi"/>
                <w:b/>
              </w:rPr>
            </w:pPr>
          </w:p>
          <w:p w:rsidR="002A2AE8" w:rsidRPr="005408D0" w:rsidRDefault="002A2AE8" w:rsidP="002A2AE8">
            <w:pPr>
              <w:widowControl w:val="0"/>
              <w:autoSpaceDE w:val="0"/>
              <w:autoSpaceDN w:val="0"/>
              <w:adjustRightInd w:val="0"/>
              <w:rPr>
                <w:rFonts w:cstheme="minorHAnsi"/>
                <w:b/>
              </w:rPr>
            </w:pPr>
          </w:p>
        </w:tc>
        <w:tc>
          <w:tcPr>
            <w:tcW w:w="11520" w:type="dxa"/>
            <w:gridSpan w:val="7"/>
            <w:tcBorders>
              <w:top w:val="single" w:sz="4" w:space="0" w:color="auto"/>
              <w:bottom w:val="single" w:sz="4" w:space="0" w:color="auto"/>
            </w:tcBorders>
            <w:shd w:val="pct12" w:color="auto" w:fill="auto"/>
          </w:tcPr>
          <w:p w:rsidR="002A2AE8" w:rsidRPr="005408D0" w:rsidRDefault="002A2AE8" w:rsidP="002A2AE8">
            <w:pPr>
              <w:widowControl w:val="0"/>
              <w:autoSpaceDE w:val="0"/>
              <w:autoSpaceDN w:val="0"/>
              <w:adjustRightInd w:val="0"/>
              <w:rPr>
                <w:rFonts w:cstheme="minorHAnsi"/>
                <w:b/>
              </w:rPr>
            </w:pPr>
            <w:r w:rsidRPr="005408D0">
              <w:rPr>
                <w:rFonts w:cstheme="minorHAnsi"/>
              </w:rPr>
              <w:t>Census of graduating students take mandatory MPH exit survey through Qualtrics. System identifies who has completed the survey, but responses are not linked to the respondents. Results are analyzed descriptively (frequency, central tendency) and compared to target.</w:t>
            </w:r>
          </w:p>
        </w:tc>
      </w:tr>
      <w:tr w:rsidR="002A2AE8" w:rsidRPr="005408D0" w:rsidTr="002A2AE8">
        <w:tc>
          <w:tcPr>
            <w:tcW w:w="11875" w:type="dxa"/>
            <w:gridSpan w:val="6"/>
            <w:tcBorders>
              <w:top w:val="single" w:sz="4" w:space="0" w:color="auto"/>
              <w:bottom w:val="single" w:sz="4" w:space="0" w:color="auto"/>
            </w:tcBorders>
            <w:shd w:val="clear" w:color="auto" w:fill="auto"/>
            <w:tcMar>
              <w:top w:w="100" w:type="nil"/>
              <w:right w:w="100" w:type="nil"/>
            </w:tcMar>
          </w:tcPr>
          <w:p w:rsidR="002A2AE8" w:rsidRPr="005408D0" w:rsidRDefault="002A2AE8" w:rsidP="002A2AE8">
            <w:pPr>
              <w:widowControl w:val="0"/>
              <w:autoSpaceDE w:val="0"/>
              <w:autoSpaceDN w:val="0"/>
              <w:adjustRightInd w:val="0"/>
              <w:rPr>
                <w:rFonts w:cstheme="minorHAnsi"/>
                <w:b/>
                <w:bCs/>
              </w:rPr>
            </w:pPr>
            <w:r w:rsidRPr="005408D0">
              <w:rPr>
                <w:rFonts w:cstheme="minorHAnsi"/>
                <w:b/>
                <w:bCs/>
              </w:rPr>
              <w:lastRenderedPageBreak/>
              <w:t>Based on your results, circle or highlight whether the program met the goal Student Learning Outcome 3.</w:t>
            </w:r>
          </w:p>
          <w:p w:rsidR="002A2AE8" w:rsidRPr="005408D0" w:rsidRDefault="002A2AE8" w:rsidP="002A2AE8">
            <w:pPr>
              <w:widowControl w:val="0"/>
              <w:autoSpaceDE w:val="0"/>
              <w:autoSpaceDN w:val="0"/>
              <w:adjustRightInd w:val="0"/>
              <w:rPr>
                <w:rFonts w:cstheme="minorHAnsi"/>
                <w:b/>
              </w:rPr>
            </w:pPr>
            <w:r w:rsidRPr="005408D0">
              <w:rPr>
                <w:rFonts w:cstheme="minorHAnsi"/>
                <w:b/>
              </w:rPr>
              <w:t xml:space="preserve"> </w:t>
            </w:r>
          </w:p>
        </w:tc>
        <w:tc>
          <w:tcPr>
            <w:tcW w:w="1350" w:type="dxa"/>
            <w:tcBorders>
              <w:top w:val="single" w:sz="4" w:space="0" w:color="auto"/>
              <w:bottom w:val="single" w:sz="4" w:space="0" w:color="auto"/>
            </w:tcBorders>
            <w:shd w:val="clear" w:color="auto" w:fill="auto"/>
            <w:vAlign w:val="center"/>
          </w:tcPr>
          <w:p w:rsidR="002A2AE8" w:rsidRPr="005408D0" w:rsidRDefault="002A2AE8" w:rsidP="002A2AE8">
            <w:pPr>
              <w:widowControl w:val="0"/>
              <w:autoSpaceDE w:val="0"/>
              <w:autoSpaceDN w:val="0"/>
              <w:adjustRightInd w:val="0"/>
              <w:jc w:val="center"/>
              <w:rPr>
                <w:rFonts w:cstheme="minorHAnsi"/>
                <w:b/>
              </w:rPr>
            </w:pPr>
            <w:r w:rsidRPr="005408D0">
              <w:rPr>
                <w:rFonts w:cstheme="minorHAnsi"/>
                <w:b/>
                <w:highlight w:val="yellow"/>
              </w:rPr>
              <w:t>Met</w:t>
            </w:r>
          </w:p>
        </w:tc>
        <w:tc>
          <w:tcPr>
            <w:tcW w:w="1170" w:type="dxa"/>
            <w:tcBorders>
              <w:top w:val="single" w:sz="4" w:space="0" w:color="auto"/>
              <w:bottom w:val="single" w:sz="4" w:space="0" w:color="auto"/>
            </w:tcBorders>
            <w:shd w:val="clear" w:color="auto" w:fill="auto"/>
            <w:vAlign w:val="center"/>
          </w:tcPr>
          <w:p w:rsidR="002A2AE8" w:rsidRPr="005408D0" w:rsidRDefault="002A2AE8" w:rsidP="002A2AE8">
            <w:pPr>
              <w:widowControl w:val="0"/>
              <w:autoSpaceDE w:val="0"/>
              <w:autoSpaceDN w:val="0"/>
              <w:adjustRightInd w:val="0"/>
              <w:jc w:val="center"/>
              <w:rPr>
                <w:rFonts w:cstheme="minorHAnsi"/>
                <w:b/>
              </w:rPr>
            </w:pPr>
            <w:r w:rsidRPr="005408D0">
              <w:rPr>
                <w:rFonts w:cstheme="minorHAnsi"/>
                <w:b/>
              </w:rPr>
              <w:t>Not Met</w:t>
            </w:r>
          </w:p>
        </w:tc>
      </w:tr>
      <w:tr w:rsidR="002A2AE8" w:rsidRPr="005408D0" w:rsidTr="002A2AE8">
        <w:tc>
          <w:tcPr>
            <w:tcW w:w="14395" w:type="dxa"/>
            <w:gridSpan w:val="8"/>
            <w:shd w:val="pct12" w:color="auto" w:fill="auto"/>
            <w:tcMar>
              <w:top w:w="100" w:type="nil"/>
              <w:right w:w="100" w:type="nil"/>
            </w:tcMar>
          </w:tcPr>
          <w:p w:rsidR="002A2AE8" w:rsidRPr="005408D0" w:rsidRDefault="002A2AE8" w:rsidP="002A2AE8">
            <w:pPr>
              <w:widowControl w:val="0"/>
              <w:autoSpaceDE w:val="0"/>
              <w:autoSpaceDN w:val="0"/>
              <w:adjustRightInd w:val="0"/>
              <w:rPr>
                <w:rFonts w:cstheme="minorHAnsi"/>
                <w:b/>
              </w:rPr>
            </w:pPr>
            <w:r w:rsidRPr="005408D0">
              <w:rPr>
                <w:rFonts w:cstheme="minorHAnsi"/>
                <w:b/>
              </w:rPr>
              <w:t xml:space="preserve">Actions </w:t>
            </w:r>
            <w:r w:rsidRPr="005408D0">
              <w:rPr>
                <w:rFonts w:cstheme="minorHAnsi"/>
              </w:rPr>
              <w:t>(Describe the decision-making process and actions planned for program improvement.  The actions should include a timeline.)</w:t>
            </w:r>
          </w:p>
        </w:tc>
      </w:tr>
      <w:tr w:rsidR="002A2AE8" w:rsidRPr="005408D0" w:rsidTr="002A2AE8">
        <w:trPr>
          <w:trHeight w:val="467"/>
        </w:trPr>
        <w:tc>
          <w:tcPr>
            <w:tcW w:w="14395" w:type="dxa"/>
            <w:gridSpan w:val="8"/>
            <w:shd w:val="pct12" w:color="auto" w:fill="auto"/>
            <w:tcMar>
              <w:top w:w="100" w:type="nil"/>
              <w:right w:w="100" w:type="nil"/>
            </w:tcMar>
          </w:tcPr>
          <w:p w:rsidR="002A2AE8" w:rsidRPr="005408D0" w:rsidRDefault="002A2AE8" w:rsidP="002A2AE8">
            <w:pPr>
              <w:jc w:val="both"/>
              <w:rPr>
                <w:rFonts w:cstheme="minorHAnsi"/>
              </w:rPr>
            </w:pPr>
            <w:r w:rsidRPr="005408D0">
              <w:rPr>
                <w:rFonts w:cstheme="minorHAnsi"/>
              </w:rPr>
              <w:t>Faculty exploring alternative direct measures beyond instructor-assessed assignments.</w:t>
            </w:r>
            <w:r>
              <w:rPr>
                <w:rFonts w:cstheme="minorHAnsi"/>
              </w:rPr>
              <w:t xml:space="preserve">  The faculty will explore a policy that MPH core courses must be taught by MPH faculty who have a service obligation to the program.  This will better ensure that data are provided and competency alignment/consistency in courses.</w:t>
            </w:r>
          </w:p>
        </w:tc>
      </w:tr>
      <w:tr w:rsidR="002A2AE8" w:rsidRPr="005408D0" w:rsidTr="002A2AE8">
        <w:tc>
          <w:tcPr>
            <w:tcW w:w="14395" w:type="dxa"/>
            <w:gridSpan w:val="8"/>
            <w:shd w:val="clear" w:color="auto" w:fill="auto"/>
            <w:tcMar>
              <w:top w:w="100" w:type="nil"/>
              <w:right w:w="100" w:type="nil"/>
            </w:tcMar>
          </w:tcPr>
          <w:p w:rsidR="002A2AE8" w:rsidRPr="005408D0" w:rsidRDefault="002A2AE8" w:rsidP="002A2AE8">
            <w:pPr>
              <w:jc w:val="both"/>
              <w:rPr>
                <w:rFonts w:cstheme="minorHAnsi"/>
                <w:b/>
                <w:bCs/>
              </w:rPr>
            </w:pPr>
            <w:r w:rsidRPr="005408D0">
              <w:rPr>
                <w:rFonts w:cstheme="minorHAnsi"/>
                <w:b/>
                <w:bCs/>
              </w:rPr>
              <w:t xml:space="preserve">Follow-Up </w:t>
            </w:r>
            <w:r w:rsidRPr="005408D0">
              <w:rPr>
                <w:rFonts w:cstheme="minorHAnsi"/>
                <w:bCs/>
              </w:rPr>
              <w:t>(Provide your timeline for follow-up.  If follow-up has occurred, describe how the actions above have resulted in program improvement.)</w:t>
            </w:r>
          </w:p>
        </w:tc>
      </w:tr>
      <w:tr w:rsidR="002A2AE8" w:rsidRPr="005408D0" w:rsidTr="002A2AE8">
        <w:tc>
          <w:tcPr>
            <w:tcW w:w="14395" w:type="dxa"/>
            <w:gridSpan w:val="8"/>
            <w:shd w:val="clear" w:color="auto" w:fill="auto"/>
            <w:tcMar>
              <w:top w:w="100" w:type="nil"/>
              <w:right w:w="100" w:type="nil"/>
            </w:tcMar>
          </w:tcPr>
          <w:p w:rsidR="002A2AE8" w:rsidRPr="005408D0" w:rsidRDefault="002A2AE8" w:rsidP="002A2AE8">
            <w:pPr>
              <w:jc w:val="both"/>
              <w:rPr>
                <w:rFonts w:cstheme="minorHAnsi"/>
                <w:bCs/>
              </w:rPr>
            </w:pPr>
            <w:r w:rsidRPr="005408D0">
              <w:rPr>
                <w:rFonts w:cstheme="minorHAnsi"/>
                <w:bCs/>
              </w:rPr>
              <w:t>Spring 2020, during MPH curriculum committee.</w:t>
            </w:r>
            <w:r>
              <w:rPr>
                <w:rFonts w:cstheme="minorHAnsi"/>
                <w:bCs/>
              </w:rPr>
              <w:t xml:space="preserve"> Policy passed policy in fall 2019.</w:t>
            </w:r>
          </w:p>
          <w:p w:rsidR="002A2AE8" w:rsidRPr="005408D0" w:rsidRDefault="002A2AE8" w:rsidP="002A2AE8">
            <w:pPr>
              <w:jc w:val="both"/>
              <w:rPr>
                <w:rFonts w:cstheme="minorHAnsi"/>
                <w:bCs/>
              </w:rPr>
            </w:pPr>
          </w:p>
        </w:tc>
      </w:tr>
    </w:tbl>
    <w:p w:rsidR="002A2AE8" w:rsidRPr="005408D0" w:rsidRDefault="002A2AE8" w:rsidP="002A2AE8">
      <w:pPr>
        <w:rPr>
          <w:rFonts w:cstheme="minorHAnsi"/>
        </w:rPr>
      </w:pPr>
    </w:p>
    <w:p w:rsidR="002A2AE8" w:rsidRPr="005408D0" w:rsidRDefault="002A2AE8" w:rsidP="002A2AE8">
      <w:pPr>
        <w:rPr>
          <w:rFonts w:cstheme="minorHAnsi"/>
        </w:rPr>
      </w:pPr>
    </w:p>
    <w:p w:rsidR="002A2AE8" w:rsidRDefault="002A2AE8" w:rsidP="002A2AE8">
      <w:pPr>
        <w:spacing w:after="0" w:line="240" w:lineRule="auto"/>
        <w:sectPr w:rsidR="002A2AE8" w:rsidSect="002A2AE8">
          <w:pgSz w:w="15840" w:h="12240" w:orient="landscape"/>
          <w:pgMar w:top="720" w:right="720" w:bottom="720" w:left="720" w:header="720" w:footer="720" w:gutter="0"/>
          <w:cols w:space="720"/>
          <w:docGrid w:linePitch="360"/>
        </w:sectPr>
      </w:pPr>
    </w:p>
    <w:p w:rsidR="002A2AE8" w:rsidRDefault="002A2AE8" w:rsidP="002A2AE8">
      <w:pPr>
        <w:spacing w:after="0" w:line="240" w:lineRule="auto"/>
      </w:pPr>
    </w:p>
    <w:p w:rsidR="002A2AE8" w:rsidRDefault="002A2AE8" w:rsidP="002A2AE8">
      <w:r>
        <w:t xml:space="preserve">Attached you’ll find a form to be completed for the required core courses. The purpose of this form is to ensure our revised curriculum provides classroom opportunities for students to develop foundational and WKU competencies. </w:t>
      </w:r>
    </w:p>
    <w:p w:rsidR="002A2AE8" w:rsidRPr="00174A38" w:rsidRDefault="002A2AE8" w:rsidP="002A2AE8">
      <w:pPr>
        <w:rPr>
          <w:u w:val="single"/>
        </w:rPr>
      </w:pPr>
      <w:r w:rsidRPr="00174A38">
        <w:rPr>
          <w:u w:val="single"/>
        </w:rPr>
        <w:t>Using this Form</w:t>
      </w:r>
    </w:p>
    <w:p w:rsidR="002A2AE8" w:rsidRDefault="002A2AE8" w:rsidP="002A2AE8">
      <w:pPr>
        <w:numPr>
          <w:ilvl w:val="0"/>
          <w:numId w:val="5"/>
        </w:numPr>
        <w:spacing w:after="0" w:line="240" w:lineRule="auto"/>
      </w:pPr>
      <w:r>
        <w:t xml:space="preserve">Please complete a separate form for each </w:t>
      </w:r>
      <w:r w:rsidRPr="00174A38">
        <w:rPr>
          <w:i/>
        </w:rPr>
        <w:t>required</w:t>
      </w:r>
      <w:r>
        <w:t xml:space="preserve"> core course that you teach. Please note your name and course name/number in the header.</w:t>
      </w:r>
    </w:p>
    <w:p w:rsidR="002A2AE8" w:rsidRDefault="002A2AE8" w:rsidP="002A2AE8">
      <w:pPr>
        <w:numPr>
          <w:ilvl w:val="0"/>
          <w:numId w:val="5"/>
        </w:numPr>
        <w:spacing w:after="0" w:line="240" w:lineRule="auto"/>
      </w:pPr>
      <w:r>
        <w:t xml:space="preserve">Link your course objectives (what is shown on your syllabi and/or other course materials) to the competencies they help meet. One objective may help fulfill parts of several competencies. Similarly, several objectives may meet one competency. If you do not wish to type out the objective in the space provided, please number your course objectives on your syllabus, place the number in the “Course Objective” column, and attach an electronic copy of your syllabus. </w:t>
      </w:r>
    </w:p>
    <w:p w:rsidR="002A2AE8" w:rsidRDefault="002A2AE8" w:rsidP="002A2AE8">
      <w:pPr>
        <w:numPr>
          <w:ilvl w:val="0"/>
          <w:numId w:val="5"/>
        </w:numPr>
        <w:spacing w:after="0" w:line="240" w:lineRule="auto"/>
      </w:pPr>
      <w:r>
        <w:t xml:space="preserve">Detail succinctly </w:t>
      </w:r>
      <w:r w:rsidRPr="005465D3">
        <w:rPr>
          <w:b/>
        </w:rPr>
        <w:t>the content</w:t>
      </w:r>
      <w:r>
        <w:t xml:space="preserve"> associated with each objective </w:t>
      </w:r>
      <w:r w:rsidRPr="005465D3">
        <w:rPr>
          <w:b/>
        </w:rPr>
        <w:t>and</w:t>
      </w:r>
      <w:r>
        <w:t xml:space="preserve"> describe the activities you use in class to deliver the content.  For example, you may use a video and course discussion to teach the historical foundations of epidemiology.  Note: You may use lots of different content/topics to meet one course objective; </w:t>
      </w:r>
      <w:r w:rsidRPr="00B030EF">
        <w:rPr>
          <w:u w:val="single"/>
        </w:rPr>
        <w:t xml:space="preserve">please list </w:t>
      </w:r>
      <w:r>
        <w:rPr>
          <w:u w:val="single"/>
        </w:rPr>
        <w:t>all</w:t>
      </w:r>
      <w:r w:rsidRPr="00B030EF">
        <w:rPr>
          <w:u w:val="single"/>
        </w:rPr>
        <w:t xml:space="preserve"> of them</w:t>
      </w:r>
      <w:r>
        <w:t xml:space="preserve">. Similarly, you may use many activities to deliver the content; </w:t>
      </w:r>
      <w:r w:rsidRPr="00B030EF">
        <w:rPr>
          <w:u w:val="single"/>
        </w:rPr>
        <w:t>please list all of them</w:t>
      </w:r>
      <w:r>
        <w:t xml:space="preserve">. Activities include things such as lecture, group discussion, case study, etc. </w:t>
      </w:r>
    </w:p>
    <w:p w:rsidR="002A2AE8" w:rsidRDefault="002A2AE8" w:rsidP="002A2AE8">
      <w:pPr>
        <w:numPr>
          <w:ilvl w:val="0"/>
          <w:numId w:val="5"/>
        </w:numPr>
        <w:spacing w:after="0" w:line="240" w:lineRule="auto"/>
      </w:pPr>
      <w:r>
        <w:t>Describe how the activity is assessed. Sometimes, the activity is also the assessment. For example, students may complete a case-study in class to facilitate learning on a specific topic. Working on the case study (the process) is the activity, and its completion (the product) is the assessment, regardless of whether it is a graded activity. CEPH requires us to provide very detailed information on the assessment, so please include the assessment with your grid. NOTE: Unless something has been covered didactically in class, it cannot have an assessment.</w:t>
      </w:r>
    </w:p>
    <w:p w:rsidR="002A2AE8" w:rsidRDefault="002A2AE8" w:rsidP="002A2AE8">
      <w:pPr>
        <w:numPr>
          <w:ilvl w:val="0"/>
          <w:numId w:val="5"/>
        </w:numPr>
        <w:spacing w:after="0" w:line="240" w:lineRule="auto"/>
      </w:pPr>
      <w:r>
        <w:t>Provide copy of assessment instructions and rubrics, if applicable.</w:t>
      </w:r>
    </w:p>
    <w:p w:rsidR="002A2AE8" w:rsidRDefault="002A2AE8" w:rsidP="002A2AE8"/>
    <w:p w:rsidR="002A2AE8" w:rsidRDefault="002A2AE8" w:rsidP="002A2AE8">
      <w:r>
        <w:t>Note: Please type your responses to facilitate compiling results.</w:t>
      </w:r>
    </w:p>
    <w:p w:rsidR="002A2AE8" w:rsidRPr="009C3E51" w:rsidRDefault="002A2AE8" w:rsidP="002A2AE8">
      <w:pPr>
        <w:jc w:val="center"/>
        <w:rPr>
          <w:sz w:val="36"/>
          <w:szCs w:val="36"/>
        </w:rPr>
      </w:pPr>
      <w:r w:rsidRPr="009C3E51">
        <w:rPr>
          <w:sz w:val="36"/>
          <w:szCs w:val="36"/>
          <w:highlight w:val="yellow"/>
        </w:rPr>
        <w:t>Please return your comple</w:t>
      </w:r>
      <w:r>
        <w:rPr>
          <w:sz w:val="36"/>
          <w:szCs w:val="36"/>
          <w:highlight w:val="yellow"/>
        </w:rPr>
        <w:t xml:space="preserve">ted forms to </w:t>
      </w:r>
      <w:hyperlink r:id="rId7" w:history="1">
        <w:r w:rsidRPr="00493F5C">
          <w:rPr>
            <w:rStyle w:val="Hyperlink"/>
            <w:sz w:val="36"/>
            <w:szCs w:val="36"/>
            <w:highlight w:val="yellow"/>
          </w:rPr>
          <w:t>marilyn.gardner@wku.edu</w:t>
        </w:r>
      </w:hyperlink>
      <w:r>
        <w:rPr>
          <w:sz w:val="36"/>
          <w:szCs w:val="36"/>
          <w:highlight w:val="yellow"/>
        </w:rPr>
        <w:t xml:space="preserve"> by August 10</w:t>
      </w:r>
      <w:r w:rsidRPr="00E850C4">
        <w:rPr>
          <w:sz w:val="36"/>
          <w:szCs w:val="36"/>
          <w:highlight w:val="yellow"/>
          <w:vertAlign w:val="superscript"/>
        </w:rPr>
        <w:t>th</w:t>
      </w:r>
      <w:r>
        <w:rPr>
          <w:sz w:val="36"/>
          <w:szCs w:val="36"/>
          <w:highlight w:val="yellow"/>
        </w:rPr>
        <w:t>.</w:t>
      </w:r>
    </w:p>
    <w:p w:rsidR="002A2AE8" w:rsidRDefault="002A2AE8" w:rsidP="002A2AE8">
      <w:r>
        <w:br w:type="page"/>
      </w:r>
    </w:p>
    <w:p w:rsidR="002A2AE8" w:rsidRDefault="002A2AE8" w:rsidP="002A2AE8">
      <w:pPr>
        <w:sectPr w:rsidR="002A2AE8" w:rsidSect="002A2AE8">
          <w:headerReference w:type="even" r:id="rId8"/>
          <w:headerReference w:type="default" r:id="rId9"/>
          <w:footerReference w:type="default" r:id="rId10"/>
          <w:pgSz w:w="12240" w:h="15840"/>
          <w:pgMar w:top="1440" w:right="1440" w:bottom="1440" w:left="1440" w:header="720" w:footer="720" w:gutter="0"/>
          <w:cols w:space="720"/>
          <w:docGrid w:linePitch="360"/>
        </w:sectPr>
      </w:pPr>
    </w:p>
    <w:tbl>
      <w:tblPr>
        <w:tblStyle w:val="TableGrid"/>
        <w:tblW w:w="13585" w:type="dxa"/>
        <w:tblLook w:val="04A0" w:firstRow="1" w:lastRow="0" w:firstColumn="1" w:lastColumn="0" w:noHBand="0" w:noVBand="1"/>
      </w:tblPr>
      <w:tblGrid>
        <w:gridCol w:w="4135"/>
        <w:gridCol w:w="3420"/>
        <w:gridCol w:w="2970"/>
        <w:gridCol w:w="3060"/>
      </w:tblGrid>
      <w:tr w:rsidR="002A2AE8" w:rsidTr="002A2AE8">
        <w:tc>
          <w:tcPr>
            <w:tcW w:w="4135" w:type="dxa"/>
          </w:tcPr>
          <w:p w:rsidR="002A2AE8" w:rsidRDefault="002A2AE8" w:rsidP="002A2AE8"/>
        </w:tc>
        <w:tc>
          <w:tcPr>
            <w:tcW w:w="3420" w:type="dxa"/>
          </w:tcPr>
          <w:p w:rsidR="002A2AE8" w:rsidRDefault="002A2AE8" w:rsidP="002A2AE8">
            <w:r>
              <w:t>Course Learning Objective (should be on syllabus)</w:t>
            </w:r>
          </w:p>
        </w:tc>
        <w:tc>
          <w:tcPr>
            <w:tcW w:w="2970" w:type="dxa"/>
          </w:tcPr>
          <w:p w:rsidR="002A2AE8" w:rsidRDefault="002A2AE8" w:rsidP="002A2AE8">
            <w:r>
              <w:t>Course Content/Activity</w:t>
            </w:r>
          </w:p>
        </w:tc>
        <w:tc>
          <w:tcPr>
            <w:tcW w:w="3060" w:type="dxa"/>
          </w:tcPr>
          <w:p w:rsidR="002A2AE8" w:rsidRDefault="002A2AE8" w:rsidP="002A2AE8">
            <w:r>
              <w:t>Assessment of content</w:t>
            </w:r>
          </w:p>
        </w:tc>
      </w:tr>
      <w:tr w:rsidR="002A2AE8" w:rsidTr="002A2AE8">
        <w:tc>
          <w:tcPr>
            <w:tcW w:w="13585" w:type="dxa"/>
            <w:gridSpan w:val="4"/>
            <w:shd w:val="clear" w:color="auto" w:fill="D0CECE" w:themeFill="background2" w:themeFillShade="E6"/>
          </w:tcPr>
          <w:p w:rsidR="002A2AE8" w:rsidRPr="003361A5" w:rsidRDefault="002A2AE8" w:rsidP="002A2AE8">
            <w:r w:rsidRPr="003361A5">
              <w:t xml:space="preserve">Evidence-based Approaches to Public Health </w:t>
            </w:r>
          </w:p>
        </w:tc>
      </w:tr>
      <w:tr w:rsidR="002A2AE8" w:rsidTr="002A2AE8">
        <w:tc>
          <w:tcPr>
            <w:tcW w:w="4135" w:type="dxa"/>
          </w:tcPr>
          <w:p w:rsidR="002A2AE8" w:rsidRPr="00374271" w:rsidRDefault="002A2AE8" w:rsidP="002A2AE8">
            <w:pPr>
              <w:pStyle w:val="xdefault"/>
              <w:spacing w:after="13" w:afterAutospacing="0"/>
              <w:rPr>
                <w:rFonts w:asciiTheme="minorHAnsi" w:hAnsiTheme="minorHAnsi"/>
                <w:sz w:val="22"/>
                <w:szCs w:val="22"/>
              </w:rPr>
            </w:pPr>
            <w:r w:rsidRPr="00770F22">
              <w:rPr>
                <w:rFonts w:asciiTheme="minorHAnsi" w:hAnsiTheme="minorHAnsi"/>
                <w:sz w:val="22"/>
                <w:szCs w:val="22"/>
              </w:rPr>
              <w:t xml:space="preserve">1. Apply epidemiological methods to the breadth of settings and situations in public health practice </w:t>
            </w:r>
          </w:p>
        </w:tc>
        <w:tc>
          <w:tcPr>
            <w:tcW w:w="3420" w:type="dxa"/>
          </w:tcPr>
          <w:p w:rsidR="002A2AE8" w:rsidRDefault="002A2AE8" w:rsidP="002A2AE8"/>
        </w:tc>
        <w:tc>
          <w:tcPr>
            <w:tcW w:w="2970" w:type="dxa"/>
          </w:tcPr>
          <w:p w:rsidR="002A2AE8" w:rsidRDefault="002A2AE8" w:rsidP="002A2AE8"/>
        </w:tc>
        <w:tc>
          <w:tcPr>
            <w:tcW w:w="3060" w:type="dxa"/>
          </w:tcPr>
          <w:p w:rsidR="002A2AE8" w:rsidRDefault="002A2AE8" w:rsidP="002A2AE8"/>
        </w:tc>
      </w:tr>
      <w:tr w:rsidR="002A2AE8" w:rsidTr="002A2AE8">
        <w:tc>
          <w:tcPr>
            <w:tcW w:w="4135" w:type="dxa"/>
          </w:tcPr>
          <w:p w:rsidR="002A2AE8" w:rsidRPr="00770F22" w:rsidRDefault="002A2AE8" w:rsidP="002A2AE8">
            <w:pPr>
              <w:pStyle w:val="xdefault"/>
              <w:spacing w:after="13" w:afterAutospacing="0"/>
              <w:rPr>
                <w:rFonts w:asciiTheme="minorHAnsi" w:hAnsiTheme="minorHAnsi"/>
                <w:sz w:val="22"/>
                <w:szCs w:val="22"/>
              </w:rPr>
            </w:pPr>
            <w:r w:rsidRPr="00770F22">
              <w:rPr>
                <w:rFonts w:asciiTheme="minorHAnsi" w:hAnsiTheme="minorHAnsi"/>
                <w:sz w:val="22"/>
                <w:szCs w:val="22"/>
              </w:rPr>
              <w:t xml:space="preserve">2. Select quantitative and qualitative data collection methods appropriate for a given public health context </w:t>
            </w:r>
          </w:p>
        </w:tc>
        <w:tc>
          <w:tcPr>
            <w:tcW w:w="3420" w:type="dxa"/>
          </w:tcPr>
          <w:p w:rsidR="002A2AE8" w:rsidRDefault="002A2AE8" w:rsidP="002A2AE8"/>
        </w:tc>
        <w:tc>
          <w:tcPr>
            <w:tcW w:w="2970" w:type="dxa"/>
          </w:tcPr>
          <w:p w:rsidR="002A2AE8" w:rsidRDefault="002A2AE8" w:rsidP="002A2AE8"/>
        </w:tc>
        <w:tc>
          <w:tcPr>
            <w:tcW w:w="3060" w:type="dxa"/>
          </w:tcPr>
          <w:p w:rsidR="002A2AE8" w:rsidRDefault="002A2AE8" w:rsidP="002A2AE8"/>
        </w:tc>
      </w:tr>
      <w:tr w:rsidR="002A2AE8" w:rsidTr="002A2AE8">
        <w:tc>
          <w:tcPr>
            <w:tcW w:w="4135" w:type="dxa"/>
          </w:tcPr>
          <w:p w:rsidR="002A2AE8" w:rsidRPr="00770F22" w:rsidRDefault="002A2AE8" w:rsidP="002A2AE8">
            <w:pPr>
              <w:pStyle w:val="xdefault"/>
              <w:spacing w:after="13" w:afterAutospacing="0"/>
              <w:rPr>
                <w:rFonts w:asciiTheme="minorHAnsi" w:hAnsiTheme="minorHAnsi"/>
                <w:sz w:val="22"/>
                <w:szCs w:val="22"/>
              </w:rPr>
            </w:pPr>
            <w:r w:rsidRPr="00770F22">
              <w:rPr>
                <w:rFonts w:asciiTheme="minorHAnsi" w:hAnsiTheme="minorHAnsi"/>
                <w:sz w:val="22"/>
                <w:szCs w:val="22"/>
              </w:rPr>
              <w:t xml:space="preserve">3. Analyze quantitative and qualitative data using biostatistics, informatics, computer-based programming and software, as appropriate </w:t>
            </w:r>
          </w:p>
        </w:tc>
        <w:tc>
          <w:tcPr>
            <w:tcW w:w="3420" w:type="dxa"/>
          </w:tcPr>
          <w:p w:rsidR="002A2AE8" w:rsidRDefault="002A2AE8" w:rsidP="002A2AE8"/>
        </w:tc>
        <w:tc>
          <w:tcPr>
            <w:tcW w:w="2970" w:type="dxa"/>
          </w:tcPr>
          <w:p w:rsidR="002A2AE8" w:rsidRDefault="002A2AE8" w:rsidP="002A2AE8"/>
        </w:tc>
        <w:tc>
          <w:tcPr>
            <w:tcW w:w="3060" w:type="dxa"/>
          </w:tcPr>
          <w:p w:rsidR="002A2AE8" w:rsidRDefault="002A2AE8" w:rsidP="002A2AE8"/>
        </w:tc>
      </w:tr>
      <w:tr w:rsidR="002A2AE8" w:rsidTr="002A2AE8">
        <w:tc>
          <w:tcPr>
            <w:tcW w:w="4135" w:type="dxa"/>
          </w:tcPr>
          <w:p w:rsidR="002A2AE8" w:rsidRPr="00374271" w:rsidRDefault="002A2AE8" w:rsidP="002A2AE8">
            <w:pPr>
              <w:pStyle w:val="xdefault"/>
              <w:rPr>
                <w:rFonts w:asciiTheme="minorHAnsi" w:hAnsiTheme="minorHAnsi"/>
                <w:sz w:val="22"/>
                <w:szCs w:val="22"/>
              </w:rPr>
            </w:pPr>
            <w:r w:rsidRPr="00770F22">
              <w:rPr>
                <w:rFonts w:asciiTheme="minorHAnsi" w:hAnsiTheme="minorHAnsi"/>
                <w:sz w:val="22"/>
                <w:szCs w:val="22"/>
              </w:rPr>
              <w:t xml:space="preserve">4. Interpret results of data analysis for public health research, policy or practice </w:t>
            </w:r>
          </w:p>
        </w:tc>
        <w:tc>
          <w:tcPr>
            <w:tcW w:w="3420" w:type="dxa"/>
          </w:tcPr>
          <w:p w:rsidR="002A2AE8" w:rsidRDefault="002A2AE8" w:rsidP="002A2AE8"/>
        </w:tc>
        <w:tc>
          <w:tcPr>
            <w:tcW w:w="2970" w:type="dxa"/>
          </w:tcPr>
          <w:p w:rsidR="002A2AE8" w:rsidRDefault="002A2AE8" w:rsidP="002A2AE8"/>
        </w:tc>
        <w:tc>
          <w:tcPr>
            <w:tcW w:w="3060" w:type="dxa"/>
          </w:tcPr>
          <w:p w:rsidR="002A2AE8" w:rsidRDefault="002A2AE8" w:rsidP="002A2AE8"/>
        </w:tc>
      </w:tr>
      <w:tr w:rsidR="002A2AE8" w:rsidTr="002A2AE8">
        <w:tc>
          <w:tcPr>
            <w:tcW w:w="13585" w:type="dxa"/>
            <w:gridSpan w:val="4"/>
            <w:shd w:val="clear" w:color="auto" w:fill="D0CECE" w:themeFill="background2" w:themeFillShade="E6"/>
          </w:tcPr>
          <w:p w:rsidR="002A2AE8" w:rsidRPr="003361A5" w:rsidRDefault="002A2AE8" w:rsidP="002A2AE8">
            <w:r w:rsidRPr="003361A5">
              <w:rPr>
                <w:rFonts w:eastAsia="Times New Roman" w:cs="Arial"/>
                <w:color w:val="000000"/>
              </w:rPr>
              <w:t xml:space="preserve">Public Health &amp; Health Care Systems </w:t>
            </w:r>
          </w:p>
        </w:tc>
      </w:tr>
      <w:tr w:rsidR="002A2AE8" w:rsidTr="002A2AE8">
        <w:tc>
          <w:tcPr>
            <w:tcW w:w="4135" w:type="dxa"/>
          </w:tcPr>
          <w:p w:rsidR="002A2AE8" w:rsidRPr="00AE3B45" w:rsidRDefault="002A2AE8" w:rsidP="002A2AE8">
            <w:pPr>
              <w:spacing w:after="2"/>
              <w:rPr>
                <w:rFonts w:eastAsia="Times New Roman" w:cs="Times New Roman"/>
              </w:rPr>
            </w:pPr>
            <w:r w:rsidRPr="00AE3B45">
              <w:rPr>
                <w:rFonts w:eastAsia="Times New Roman" w:cs="Arial"/>
                <w:color w:val="000000"/>
              </w:rPr>
              <w:t xml:space="preserve">5. Compare the organization, structure and function of health care, public health and regulatory systems across national and international settings </w:t>
            </w:r>
          </w:p>
        </w:tc>
        <w:tc>
          <w:tcPr>
            <w:tcW w:w="3420" w:type="dxa"/>
          </w:tcPr>
          <w:p w:rsidR="002A2AE8" w:rsidRDefault="002A2AE8" w:rsidP="002A2AE8"/>
        </w:tc>
        <w:tc>
          <w:tcPr>
            <w:tcW w:w="2970" w:type="dxa"/>
          </w:tcPr>
          <w:p w:rsidR="002A2AE8" w:rsidRDefault="002A2AE8" w:rsidP="002A2AE8"/>
        </w:tc>
        <w:tc>
          <w:tcPr>
            <w:tcW w:w="3060" w:type="dxa"/>
          </w:tcPr>
          <w:p w:rsidR="002A2AE8" w:rsidRDefault="002A2AE8" w:rsidP="002A2AE8"/>
        </w:tc>
      </w:tr>
      <w:tr w:rsidR="002A2AE8" w:rsidTr="002A2AE8">
        <w:tc>
          <w:tcPr>
            <w:tcW w:w="4135" w:type="dxa"/>
          </w:tcPr>
          <w:p w:rsidR="002A2AE8" w:rsidRPr="00770F22" w:rsidRDefault="002A2AE8" w:rsidP="002A2AE8">
            <w:pPr>
              <w:rPr>
                <w:rFonts w:eastAsia="Times New Roman" w:cs="Times New Roman"/>
              </w:rPr>
            </w:pPr>
            <w:r w:rsidRPr="00AE3B45">
              <w:rPr>
                <w:rFonts w:eastAsia="Times New Roman" w:cs="Arial"/>
                <w:color w:val="000000"/>
              </w:rPr>
              <w:t>6. Discuss the means by which structural bias, social inequities and racism undermine health and create challenges to achieving health equity at organizational, community and societal levels</w:t>
            </w:r>
            <w:r w:rsidRPr="00770F22">
              <w:rPr>
                <w:rFonts w:eastAsia="Times New Roman" w:cs="Arial"/>
                <w:color w:val="000000"/>
              </w:rPr>
              <w:t xml:space="preserve"> </w:t>
            </w:r>
          </w:p>
        </w:tc>
        <w:tc>
          <w:tcPr>
            <w:tcW w:w="3420" w:type="dxa"/>
          </w:tcPr>
          <w:p w:rsidR="002A2AE8" w:rsidRPr="00034E70" w:rsidRDefault="002A2AE8" w:rsidP="002A2AE8">
            <w:pPr>
              <w:rPr>
                <w:rFonts w:ascii="Arial" w:hAnsi="Arial" w:cs="Arial"/>
                <w:sz w:val="20"/>
                <w:szCs w:val="20"/>
              </w:rPr>
            </w:pPr>
          </w:p>
        </w:tc>
        <w:tc>
          <w:tcPr>
            <w:tcW w:w="2970" w:type="dxa"/>
          </w:tcPr>
          <w:p w:rsidR="002A2AE8" w:rsidRDefault="002A2AE8" w:rsidP="002A2AE8"/>
        </w:tc>
        <w:tc>
          <w:tcPr>
            <w:tcW w:w="3060" w:type="dxa"/>
          </w:tcPr>
          <w:p w:rsidR="002A2AE8" w:rsidRDefault="002A2AE8" w:rsidP="002A2AE8"/>
        </w:tc>
      </w:tr>
      <w:tr w:rsidR="002A2AE8" w:rsidTr="002A2AE8">
        <w:tc>
          <w:tcPr>
            <w:tcW w:w="13585" w:type="dxa"/>
            <w:gridSpan w:val="4"/>
            <w:shd w:val="clear" w:color="auto" w:fill="D0CECE" w:themeFill="background2" w:themeFillShade="E6"/>
          </w:tcPr>
          <w:p w:rsidR="002A2AE8" w:rsidRPr="003361A5" w:rsidRDefault="002A2AE8" w:rsidP="002A2AE8">
            <w:r w:rsidRPr="003361A5">
              <w:rPr>
                <w:rFonts w:eastAsia="Times New Roman" w:cs="Arial"/>
                <w:color w:val="000000"/>
              </w:rPr>
              <w:t xml:space="preserve">Planning &amp; Management to Promote Health </w:t>
            </w:r>
          </w:p>
        </w:tc>
      </w:tr>
      <w:tr w:rsidR="002A2AE8" w:rsidTr="002A2AE8">
        <w:tc>
          <w:tcPr>
            <w:tcW w:w="4135" w:type="dxa"/>
          </w:tcPr>
          <w:p w:rsidR="002A2AE8" w:rsidRPr="00770F22" w:rsidRDefault="002A2AE8" w:rsidP="002A2AE8">
            <w:pPr>
              <w:spacing w:after="13"/>
              <w:rPr>
                <w:rFonts w:eastAsia="Times New Roman" w:cs="Times New Roman"/>
              </w:rPr>
            </w:pPr>
            <w:r w:rsidRPr="00770F22">
              <w:rPr>
                <w:rFonts w:eastAsia="Times New Roman" w:cs="Arial"/>
                <w:color w:val="000000"/>
              </w:rPr>
              <w:t xml:space="preserve">7. Assess population needs, assets and capacities that affect communities’ health </w:t>
            </w:r>
          </w:p>
        </w:tc>
        <w:tc>
          <w:tcPr>
            <w:tcW w:w="3420" w:type="dxa"/>
          </w:tcPr>
          <w:p w:rsidR="002A2AE8" w:rsidRPr="00770F22" w:rsidRDefault="002A2AE8" w:rsidP="002A2AE8"/>
        </w:tc>
        <w:tc>
          <w:tcPr>
            <w:tcW w:w="2970" w:type="dxa"/>
          </w:tcPr>
          <w:p w:rsidR="002A2AE8" w:rsidRPr="00770F22" w:rsidRDefault="002A2AE8" w:rsidP="002A2AE8"/>
        </w:tc>
        <w:tc>
          <w:tcPr>
            <w:tcW w:w="3060" w:type="dxa"/>
          </w:tcPr>
          <w:p w:rsidR="002A2AE8" w:rsidRPr="00770F22" w:rsidRDefault="002A2AE8" w:rsidP="002A2AE8"/>
        </w:tc>
      </w:tr>
      <w:tr w:rsidR="002A2AE8" w:rsidTr="002A2AE8">
        <w:tc>
          <w:tcPr>
            <w:tcW w:w="4135" w:type="dxa"/>
          </w:tcPr>
          <w:p w:rsidR="002A2AE8" w:rsidRPr="00770F22" w:rsidRDefault="002A2AE8" w:rsidP="002A2AE8">
            <w:pPr>
              <w:spacing w:after="13"/>
              <w:rPr>
                <w:rFonts w:eastAsia="Times New Roman" w:cs="Times New Roman"/>
              </w:rPr>
            </w:pPr>
            <w:r w:rsidRPr="00770F22">
              <w:rPr>
                <w:rFonts w:eastAsia="Times New Roman" w:cs="Arial"/>
                <w:color w:val="000000"/>
              </w:rPr>
              <w:t xml:space="preserve">8. Apply awareness of cultural values and practices to the design or implementation of public health policies or programs </w:t>
            </w:r>
          </w:p>
        </w:tc>
        <w:tc>
          <w:tcPr>
            <w:tcW w:w="3420" w:type="dxa"/>
          </w:tcPr>
          <w:p w:rsidR="002A2AE8" w:rsidRPr="00770F22" w:rsidRDefault="002A2AE8" w:rsidP="002A2AE8"/>
        </w:tc>
        <w:tc>
          <w:tcPr>
            <w:tcW w:w="2970" w:type="dxa"/>
          </w:tcPr>
          <w:p w:rsidR="002A2AE8" w:rsidRPr="00770F22" w:rsidRDefault="002A2AE8" w:rsidP="002A2AE8"/>
        </w:tc>
        <w:tc>
          <w:tcPr>
            <w:tcW w:w="3060" w:type="dxa"/>
          </w:tcPr>
          <w:p w:rsidR="002A2AE8" w:rsidRPr="00770F22" w:rsidRDefault="002A2AE8" w:rsidP="002A2AE8"/>
        </w:tc>
      </w:tr>
      <w:tr w:rsidR="002A2AE8" w:rsidTr="002A2AE8">
        <w:tc>
          <w:tcPr>
            <w:tcW w:w="4135" w:type="dxa"/>
          </w:tcPr>
          <w:p w:rsidR="002A2AE8" w:rsidRPr="00770F22" w:rsidRDefault="002A2AE8" w:rsidP="002A2AE8">
            <w:pPr>
              <w:spacing w:after="13"/>
              <w:rPr>
                <w:rFonts w:eastAsia="Times New Roman" w:cs="Times New Roman"/>
              </w:rPr>
            </w:pPr>
            <w:r w:rsidRPr="00770F22">
              <w:rPr>
                <w:rFonts w:eastAsia="Times New Roman" w:cs="Arial"/>
                <w:color w:val="000000"/>
              </w:rPr>
              <w:t xml:space="preserve">9. Design a population-based policy, program, project or intervention </w:t>
            </w:r>
          </w:p>
        </w:tc>
        <w:tc>
          <w:tcPr>
            <w:tcW w:w="3420" w:type="dxa"/>
          </w:tcPr>
          <w:p w:rsidR="002A2AE8" w:rsidRPr="00770F22" w:rsidRDefault="002A2AE8" w:rsidP="002A2AE8"/>
        </w:tc>
        <w:tc>
          <w:tcPr>
            <w:tcW w:w="2970" w:type="dxa"/>
          </w:tcPr>
          <w:p w:rsidR="002A2AE8" w:rsidRPr="00770F22" w:rsidRDefault="002A2AE8" w:rsidP="002A2AE8"/>
        </w:tc>
        <w:tc>
          <w:tcPr>
            <w:tcW w:w="3060" w:type="dxa"/>
          </w:tcPr>
          <w:p w:rsidR="002A2AE8" w:rsidRPr="00770F22" w:rsidRDefault="002A2AE8" w:rsidP="002A2AE8"/>
        </w:tc>
      </w:tr>
      <w:tr w:rsidR="002A2AE8" w:rsidTr="002A2AE8">
        <w:tc>
          <w:tcPr>
            <w:tcW w:w="4135" w:type="dxa"/>
          </w:tcPr>
          <w:p w:rsidR="002A2AE8" w:rsidRPr="00770F22" w:rsidRDefault="002A2AE8" w:rsidP="002A2AE8">
            <w:pPr>
              <w:spacing w:after="13"/>
              <w:rPr>
                <w:rFonts w:eastAsia="Times New Roman" w:cs="Times New Roman"/>
              </w:rPr>
            </w:pPr>
            <w:r w:rsidRPr="00770F22">
              <w:rPr>
                <w:rFonts w:eastAsia="Times New Roman" w:cs="Arial"/>
                <w:color w:val="000000"/>
              </w:rPr>
              <w:lastRenderedPageBreak/>
              <w:t xml:space="preserve">10. Explain basic principles and tools of budget and resource management </w:t>
            </w:r>
          </w:p>
        </w:tc>
        <w:tc>
          <w:tcPr>
            <w:tcW w:w="3420" w:type="dxa"/>
          </w:tcPr>
          <w:p w:rsidR="002A2AE8" w:rsidRPr="00770F22" w:rsidRDefault="002A2AE8" w:rsidP="002A2AE8"/>
        </w:tc>
        <w:tc>
          <w:tcPr>
            <w:tcW w:w="2970" w:type="dxa"/>
          </w:tcPr>
          <w:p w:rsidR="002A2AE8" w:rsidRPr="00770F22" w:rsidRDefault="002A2AE8" w:rsidP="002A2AE8"/>
        </w:tc>
        <w:tc>
          <w:tcPr>
            <w:tcW w:w="3060" w:type="dxa"/>
          </w:tcPr>
          <w:p w:rsidR="002A2AE8" w:rsidRPr="00770F22" w:rsidRDefault="002A2AE8" w:rsidP="002A2AE8"/>
        </w:tc>
      </w:tr>
      <w:tr w:rsidR="002A2AE8" w:rsidTr="002A2AE8">
        <w:tc>
          <w:tcPr>
            <w:tcW w:w="4135" w:type="dxa"/>
          </w:tcPr>
          <w:p w:rsidR="002A2AE8" w:rsidRPr="00770F22" w:rsidRDefault="002A2AE8" w:rsidP="002A2AE8">
            <w:pPr>
              <w:rPr>
                <w:rFonts w:eastAsia="Times New Roman" w:cs="Times New Roman"/>
              </w:rPr>
            </w:pPr>
            <w:r w:rsidRPr="00770F22">
              <w:rPr>
                <w:rFonts w:eastAsia="Times New Roman" w:cs="Arial"/>
                <w:color w:val="000000"/>
              </w:rPr>
              <w:t xml:space="preserve">11. Select methods to evaluate public health programs </w:t>
            </w:r>
          </w:p>
        </w:tc>
        <w:tc>
          <w:tcPr>
            <w:tcW w:w="3420" w:type="dxa"/>
          </w:tcPr>
          <w:p w:rsidR="002A2AE8" w:rsidRPr="00770F22" w:rsidRDefault="002A2AE8" w:rsidP="002A2AE8"/>
        </w:tc>
        <w:tc>
          <w:tcPr>
            <w:tcW w:w="2970" w:type="dxa"/>
          </w:tcPr>
          <w:p w:rsidR="002A2AE8" w:rsidRPr="00770F22" w:rsidRDefault="002A2AE8" w:rsidP="002A2AE8"/>
        </w:tc>
        <w:tc>
          <w:tcPr>
            <w:tcW w:w="3060" w:type="dxa"/>
          </w:tcPr>
          <w:p w:rsidR="002A2AE8" w:rsidRPr="00770F22" w:rsidRDefault="002A2AE8" w:rsidP="002A2AE8"/>
        </w:tc>
      </w:tr>
      <w:tr w:rsidR="002A2AE8" w:rsidTr="002A2AE8">
        <w:tc>
          <w:tcPr>
            <w:tcW w:w="13585" w:type="dxa"/>
            <w:gridSpan w:val="4"/>
            <w:shd w:val="clear" w:color="auto" w:fill="D0CECE" w:themeFill="background2" w:themeFillShade="E6"/>
          </w:tcPr>
          <w:p w:rsidR="002A2AE8" w:rsidRPr="003361A5" w:rsidRDefault="002A2AE8" w:rsidP="002A2AE8">
            <w:r w:rsidRPr="003361A5">
              <w:t xml:space="preserve">Policy in Public Health </w:t>
            </w:r>
          </w:p>
        </w:tc>
      </w:tr>
      <w:tr w:rsidR="002A2AE8" w:rsidTr="002A2AE8">
        <w:tc>
          <w:tcPr>
            <w:tcW w:w="4135" w:type="dxa"/>
          </w:tcPr>
          <w:p w:rsidR="002A2AE8" w:rsidRPr="00997075" w:rsidRDefault="002A2AE8" w:rsidP="002A2AE8">
            <w:r w:rsidRPr="00997075">
              <w:t xml:space="preserve">12. Discuss multiple dimensions of the policy-making process, including the roles of ethics and evidence </w:t>
            </w:r>
          </w:p>
        </w:tc>
        <w:tc>
          <w:tcPr>
            <w:tcW w:w="3420" w:type="dxa"/>
          </w:tcPr>
          <w:p w:rsidR="002A2AE8" w:rsidRDefault="002A2AE8" w:rsidP="002A2AE8"/>
        </w:tc>
        <w:tc>
          <w:tcPr>
            <w:tcW w:w="2970" w:type="dxa"/>
          </w:tcPr>
          <w:p w:rsidR="002A2AE8" w:rsidRDefault="002A2AE8" w:rsidP="002A2AE8"/>
        </w:tc>
        <w:tc>
          <w:tcPr>
            <w:tcW w:w="3060" w:type="dxa"/>
          </w:tcPr>
          <w:p w:rsidR="002A2AE8" w:rsidRDefault="002A2AE8" w:rsidP="002A2AE8"/>
        </w:tc>
      </w:tr>
      <w:tr w:rsidR="002A2AE8" w:rsidTr="002A2AE8">
        <w:tc>
          <w:tcPr>
            <w:tcW w:w="4135" w:type="dxa"/>
          </w:tcPr>
          <w:p w:rsidR="002A2AE8" w:rsidRDefault="002A2AE8" w:rsidP="002A2AE8">
            <w:r w:rsidRPr="00770F22">
              <w:t>13. Propose strategies to identify stakeholders and build coalitions and partnerships for</w:t>
            </w:r>
            <w:r>
              <w:t xml:space="preserve"> influencing public health outco</w:t>
            </w:r>
            <w:r w:rsidRPr="00770F22">
              <w:t xml:space="preserve">mes </w:t>
            </w:r>
          </w:p>
        </w:tc>
        <w:tc>
          <w:tcPr>
            <w:tcW w:w="3420" w:type="dxa"/>
          </w:tcPr>
          <w:p w:rsidR="002A2AE8" w:rsidRDefault="002A2AE8" w:rsidP="002A2AE8"/>
        </w:tc>
        <w:tc>
          <w:tcPr>
            <w:tcW w:w="2970" w:type="dxa"/>
          </w:tcPr>
          <w:p w:rsidR="002A2AE8" w:rsidRDefault="002A2AE8" w:rsidP="002A2AE8"/>
        </w:tc>
        <w:tc>
          <w:tcPr>
            <w:tcW w:w="3060" w:type="dxa"/>
          </w:tcPr>
          <w:p w:rsidR="002A2AE8" w:rsidRDefault="002A2AE8" w:rsidP="002A2AE8"/>
        </w:tc>
      </w:tr>
      <w:tr w:rsidR="002A2AE8" w:rsidTr="002A2AE8">
        <w:tc>
          <w:tcPr>
            <w:tcW w:w="4135" w:type="dxa"/>
          </w:tcPr>
          <w:p w:rsidR="002A2AE8" w:rsidRDefault="002A2AE8" w:rsidP="002A2AE8">
            <w:r w:rsidRPr="00770F22">
              <w:t xml:space="preserve">14. Advocate for political, social or economic policies and programs that will improve health in diverse populations </w:t>
            </w:r>
          </w:p>
        </w:tc>
        <w:tc>
          <w:tcPr>
            <w:tcW w:w="3420" w:type="dxa"/>
          </w:tcPr>
          <w:p w:rsidR="002A2AE8" w:rsidRDefault="002A2AE8" w:rsidP="002A2AE8"/>
        </w:tc>
        <w:tc>
          <w:tcPr>
            <w:tcW w:w="2970" w:type="dxa"/>
          </w:tcPr>
          <w:p w:rsidR="002A2AE8" w:rsidRDefault="002A2AE8" w:rsidP="002A2AE8"/>
        </w:tc>
        <w:tc>
          <w:tcPr>
            <w:tcW w:w="3060" w:type="dxa"/>
          </w:tcPr>
          <w:p w:rsidR="002A2AE8" w:rsidRDefault="002A2AE8" w:rsidP="002A2AE8"/>
        </w:tc>
      </w:tr>
      <w:tr w:rsidR="002A2AE8" w:rsidTr="002A2AE8">
        <w:tc>
          <w:tcPr>
            <w:tcW w:w="4135" w:type="dxa"/>
          </w:tcPr>
          <w:p w:rsidR="002A2AE8" w:rsidRPr="00A76020" w:rsidRDefault="002A2AE8" w:rsidP="002A2AE8">
            <w:r w:rsidRPr="00A76020">
              <w:t xml:space="preserve">15. Evaluate policies for their impact on public health and health equity </w:t>
            </w:r>
          </w:p>
        </w:tc>
        <w:tc>
          <w:tcPr>
            <w:tcW w:w="3420" w:type="dxa"/>
          </w:tcPr>
          <w:p w:rsidR="002A2AE8" w:rsidRPr="00A76020" w:rsidRDefault="002A2AE8" w:rsidP="002A2AE8">
            <w:pPr>
              <w:rPr>
                <w:rFonts w:ascii="Arial" w:hAnsi="Arial" w:cs="Arial"/>
                <w:sz w:val="20"/>
                <w:szCs w:val="20"/>
              </w:rPr>
            </w:pPr>
          </w:p>
        </w:tc>
        <w:tc>
          <w:tcPr>
            <w:tcW w:w="2970" w:type="dxa"/>
          </w:tcPr>
          <w:p w:rsidR="002A2AE8" w:rsidRDefault="002A2AE8" w:rsidP="002A2AE8"/>
        </w:tc>
        <w:tc>
          <w:tcPr>
            <w:tcW w:w="3060" w:type="dxa"/>
          </w:tcPr>
          <w:p w:rsidR="002A2AE8" w:rsidRDefault="002A2AE8" w:rsidP="002A2AE8"/>
        </w:tc>
      </w:tr>
      <w:tr w:rsidR="002A2AE8" w:rsidTr="002A2AE8">
        <w:tc>
          <w:tcPr>
            <w:tcW w:w="13585" w:type="dxa"/>
            <w:gridSpan w:val="4"/>
            <w:shd w:val="clear" w:color="auto" w:fill="D0CECE" w:themeFill="background2" w:themeFillShade="E6"/>
          </w:tcPr>
          <w:p w:rsidR="002A2AE8" w:rsidRPr="003361A5" w:rsidRDefault="002A2AE8" w:rsidP="002A2AE8">
            <w:r w:rsidRPr="003361A5">
              <w:t xml:space="preserve">Leadership </w:t>
            </w:r>
          </w:p>
        </w:tc>
      </w:tr>
      <w:tr w:rsidR="002A2AE8" w:rsidTr="002A2AE8">
        <w:tc>
          <w:tcPr>
            <w:tcW w:w="4135" w:type="dxa"/>
          </w:tcPr>
          <w:p w:rsidR="002A2AE8" w:rsidRPr="00770F22" w:rsidRDefault="002A2AE8" w:rsidP="002A2AE8">
            <w:r w:rsidRPr="00374271">
              <w:t xml:space="preserve">16. Apply principles of leadership, governance and management, which include creating a vision, empowering others, fostering collaboration and guiding decision making </w:t>
            </w:r>
          </w:p>
        </w:tc>
        <w:tc>
          <w:tcPr>
            <w:tcW w:w="3420" w:type="dxa"/>
          </w:tcPr>
          <w:p w:rsidR="002A2AE8" w:rsidRDefault="002A2AE8" w:rsidP="002A2AE8"/>
        </w:tc>
        <w:tc>
          <w:tcPr>
            <w:tcW w:w="2970" w:type="dxa"/>
          </w:tcPr>
          <w:p w:rsidR="002A2AE8" w:rsidRDefault="002A2AE8" w:rsidP="002A2AE8"/>
        </w:tc>
        <w:tc>
          <w:tcPr>
            <w:tcW w:w="3060" w:type="dxa"/>
          </w:tcPr>
          <w:p w:rsidR="002A2AE8" w:rsidRDefault="002A2AE8" w:rsidP="002A2AE8"/>
        </w:tc>
      </w:tr>
      <w:tr w:rsidR="002A2AE8" w:rsidTr="002A2AE8">
        <w:tc>
          <w:tcPr>
            <w:tcW w:w="4135" w:type="dxa"/>
          </w:tcPr>
          <w:p w:rsidR="002A2AE8" w:rsidRPr="00770F22" w:rsidRDefault="002A2AE8" w:rsidP="002A2AE8">
            <w:r w:rsidRPr="00374271">
              <w:t xml:space="preserve">17. Apply negotiation and mediation skills to address organizational or community challenges </w:t>
            </w:r>
          </w:p>
        </w:tc>
        <w:tc>
          <w:tcPr>
            <w:tcW w:w="3420" w:type="dxa"/>
          </w:tcPr>
          <w:p w:rsidR="002A2AE8" w:rsidRDefault="002A2AE8" w:rsidP="002A2AE8"/>
        </w:tc>
        <w:tc>
          <w:tcPr>
            <w:tcW w:w="2970" w:type="dxa"/>
          </w:tcPr>
          <w:p w:rsidR="002A2AE8" w:rsidRDefault="002A2AE8" w:rsidP="002A2AE8"/>
        </w:tc>
        <w:tc>
          <w:tcPr>
            <w:tcW w:w="3060" w:type="dxa"/>
          </w:tcPr>
          <w:p w:rsidR="002A2AE8" w:rsidRDefault="002A2AE8" w:rsidP="002A2AE8"/>
        </w:tc>
      </w:tr>
      <w:tr w:rsidR="002A2AE8" w:rsidTr="002A2AE8">
        <w:tc>
          <w:tcPr>
            <w:tcW w:w="13585" w:type="dxa"/>
            <w:gridSpan w:val="4"/>
            <w:shd w:val="clear" w:color="auto" w:fill="D0CECE" w:themeFill="background2" w:themeFillShade="E6"/>
          </w:tcPr>
          <w:p w:rsidR="002A2AE8" w:rsidRPr="003361A5" w:rsidRDefault="002A2AE8" w:rsidP="002A2AE8">
            <w:r w:rsidRPr="003361A5">
              <w:t xml:space="preserve">Communication </w:t>
            </w:r>
          </w:p>
        </w:tc>
      </w:tr>
      <w:tr w:rsidR="002A2AE8" w:rsidTr="002A2AE8">
        <w:tc>
          <w:tcPr>
            <w:tcW w:w="4135" w:type="dxa"/>
          </w:tcPr>
          <w:p w:rsidR="002A2AE8" w:rsidRPr="00770F22" w:rsidRDefault="002A2AE8" w:rsidP="002A2AE8">
            <w:r w:rsidRPr="00374271">
              <w:t xml:space="preserve">18. Select communication strategies for different audiences and sectors </w:t>
            </w:r>
          </w:p>
        </w:tc>
        <w:tc>
          <w:tcPr>
            <w:tcW w:w="3420" w:type="dxa"/>
          </w:tcPr>
          <w:p w:rsidR="002A2AE8" w:rsidRDefault="002A2AE8" w:rsidP="002A2AE8"/>
        </w:tc>
        <w:tc>
          <w:tcPr>
            <w:tcW w:w="2970" w:type="dxa"/>
          </w:tcPr>
          <w:p w:rsidR="002A2AE8" w:rsidRDefault="002A2AE8" w:rsidP="002A2AE8"/>
        </w:tc>
        <w:tc>
          <w:tcPr>
            <w:tcW w:w="3060" w:type="dxa"/>
          </w:tcPr>
          <w:p w:rsidR="002A2AE8" w:rsidRDefault="002A2AE8" w:rsidP="002A2AE8"/>
        </w:tc>
      </w:tr>
      <w:tr w:rsidR="002A2AE8" w:rsidTr="002A2AE8">
        <w:tc>
          <w:tcPr>
            <w:tcW w:w="4135" w:type="dxa"/>
          </w:tcPr>
          <w:p w:rsidR="002A2AE8" w:rsidRPr="00770F22" w:rsidRDefault="002A2AE8" w:rsidP="002A2AE8">
            <w:r w:rsidRPr="00374271">
              <w:t xml:space="preserve">19. Communicate audience-appropriate public health content, both in writing and through oral presentation </w:t>
            </w:r>
          </w:p>
        </w:tc>
        <w:tc>
          <w:tcPr>
            <w:tcW w:w="3420" w:type="dxa"/>
          </w:tcPr>
          <w:p w:rsidR="002A2AE8" w:rsidRDefault="002A2AE8" w:rsidP="002A2AE8"/>
        </w:tc>
        <w:tc>
          <w:tcPr>
            <w:tcW w:w="2970" w:type="dxa"/>
          </w:tcPr>
          <w:p w:rsidR="002A2AE8" w:rsidRDefault="002A2AE8" w:rsidP="002A2AE8"/>
        </w:tc>
        <w:tc>
          <w:tcPr>
            <w:tcW w:w="3060" w:type="dxa"/>
          </w:tcPr>
          <w:p w:rsidR="002A2AE8" w:rsidRDefault="002A2AE8" w:rsidP="002A2AE8"/>
        </w:tc>
      </w:tr>
      <w:tr w:rsidR="002A2AE8" w:rsidTr="002A2AE8">
        <w:tc>
          <w:tcPr>
            <w:tcW w:w="4135" w:type="dxa"/>
          </w:tcPr>
          <w:p w:rsidR="002A2AE8" w:rsidRPr="00770F22" w:rsidRDefault="002A2AE8" w:rsidP="002A2AE8">
            <w:r w:rsidRPr="00374271">
              <w:lastRenderedPageBreak/>
              <w:t xml:space="preserve">20. Describe the importance of cultural competence in communicating public health content </w:t>
            </w:r>
          </w:p>
        </w:tc>
        <w:tc>
          <w:tcPr>
            <w:tcW w:w="3420" w:type="dxa"/>
          </w:tcPr>
          <w:p w:rsidR="002A2AE8" w:rsidRDefault="002A2AE8" w:rsidP="002A2AE8"/>
        </w:tc>
        <w:tc>
          <w:tcPr>
            <w:tcW w:w="2970" w:type="dxa"/>
          </w:tcPr>
          <w:p w:rsidR="002A2AE8" w:rsidRDefault="002A2AE8" w:rsidP="002A2AE8"/>
        </w:tc>
        <w:tc>
          <w:tcPr>
            <w:tcW w:w="3060" w:type="dxa"/>
          </w:tcPr>
          <w:p w:rsidR="002A2AE8" w:rsidRDefault="002A2AE8" w:rsidP="002A2AE8"/>
        </w:tc>
      </w:tr>
      <w:tr w:rsidR="002A2AE8" w:rsidTr="002A2AE8">
        <w:tc>
          <w:tcPr>
            <w:tcW w:w="13585" w:type="dxa"/>
            <w:gridSpan w:val="4"/>
            <w:shd w:val="clear" w:color="auto" w:fill="D0CECE" w:themeFill="background2" w:themeFillShade="E6"/>
          </w:tcPr>
          <w:p w:rsidR="002A2AE8" w:rsidRPr="003361A5" w:rsidRDefault="002A2AE8" w:rsidP="002A2AE8">
            <w:r>
              <w:t xml:space="preserve">Interprofessional Practice:  </w:t>
            </w:r>
            <w:r w:rsidRPr="00090A88">
              <w:rPr>
                <w:rFonts w:ascii="Arial" w:eastAsia="Times New Roman" w:hAnsi="Arial" w:cs="Arial"/>
                <w:color w:val="000000"/>
                <w:sz w:val="18"/>
                <w:szCs w:val="18"/>
              </w:rPr>
              <w:t>“interprofessional” refers to engagement with professionals outside of public health (eg, architects, nurses), rather than to engagement with individuals from other public health disciplines (eg, biostatisticians, health promotion specialists).</w:t>
            </w:r>
          </w:p>
        </w:tc>
      </w:tr>
      <w:tr w:rsidR="002A2AE8" w:rsidTr="002A2AE8">
        <w:tc>
          <w:tcPr>
            <w:tcW w:w="4135" w:type="dxa"/>
          </w:tcPr>
          <w:p w:rsidR="002A2AE8" w:rsidRPr="00770F22" w:rsidRDefault="002A2AE8" w:rsidP="002A2AE8">
            <w:r w:rsidRPr="00374271">
              <w:t xml:space="preserve">21. Perform effectively on interprofessional teams </w:t>
            </w:r>
          </w:p>
        </w:tc>
        <w:tc>
          <w:tcPr>
            <w:tcW w:w="3420" w:type="dxa"/>
          </w:tcPr>
          <w:p w:rsidR="002A2AE8" w:rsidRDefault="002A2AE8" w:rsidP="002A2AE8"/>
        </w:tc>
        <w:tc>
          <w:tcPr>
            <w:tcW w:w="2970" w:type="dxa"/>
          </w:tcPr>
          <w:p w:rsidR="002A2AE8" w:rsidRDefault="002A2AE8" w:rsidP="002A2AE8"/>
        </w:tc>
        <w:tc>
          <w:tcPr>
            <w:tcW w:w="3060" w:type="dxa"/>
          </w:tcPr>
          <w:p w:rsidR="002A2AE8" w:rsidRDefault="002A2AE8" w:rsidP="002A2AE8"/>
        </w:tc>
      </w:tr>
      <w:tr w:rsidR="002A2AE8" w:rsidTr="002A2AE8">
        <w:tc>
          <w:tcPr>
            <w:tcW w:w="13585" w:type="dxa"/>
            <w:gridSpan w:val="4"/>
            <w:shd w:val="clear" w:color="auto" w:fill="D0CECE" w:themeFill="background2" w:themeFillShade="E6"/>
          </w:tcPr>
          <w:p w:rsidR="002A2AE8" w:rsidRPr="003361A5" w:rsidRDefault="002A2AE8" w:rsidP="002A2AE8">
            <w:r w:rsidRPr="003361A5">
              <w:t xml:space="preserve">Systems Thinking </w:t>
            </w:r>
          </w:p>
        </w:tc>
      </w:tr>
      <w:tr w:rsidR="002A2AE8" w:rsidTr="002A2AE8">
        <w:tc>
          <w:tcPr>
            <w:tcW w:w="4135" w:type="dxa"/>
            <w:tcBorders>
              <w:bottom w:val="single" w:sz="4" w:space="0" w:color="auto"/>
            </w:tcBorders>
          </w:tcPr>
          <w:p w:rsidR="002A2AE8" w:rsidRPr="00374271" w:rsidRDefault="002A2AE8" w:rsidP="002A2AE8">
            <w:r w:rsidRPr="00374271">
              <w:t>22. Apply system</w:t>
            </w:r>
            <w:r>
              <w:t>s thinking tools to a public hea</w:t>
            </w:r>
            <w:r w:rsidRPr="00374271">
              <w:t xml:space="preserve">lth issue </w:t>
            </w:r>
          </w:p>
        </w:tc>
        <w:tc>
          <w:tcPr>
            <w:tcW w:w="3420" w:type="dxa"/>
            <w:tcBorders>
              <w:bottom w:val="single" w:sz="4" w:space="0" w:color="auto"/>
            </w:tcBorders>
          </w:tcPr>
          <w:p w:rsidR="002A2AE8" w:rsidRDefault="002A2AE8" w:rsidP="002A2AE8"/>
        </w:tc>
        <w:tc>
          <w:tcPr>
            <w:tcW w:w="2970" w:type="dxa"/>
            <w:tcBorders>
              <w:bottom w:val="single" w:sz="4" w:space="0" w:color="auto"/>
            </w:tcBorders>
          </w:tcPr>
          <w:p w:rsidR="002A2AE8" w:rsidRDefault="002A2AE8" w:rsidP="002A2AE8"/>
        </w:tc>
        <w:tc>
          <w:tcPr>
            <w:tcW w:w="3060" w:type="dxa"/>
            <w:tcBorders>
              <w:bottom w:val="single" w:sz="4" w:space="0" w:color="auto"/>
            </w:tcBorders>
          </w:tcPr>
          <w:p w:rsidR="002A2AE8" w:rsidRDefault="002A2AE8" w:rsidP="002A2AE8"/>
        </w:tc>
      </w:tr>
      <w:tr w:rsidR="002A2AE8" w:rsidTr="002A2AE8">
        <w:tc>
          <w:tcPr>
            <w:tcW w:w="13585" w:type="dxa"/>
            <w:gridSpan w:val="4"/>
            <w:shd w:val="pct12" w:color="auto" w:fill="auto"/>
          </w:tcPr>
          <w:p w:rsidR="002A2AE8" w:rsidRDefault="002A2AE8" w:rsidP="002A2AE8">
            <w:r>
              <w:t>WKU Competencies</w:t>
            </w:r>
          </w:p>
        </w:tc>
      </w:tr>
      <w:tr w:rsidR="002A2AE8" w:rsidTr="002A2AE8">
        <w:tc>
          <w:tcPr>
            <w:tcW w:w="4135" w:type="dxa"/>
          </w:tcPr>
          <w:p w:rsidR="002A2AE8" w:rsidRPr="00562627" w:rsidRDefault="002A2AE8" w:rsidP="002A2AE8">
            <w:pPr>
              <w:rPr>
                <w:color w:val="000000"/>
              </w:rPr>
            </w:pPr>
            <w:r>
              <w:t xml:space="preserve">23. Apply health behavior theories and models to address public health problems. </w:t>
            </w:r>
          </w:p>
        </w:tc>
        <w:tc>
          <w:tcPr>
            <w:tcW w:w="3420" w:type="dxa"/>
          </w:tcPr>
          <w:p w:rsidR="002A2AE8" w:rsidRDefault="002A2AE8" w:rsidP="002A2AE8"/>
        </w:tc>
        <w:tc>
          <w:tcPr>
            <w:tcW w:w="2970" w:type="dxa"/>
          </w:tcPr>
          <w:p w:rsidR="002A2AE8" w:rsidRDefault="002A2AE8" w:rsidP="002A2AE8"/>
        </w:tc>
        <w:tc>
          <w:tcPr>
            <w:tcW w:w="3060" w:type="dxa"/>
          </w:tcPr>
          <w:p w:rsidR="002A2AE8" w:rsidRDefault="002A2AE8" w:rsidP="002A2AE8"/>
        </w:tc>
      </w:tr>
      <w:tr w:rsidR="002A2AE8" w:rsidTr="002A2AE8">
        <w:tc>
          <w:tcPr>
            <w:tcW w:w="4135" w:type="dxa"/>
            <w:tcBorders>
              <w:bottom w:val="single" w:sz="4" w:space="0" w:color="auto"/>
            </w:tcBorders>
          </w:tcPr>
          <w:p w:rsidR="002A2AE8" w:rsidRPr="00374271" w:rsidRDefault="002A2AE8" w:rsidP="002A2AE8">
            <w:r>
              <w:rPr>
                <w:color w:val="000000"/>
              </w:rPr>
              <w:t xml:space="preserve">24. </w:t>
            </w:r>
            <w:r w:rsidRPr="00562627">
              <w:rPr>
                <w:color w:val="000000"/>
              </w:rPr>
              <w:t xml:space="preserve">Describe the role of budgeting; methods of seeking extramural funding; and methods of financial analysis in making decisions about policies, programs and services. </w:t>
            </w:r>
          </w:p>
        </w:tc>
        <w:tc>
          <w:tcPr>
            <w:tcW w:w="3420" w:type="dxa"/>
            <w:tcBorders>
              <w:bottom w:val="single" w:sz="4" w:space="0" w:color="auto"/>
            </w:tcBorders>
          </w:tcPr>
          <w:p w:rsidR="002A2AE8" w:rsidRDefault="002A2AE8" w:rsidP="002A2AE8"/>
        </w:tc>
        <w:tc>
          <w:tcPr>
            <w:tcW w:w="2970" w:type="dxa"/>
            <w:tcBorders>
              <w:bottom w:val="single" w:sz="4" w:space="0" w:color="auto"/>
            </w:tcBorders>
          </w:tcPr>
          <w:p w:rsidR="002A2AE8" w:rsidRDefault="002A2AE8" w:rsidP="002A2AE8"/>
        </w:tc>
        <w:tc>
          <w:tcPr>
            <w:tcW w:w="3060" w:type="dxa"/>
            <w:tcBorders>
              <w:bottom w:val="single" w:sz="4" w:space="0" w:color="auto"/>
            </w:tcBorders>
          </w:tcPr>
          <w:p w:rsidR="002A2AE8" w:rsidRDefault="002A2AE8" w:rsidP="002A2AE8"/>
        </w:tc>
      </w:tr>
      <w:tr w:rsidR="002A2AE8" w:rsidTr="002A2AE8">
        <w:tc>
          <w:tcPr>
            <w:tcW w:w="4135" w:type="dxa"/>
            <w:tcBorders>
              <w:bottom w:val="single" w:sz="4" w:space="0" w:color="auto"/>
            </w:tcBorders>
          </w:tcPr>
          <w:p w:rsidR="002A2AE8" w:rsidRPr="00374271" w:rsidRDefault="002A2AE8" w:rsidP="002A2AE8">
            <w:r w:rsidRPr="006176B1">
              <w:t>25. Discuss theoretical models a</w:t>
            </w:r>
            <w:r>
              <w:t xml:space="preserve">nd methods used to understand, </w:t>
            </w:r>
            <w:r w:rsidRPr="006176B1">
              <w:t>explain, and ameliorate health disparities.</w:t>
            </w:r>
          </w:p>
        </w:tc>
        <w:tc>
          <w:tcPr>
            <w:tcW w:w="3420" w:type="dxa"/>
            <w:tcBorders>
              <w:bottom w:val="single" w:sz="4" w:space="0" w:color="auto"/>
            </w:tcBorders>
          </w:tcPr>
          <w:p w:rsidR="002A2AE8" w:rsidRDefault="002A2AE8" w:rsidP="002A2AE8"/>
        </w:tc>
        <w:tc>
          <w:tcPr>
            <w:tcW w:w="2970" w:type="dxa"/>
            <w:tcBorders>
              <w:bottom w:val="single" w:sz="4" w:space="0" w:color="auto"/>
            </w:tcBorders>
          </w:tcPr>
          <w:p w:rsidR="002A2AE8" w:rsidRDefault="002A2AE8" w:rsidP="002A2AE8"/>
        </w:tc>
        <w:tc>
          <w:tcPr>
            <w:tcW w:w="3060" w:type="dxa"/>
            <w:tcBorders>
              <w:bottom w:val="single" w:sz="4" w:space="0" w:color="auto"/>
            </w:tcBorders>
          </w:tcPr>
          <w:p w:rsidR="002A2AE8" w:rsidRDefault="002A2AE8" w:rsidP="002A2AE8"/>
        </w:tc>
      </w:tr>
      <w:tr w:rsidR="002A2AE8" w:rsidTr="002A2AE8">
        <w:tc>
          <w:tcPr>
            <w:tcW w:w="4135" w:type="dxa"/>
            <w:tcBorders>
              <w:bottom w:val="single" w:sz="4" w:space="0" w:color="auto"/>
            </w:tcBorders>
          </w:tcPr>
          <w:p w:rsidR="002A2AE8" w:rsidRPr="00374271" w:rsidRDefault="002A2AE8" w:rsidP="002A2AE8">
            <w:r w:rsidRPr="0071276C">
              <w:t>26. Integrate social determinants into public health science, practice, and research.</w:t>
            </w:r>
          </w:p>
        </w:tc>
        <w:tc>
          <w:tcPr>
            <w:tcW w:w="3420" w:type="dxa"/>
            <w:tcBorders>
              <w:bottom w:val="single" w:sz="4" w:space="0" w:color="auto"/>
            </w:tcBorders>
          </w:tcPr>
          <w:p w:rsidR="002A2AE8" w:rsidRDefault="002A2AE8" w:rsidP="002A2AE8"/>
        </w:tc>
        <w:tc>
          <w:tcPr>
            <w:tcW w:w="2970" w:type="dxa"/>
            <w:tcBorders>
              <w:bottom w:val="single" w:sz="4" w:space="0" w:color="auto"/>
            </w:tcBorders>
          </w:tcPr>
          <w:p w:rsidR="002A2AE8" w:rsidRDefault="002A2AE8" w:rsidP="002A2AE8"/>
        </w:tc>
        <w:tc>
          <w:tcPr>
            <w:tcW w:w="3060" w:type="dxa"/>
            <w:tcBorders>
              <w:bottom w:val="single" w:sz="4" w:space="0" w:color="auto"/>
            </w:tcBorders>
          </w:tcPr>
          <w:p w:rsidR="002A2AE8" w:rsidRDefault="002A2AE8" w:rsidP="002A2AE8"/>
        </w:tc>
      </w:tr>
      <w:tr w:rsidR="002A2AE8" w:rsidTr="002A2AE8">
        <w:tc>
          <w:tcPr>
            <w:tcW w:w="4135" w:type="dxa"/>
            <w:tcBorders>
              <w:bottom w:val="single" w:sz="4" w:space="0" w:color="auto"/>
            </w:tcBorders>
          </w:tcPr>
          <w:p w:rsidR="002A2AE8" w:rsidRPr="00374271" w:rsidRDefault="002A2AE8" w:rsidP="002A2AE8">
            <w:pPr>
              <w:spacing w:after="160" w:line="259" w:lineRule="auto"/>
            </w:pPr>
            <w:r>
              <w:t>27. Identify the direct and indirect population health effects of environmental hazards (biological, chemical and physical) on humans, animals and the ecology.</w:t>
            </w:r>
          </w:p>
        </w:tc>
        <w:tc>
          <w:tcPr>
            <w:tcW w:w="3420" w:type="dxa"/>
            <w:tcBorders>
              <w:bottom w:val="single" w:sz="4" w:space="0" w:color="auto"/>
            </w:tcBorders>
          </w:tcPr>
          <w:p w:rsidR="002A2AE8" w:rsidRDefault="002A2AE8" w:rsidP="002A2AE8"/>
        </w:tc>
        <w:tc>
          <w:tcPr>
            <w:tcW w:w="2970" w:type="dxa"/>
            <w:tcBorders>
              <w:bottom w:val="single" w:sz="4" w:space="0" w:color="auto"/>
            </w:tcBorders>
          </w:tcPr>
          <w:p w:rsidR="002A2AE8" w:rsidRDefault="002A2AE8" w:rsidP="002A2AE8"/>
        </w:tc>
        <w:tc>
          <w:tcPr>
            <w:tcW w:w="3060" w:type="dxa"/>
            <w:tcBorders>
              <w:bottom w:val="single" w:sz="4" w:space="0" w:color="auto"/>
            </w:tcBorders>
          </w:tcPr>
          <w:p w:rsidR="002A2AE8" w:rsidRDefault="002A2AE8" w:rsidP="002A2AE8"/>
        </w:tc>
      </w:tr>
    </w:tbl>
    <w:p w:rsidR="002A2AE8" w:rsidRPr="00A35A0B" w:rsidRDefault="002A2AE8" w:rsidP="002A2AE8">
      <w:pPr>
        <w:tabs>
          <w:tab w:val="left" w:pos="4728"/>
        </w:tabs>
      </w:pPr>
      <w:r>
        <w:tab/>
      </w:r>
    </w:p>
    <w:p w:rsidR="002A2AE8" w:rsidRDefault="002A2AE8"/>
    <w:tbl>
      <w:tblPr>
        <w:tblStyle w:val="TableGrid"/>
        <w:tblpPr w:leftFromText="180" w:rightFromText="180" w:horzAnchor="margin" w:tblpXSpec="center" w:tblpY="853"/>
        <w:tblW w:w="10710" w:type="dxa"/>
        <w:tblLook w:val="04A0" w:firstRow="1" w:lastRow="0" w:firstColumn="1" w:lastColumn="0" w:noHBand="0" w:noVBand="1"/>
      </w:tblPr>
      <w:tblGrid>
        <w:gridCol w:w="2520"/>
        <w:gridCol w:w="2700"/>
        <w:gridCol w:w="2700"/>
        <w:gridCol w:w="2790"/>
      </w:tblGrid>
      <w:tr w:rsidR="004E6255" w:rsidRPr="00672E10" w:rsidTr="00BB19B6">
        <w:tc>
          <w:tcPr>
            <w:tcW w:w="2520" w:type="dxa"/>
          </w:tcPr>
          <w:p w:rsidR="004E6255" w:rsidRPr="00672E10" w:rsidRDefault="004E6255" w:rsidP="00BB19B6">
            <w:pPr>
              <w:rPr>
                <w:rFonts w:asciiTheme="majorHAnsi" w:hAnsiTheme="majorHAnsi"/>
              </w:rPr>
            </w:pPr>
            <w:r w:rsidRPr="00672E10">
              <w:rPr>
                <w:rFonts w:asciiTheme="majorHAnsi" w:hAnsiTheme="majorHAnsi"/>
              </w:rPr>
              <w:lastRenderedPageBreak/>
              <w:t>Assessment Dimension</w:t>
            </w:r>
          </w:p>
        </w:tc>
        <w:tc>
          <w:tcPr>
            <w:tcW w:w="2700" w:type="dxa"/>
          </w:tcPr>
          <w:p w:rsidR="004E6255" w:rsidRPr="00672E10" w:rsidRDefault="004E6255" w:rsidP="00BB19B6">
            <w:pPr>
              <w:rPr>
                <w:rFonts w:asciiTheme="majorHAnsi" w:hAnsiTheme="majorHAnsi"/>
              </w:rPr>
            </w:pPr>
            <w:r w:rsidRPr="00672E10">
              <w:rPr>
                <w:rFonts w:asciiTheme="majorHAnsi" w:hAnsiTheme="majorHAnsi"/>
              </w:rPr>
              <w:t>Needs Improvement (1)</w:t>
            </w:r>
          </w:p>
        </w:tc>
        <w:tc>
          <w:tcPr>
            <w:tcW w:w="2700" w:type="dxa"/>
          </w:tcPr>
          <w:p w:rsidR="004E6255" w:rsidRPr="00672E10" w:rsidRDefault="004E6255" w:rsidP="00BB19B6">
            <w:pPr>
              <w:rPr>
                <w:rFonts w:asciiTheme="majorHAnsi" w:hAnsiTheme="majorHAnsi"/>
              </w:rPr>
            </w:pPr>
            <w:r w:rsidRPr="00672E10">
              <w:rPr>
                <w:rFonts w:asciiTheme="majorHAnsi" w:hAnsiTheme="majorHAnsi"/>
              </w:rPr>
              <w:t>Acceptable (2)</w:t>
            </w:r>
          </w:p>
        </w:tc>
        <w:tc>
          <w:tcPr>
            <w:tcW w:w="2790" w:type="dxa"/>
          </w:tcPr>
          <w:p w:rsidR="004E6255" w:rsidRPr="00672E10" w:rsidRDefault="004E6255" w:rsidP="00BB19B6">
            <w:pPr>
              <w:rPr>
                <w:rFonts w:asciiTheme="majorHAnsi" w:hAnsiTheme="majorHAnsi"/>
              </w:rPr>
            </w:pPr>
            <w:r w:rsidRPr="00672E10">
              <w:rPr>
                <w:rFonts w:asciiTheme="majorHAnsi" w:hAnsiTheme="majorHAnsi"/>
              </w:rPr>
              <w:t>Proficient (3)</w:t>
            </w:r>
          </w:p>
        </w:tc>
      </w:tr>
      <w:tr w:rsidR="004E6255" w:rsidRPr="00672E10" w:rsidTr="00BB19B6">
        <w:tc>
          <w:tcPr>
            <w:tcW w:w="2520" w:type="dxa"/>
          </w:tcPr>
          <w:p w:rsidR="004E6255" w:rsidRPr="00672E10" w:rsidRDefault="004E6255" w:rsidP="00BB19B6">
            <w:pPr>
              <w:spacing w:line="252" w:lineRule="auto"/>
              <w:rPr>
                <w:rFonts w:asciiTheme="majorHAnsi" w:hAnsiTheme="majorHAnsi"/>
                <w:i/>
              </w:rPr>
            </w:pPr>
            <w:r w:rsidRPr="00672E10">
              <w:rPr>
                <w:rFonts w:asciiTheme="majorHAnsi" w:hAnsiTheme="majorHAnsi"/>
                <w:b/>
                <w:i/>
              </w:rPr>
              <w:t>Writing:</w:t>
            </w:r>
            <w:r w:rsidRPr="00672E10">
              <w:rPr>
                <w:rFonts w:asciiTheme="majorHAnsi" w:hAnsiTheme="majorHAnsi"/>
                <w:i/>
              </w:rPr>
              <w:t xml:space="preserve">  clear, concise, well-organized, correct grammar &amp; usage</w:t>
            </w:r>
          </w:p>
        </w:tc>
        <w:tc>
          <w:tcPr>
            <w:tcW w:w="2700" w:type="dxa"/>
          </w:tcPr>
          <w:p w:rsidR="004E6255" w:rsidRPr="00672E10" w:rsidRDefault="004E6255" w:rsidP="00BB19B6">
            <w:pPr>
              <w:spacing w:line="252" w:lineRule="auto"/>
              <w:rPr>
                <w:rFonts w:asciiTheme="majorHAnsi" w:hAnsiTheme="majorHAnsi"/>
              </w:rPr>
            </w:pPr>
            <w:r w:rsidRPr="00672E10">
              <w:rPr>
                <w:rFonts w:asciiTheme="majorHAnsi" w:hAnsiTheme="majorHAnsi"/>
              </w:rPr>
              <w:t>Writing has deficits in multiple areas that could be professionally detrimental</w:t>
            </w:r>
          </w:p>
        </w:tc>
        <w:tc>
          <w:tcPr>
            <w:tcW w:w="2700" w:type="dxa"/>
          </w:tcPr>
          <w:p w:rsidR="004E6255" w:rsidRPr="00672E10" w:rsidRDefault="004E6255" w:rsidP="00BB19B6">
            <w:pPr>
              <w:rPr>
                <w:rFonts w:asciiTheme="majorHAnsi" w:hAnsiTheme="majorHAnsi"/>
              </w:rPr>
            </w:pPr>
            <w:r w:rsidRPr="00672E10">
              <w:rPr>
                <w:rFonts w:asciiTheme="majorHAnsi" w:hAnsiTheme="majorHAnsi"/>
              </w:rPr>
              <w:t>Writing has deficits in some areas and lacks some clarity but overall is acceptable in professional settings</w:t>
            </w:r>
          </w:p>
        </w:tc>
        <w:tc>
          <w:tcPr>
            <w:tcW w:w="2790" w:type="dxa"/>
          </w:tcPr>
          <w:p w:rsidR="004E6255" w:rsidRPr="00672E10" w:rsidRDefault="004E6255" w:rsidP="00BB19B6">
            <w:pPr>
              <w:spacing w:line="252" w:lineRule="auto"/>
              <w:rPr>
                <w:rFonts w:asciiTheme="majorHAnsi" w:hAnsiTheme="majorHAnsi"/>
              </w:rPr>
            </w:pPr>
            <w:r w:rsidRPr="00672E10">
              <w:rPr>
                <w:rFonts w:asciiTheme="majorHAnsi" w:hAnsiTheme="majorHAnsi"/>
              </w:rPr>
              <w:t xml:space="preserve">Writing is clear and concise and is a strong professional product </w:t>
            </w:r>
          </w:p>
        </w:tc>
      </w:tr>
      <w:tr w:rsidR="004E6255" w:rsidRPr="00672E10" w:rsidTr="00BB19B6">
        <w:tc>
          <w:tcPr>
            <w:tcW w:w="2520" w:type="dxa"/>
          </w:tcPr>
          <w:p w:rsidR="004E6255" w:rsidRPr="00672E10" w:rsidRDefault="004E6255" w:rsidP="00BB19B6">
            <w:pPr>
              <w:spacing w:line="252" w:lineRule="auto"/>
              <w:rPr>
                <w:rFonts w:asciiTheme="majorHAnsi" w:hAnsiTheme="majorHAnsi"/>
                <w:i/>
              </w:rPr>
            </w:pPr>
            <w:r w:rsidRPr="00672E10">
              <w:rPr>
                <w:rFonts w:asciiTheme="majorHAnsi" w:hAnsiTheme="majorHAnsi"/>
                <w:b/>
                <w:i/>
              </w:rPr>
              <w:t xml:space="preserve">Use of evidence:  </w:t>
            </w:r>
            <w:r w:rsidRPr="00672E10">
              <w:rPr>
                <w:rFonts w:asciiTheme="majorHAnsi" w:hAnsiTheme="majorHAnsi"/>
                <w:i/>
              </w:rPr>
              <w:t>Evidence is relevant, sources correctly cited, and synthesized to effectively provide insight into the question/issue</w:t>
            </w:r>
          </w:p>
        </w:tc>
        <w:tc>
          <w:tcPr>
            <w:tcW w:w="2700" w:type="dxa"/>
          </w:tcPr>
          <w:p w:rsidR="004E6255" w:rsidRPr="00672E10" w:rsidRDefault="004E6255" w:rsidP="00BB19B6">
            <w:pPr>
              <w:spacing w:line="252" w:lineRule="auto"/>
              <w:rPr>
                <w:rFonts w:asciiTheme="majorHAnsi" w:hAnsiTheme="majorHAnsi"/>
              </w:rPr>
            </w:pPr>
            <w:r w:rsidRPr="00672E10">
              <w:rPr>
                <w:rFonts w:asciiTheme="majorHAnsi" w:hAnsiTheme="majorHAnsi"/>
              </w:rPr>
              <w:t>Evidence is weak and/or not relevant to the question/issue posed with sources poorly cited</w:t>
            </w:r>
          </w:p>
        </w:tc>
        <w:tc>
          <w:tcPr>
            <w:tcW w:w="2700" w:type="dxa"/>
          </w:tcPr>
          <w:p w:rsidR="004E6255" w:rsidRPr="00672E10" w:rsidRDefault="004E6255" w:rsidP="00BB19B6">
            <w:pPr>
              <w:rPr>
                <w:rFonts w:asciiTheme="majorHAnsi" w:hAnsiTheme="majorHAnsi"/>
              </w:rPr>
            </w:pPr>
            <w:r w:rsidRPr="00672E10">
              <w:rPr>
                <w:rFonts w:asciiTheme="majorHAnsi" w:hAnsiTheme="majorHAnsi"/>
              </w:rPr>
              <w:t xml:space="preserve">Evidence is somewhat relevant and timely to the question/issue posed with some sources correctly cited  </w:t>
            </w:r>
          </w:p>
        </w:tc>
        <w:tc>
          <w:tcPr>
            <w:tcW w:w="2790" w:type="dxa"/>
          </w:tcPr>
          <w:p w:rsidR="004E6255" w:rsidRPr="00672E10" w:rsidRDefault="004E6255" w:rsidP="00BB19B6">
            <w:pPr>
              <w:spacing w:line="252" w:lineRule="auto"/>
              <w:rPr>
                <w:rFonts w:asciiTheme="majorHAnsi" w:hAnsiTheme="majorHAnsi"/>
              </w:rPr>
            </w:pPr>
            <w:r w:rsidRPr="00672E10">
              <w:rPr>
                <w:rFonts w:asciiTheme="majorHAnsi" w:hAnsiTheme="majorHAnsi"/>
              </w:rPr>
              <w:t>Evidence is relevant, timely, and clearly summarized with sources correctly cited</w:t>
            </w:r>
          </w:p>
        </w:tc>
      </w:tr>
      <w:tr w:rsidR="004E6255" w:rsidRPr="00672E10" w:rsidTr="00BB19B6">
        <w:tc>
          <w:tcPr>
            <w:tcW w:w="2520" w:type="dxa"/>
          </w:tcPr>
          <w:p w:rsidR="004E6255" w:rsidRPr="00672E10" w:rsidRDefault="004E6255" w:rsidP="00BB19B6">
            <w:pPr>
              <w:spacing w:line="252" w:lineRule="auto"/>
              <w:rPr>
                <w:rFonts w:asciiTheme="majorHAnsi" w:hAnsiTheme="majorHAnsi"/>
                <w:i/>
              </w:rPr>
            </w:pPr>
            <w:r w:rsidRPr="00672E10">
              <w:rPr>
                <w:rFonts w:asciiTheme="majorHAnsi" w:hAnsiTheme="majorHAnsi"/>
                <w:b/>
                <w:i/>
              </w:rPr>
              <w:t xml:space="preserve">Application of findings: </w:t>
            </w:r>
            <w:r w:rsidRPr="00672E10">
              <w:rPr>
                <w:rFonts w:asciiTheme="majorHAnsi" w:hAnsiTheme="majorHAnsi"/>
                <w:i/>
              </w:rPr>
              <w:t>Implications of evidence, research, and/or findings are clearly identified and justified, and actions recommended are comprehensive, feasible, innovative, and ethical</w:t>
            </w:r>
          </w:p>
        </w:tc>
        <w:tc>
          <w:tcPr>
            <w:tcW w:w="2700" w:type="dxa"/>
          </w:tcPr>
          <w:p w:rsidR="004E6255" w:rsidRPr="00672E10" w:rsidRDefault="004E6255" w:rsidP="00BB19B6">
            <w:pPr>
              <w:spacing w:line="252" w:lineRule="auto"/>
              <w:rPr>
                <w:rFonts w:asciiTheme="majorHAnsi" w:hAnsiTheme="majorHAnsi"/>
              </w:rPr>
            </w:pPr>
            <w:r w:rsidRPr="00672E10">
              <w:rPr>
                <w:rFonts w:asciiTheme="majorHAnsi" w:hAnsiTheme="majorHAnsi"/>
              </w:rPr>
              <w:t>Recommendations do not logically follow from evidence, are questionable and/or inappropriate, and/or not comprehensive, feasible, innovative, and/or ethical</w:t>
            </w:r>
          </w:p>
        </w:tc>
        <w:tc>
          <w:tcPr>
            <w:tcW w:w="2700" w:type="dxa"/>
          </w:tcPr>
          <w:p w:rsidR="004E6255" w:rsidRPr="00672E10" w:rsidRDefault="004E6255" w:rsidP="00BB19B6">
            <w:pPr>
              <w:rPr>
                <w:rFonts w:asciiTheme="majorHAnsi" w:hAnsiTheme="majorHAnsi"/>
              </w:rPr>
            </w:pPr>
            <w:r w:rsidRPr="00672E10">
              <w:rPr>
                <w:rFonts w:asciiTheme="majorHAnsi" w:hAnsiTheme="majorHAnsi"/>
              </w:rPr>
              <w:t>Recommendations somewhat flow logically from evidence and are justified though there are gaps, and/or recommendations are somewhat comprehensive, feasible, innovative, and/or ethical</w:t>
            </w:r>
          </w:p>
        </w:tc>
        <w:tc>
          <w:tcPr>
            <w:tcW w:w="2790" w:type="dxa"/>
          </w:tcPr>
          <w:p w:rsidR="004E6255" w:rsidRPr="00672E10" w:rsidRDefault="004E6255" w:rsidP="00BB19B6">
            <w:pPr>
              <w:spacing w:line="252" w:lineRule="auto"/>
              <w:rPr>
                <w:rFonts w:asciiTheme="majorHAnsi" w:hAnsiTheme="majorHAnsi"/>
              </w:rPr>
            </w:pPr>
            <w:r w:rsidRPr="00672E10">
              <w:rPr>
                <w:rFonts w:asciiTheme="majorHAnsi" w:hAnsiTheme="majorHAnsi"/>
              </w:rPr>
              <w:t>Recommendations flow logically from evidence, are well-argued, and/or are comprehensive, feasible, innovative, and/or ethical</w:t>
            </w:r>
          </w:p>
        </w:tc>
      </w:tr>
      <w:tr w:rsidR="004E6255" w:rsidRPr="00672E10" w:rsidTr="00BB19B6">
        <w:tc>
          <w:tcPr>
            <w:tcW w:w="2520" w:type="dxa"/>
          </w:tcPr>
          <w:p w:rsidR="004E6255" w:rsidRPr="00672E10" w:rsidRDefault="004E6255" w:rsidP="00BB19B6">
            <w:pPr>
              <w:spacing w:line="252" w:lineRule="auto"/>
              <w:rPr>
                <w:rFonts w:asciiTheme="majorHAnsi" w:hAnsiTheme="majorHAnsi"/>
                <w:i/>
              </w:rPr>
            </w:pPr>
            <w:r w:rsidRPr="00672E10">
              <w:rPr>
                <w:rFonts w:asciiTheme="majorHAnsi" w:hAnsiTheme="majorHAnsi"/>
                <w:b/>
                <w:i/>
              </w:rPr>
              <w:t xml:space="preserve">Reflection: </w:t>
            </w:r>
            <w:r w:rsidRPr="00672E10">
              <w:rPr>
                <w:rFonts w:asciiTheme="majorHAnsi" w:hAnsiTheme="majorHAnsi"/>
                <w:i/>
              </w:rPr>
              <w:t>Questions are thoroughly addressed and demonstrate self-awareness and insight and competencies are mastered</w:t>
            </w:r>
          </w:p>
        </w:tc>
        <w:tc>
          <w:tcPr>
            <w:tcW w:w="2700" w:type="dxa"/>
          </w:tcPr>
          <w:p w:rsidR="004E6255" w:rsidRPr="00672E10" w:rsidRDefault="004E6255" w:rsidP="00BB19B6">
            <w:pPr>
              <w:spacing w:line="252" w:lineRule="auto"/>
              <w:rPr>
                <w:rFonts w:asciiTheme="majorHAnsi" w:hAnsiTheme="majorHAnsi"/>
              </w:rPr>
            </w:pPr>
            <w:r w:rsidRPr="00672E10">
              <w:rPr>
                <w:rFonts w:asciiTheme="majorHAnsi" w:hAnsiTheme="majorHAnsi"/>
              </w:rPr>
              <w:t>Writer does not thoroughly engage all questions, does not demonstrate self-awareness and insight, and/or mastery of competencies is not apparent</w:t>
            </w:r>
          </w:p>
        </w:tc>
        <w:tc>
          <w:tcPr>
            <w:tcW w:w="2700" w:type="dxa"/>
          </w:tcPr>
          <w:p w:rsidR="004E6255" w:rsidRPr="00672E10" w:rsidRDefault="004E6255" w:rsidP="00BB19B6">
            <w:pPr>
              <w:rPr>
                <w:rFonts w:asciiTheme="majorHAnsi" w:hAnsiTheme="majorHAnsi"/>
              </w:rPr>
            </w:pPr>
            <w:r w:rsidRPr="00672E10">
              <w:rPr>
                <w:rFonts w:asciiTheme="majorHAnsi" w:hAnsiTheme="majorHAnsi"/>
              </w:rPr>
              <w:t>Writer somewhat engages all questions, demonstrates average self-awareness and insight, and/or demonstrates some competency achievement</w:t>
            </w:r>
          </w:p>
        </w:tc>
        <w:tc>
          <w:tcPr>
            <w:tcW w:w="2790" w:type="dxa"/>
          </w:tcPr>
          <w:p w:rsidR="004E6255" w:rsidRPr="00672E10" w:rsidRDefault="004E6255" w:rsidP="00BB19B6">
            <w:pPr>
              <w:spacing w:line="252" w:lineRule="auto"/>
              <w:rPr>
                <w:rFonts w:asciiTheme="majorHAnsi" w:hAnsiTheme="majorHAnsi"/>
              </w:rPr>
            </w:pPr>
            <w:r w:rsidRPr="00672E10">
              <w:rPr>
                <w:rFonts w:asciiTheme="majorHAnsi" w:hAnsiTheme="majorHAnsi"/>
              </w:rPr>
              <w:t>Writer engages all questions, clearly articulating learning, change, and insights to drive further development, demonstrates self-awareness, and/or demonstrates mastery of competencies</w:t>
            </w:r>
          </w:p>
        </w:tc>
      </w:tr>
    </w:tbl>
    <w:p w:rsidR="004E6255" w:rsidRPr="00256354" w:rsidRDefault="004E6255" w:rsidP="004E6255">
      <w:pPr>
        <w:jc w:val="center"/>
        <w:rPr>
          <w:b/>
          <w:u w:val="single"/>
        </w:rPr>
      </w:pPr>
      <w:r w:rsidRPr="00256354">
        <w:rPr>
          <w:b/>
          <w:u w:val="single"/>
        </w:rPr>
        <w:t>Integrative Learning Experience (ILE) Rubric</w:t>
      </w:r>
    </w:p>
    <w:p w:rsidR="004E6255" w:rsidRDefault="004E6255" w:rsidP="004E6255"/>
    <w:p w:rsidR="004E6255" w:rsidRDefault="004E6255" w:rsidP="004E6255"/>
    <w:p w:rsidR="004E6255" w:rsidRDefault="004E6255">
      <w:r>
        <w:t xml:space="preserve">Modified from: </w:t>
      </w:r>
      <w:hyperlink r:id="rId11" w:history="1">
        <w:r w:rsidRPr="00AA0224">
          <w:rPr>
            <w:rStyle w:val="Hyperlink"/>
          </w:rPr>
          <w:t>http://webcache.googleusercontent.com/search?q=cache:2Q9dz6ESzNgJ:www.bu.edu/sph/files/2018/04/ME-ILE-Guidebook_Spring-2018.docx+&amp;cd=2&amp;hl=en&amp;ct=clnk&amp;gl=us&amp;client=firefox-b-1-e</w:t>
        </w:r>
      </w:hyperlink>
    </w:p>
    <w:sectPr w:rsidR="004E6255" w:rsidSect="004E625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6CD" w:rsidRDefault="003C66CD" w:rsidP="004E6255">
      <w:pPr>
        <w:spacing w:after="0" w:line="240" w:lineRule="auto"/>
      </w:pPr>
      <w:r>
        <w:separator/>
      </w:r>
    </w:p>
  </w:endnote>
  <w:endnote w:type="continuationSeparator" w:id="0">
    <w:p w:rsidR="003C66CD" w:rsidRDefault="003C66CD" w:rsidP="004E6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606617"/>
      <w:docPartObj>
        <w:docPartGallery w:val="Page Numbers (Bottom of Page)"/>
        <w:docPartUnique/>
      </w:docPartObj>
    </w:sdtPr>
    <w:sdtEndPr>
      <w:rPr>
        <w:noProof/>
      </w:rPr>
    </w:sdtEndPr>
    <w:sdtContent>
      <w:p w:rsidR="00BB19B6" w:rsidRDefault="00BB19B6">
        <w:pPr>
          <w:pStyle w:val="Footer"/>
          <w:jc w:val="right"/>
        </w:pPr>
        <w:r>
          <w:fldChar w:fldCharType="begin"/>
        </w:r>
        <w:r>
          <w:instrText xml:space="preserve"> PAGE   \* MERGEFORMAT </w:instrText>
        </w:r>
        <w:r>
          <w:fldChar w:fldCharType="separate"/>
        </w:r>
        <w:r w:rsidR="0007146C">
          <w:rPr>
            <w:noProof/>
          </w:rPr>
          <w:t>19</w:t>
        </w:r>
        <w:r>
          <w:rPr>
            <w:noProof/>
          </w:rPr>
          <w:fldChar w:fldCharType="end"/>
        </w:r>
      </w:p>
    </w:sdtContent>
  </w:sdt>
  <w:p w:rsidR="00BB19B6" w:rsidRDefault="00BB1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6CD" w:rsidRDefault="003C66CD" w:rsidP="004E6255">
      <w:pPr>
        <w:spacing w:after="0" w:line="240" w:lineRule="auto"/>
      </w:pPr>
      <w:r>
        <w:separator/>
      </w:r>
    </w:p>
  </w:footnote>
  <w:footnote w:type="continuationSeparator" w:id="0">
    <w:p w:rsidR="003C66CD" w:rsidRDefault="003C66CD" w:rsidP="004E6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9B6" w:rsidRDefault="00BB19B6" w:rsidP="002A2A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9B6" w:rsidRDefault="00BB19B6" w:rsidP="002A2A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9B6" w:rsidRDefault="00BB19B6" w:rsidP="002A2AE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70BF"/>
    <w:multiLevelType w:val="hybridMultilevel"/>
    <w:tmpl w:val="3F227E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60ECC"/>
    <w:multiLevelType w:val="hybridMultilevel"/>
    <w:tmpl w:val="A336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43849"/>
    <w:multiLevelType w:val="hybridMultilevel"/>
    <w:tmpl w:val="1D68A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A036D"/>
    <w:multiLevelType w:val="hybridMultilevel"/>
    <w:tmpl w:val="11EE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86584"/>
    <w:multiLevelType w:val="hybridMultilevel"/>
    <w:tmpl w:val="7CBA82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86393F"/>
    <w:multiLevelType w:val="hybridMultilevel"/>
    <w:tmpl w:val="C0C0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CD724C"/>
    <w:multiLevelType w:val="hybridMultilevel"/>
    <w:tmpl w:val="42D075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DC107F6"/>
    <w:multiLevelType w:val="hybridMultilevel"/>
    <w:tmpl w:val="4FF0FB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ED06C9"/>
    <w:multiLevelType w:val="hybridMultilevel"/>
    <w:tmpl w:val="BA3C1E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4"/>
  </w:num>
  <w:num w:numId="5">
    <w:abstractNumId w:val="6"/>
  </w:num>
  <w:num w:numId="6">
    <w:abstractNumId w:val="2"/>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C3F"/>
    <w:rsid w:val="0007146C"/>
    <w:rsid w:val="00077078"/>
    <w:rsid w:val="000C22A9"/>
    <w:rsid w:val="001426D8"/>
    <w:rsid w:val="0020609A"/>
    <w:rsid w:val="002159CA"/>
    <w:rsid w:val="002A2AE8"/>
    <w:rsid w:val="002D2C34"/>
    <w:rsid w:val="00335C3F"/>
    <w:rsid w:val="003B1C0C"/>
    <w:rsid w:val="003C66CD"/>
    <w:rsid w:val="004A1E5B"/>
    <w:rsid w:val="004E6255"/>
    <w:rsid w:val="00562AF3"/>
    <w:rsid w:val="00573C94"/>
    <w:rsid w:val="00720AAC"/>
    <w:rsid w:val="00751005"/>
    <w:rsid w:val="00775927"/>
    <w:rsid w:val="00794828"/>
    <w:rsid w:val="007968C4"/>
    <w:rsid w:val="007B5B81"/>
    <w:rsid w:val="009164C4"/>
    <w:rsid w:val="009A1B90"/>
    <w:rsid w:val="00A1791D"/>
    <w:rsid w:val="00AE2760"/>
    <w:rsid w:val="00B75EF1"/>
    <w:rsid w:val="00BB19B6"/>
    <w:rsid w:val="00BC2AA8"/>
    <w:rsid w:val="00C32B1A"/>
    <w:rsid w:val="00CA2BF3"/>
    <w:rsid w:val="00D072CA"/>
    <w:rsid w:val="00D1388F"/>
    <w:rsid w:val="00D66BFD"/>
    <w:rsid w:val="00D97075"/>
    <w:rsid w:val="00DB5B33"/>
    <w:rsid w:val="00E23FA6"/>
    <w:rsid w:val="00E63E24"/>
    <w:rsid w:val="00F1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9326"/>
  <w15:chartTrackingRefBased/>
  <w15:docId w15:val="{8CF3FB8C-7B05-4A62-99F8-DFB8A026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2AE8"/>
    <w:pPr>
      <w:keepNext/>
      <w:keepLines/>
      <w:spacing w:before="400" w:after="120" w:line="276" w:lineRule="auto"/>
      <w:contextualSpacing/>
      <w:jc w:val="center"/>
      <w:outlineLvl w:val="0"/>
    </w:pPr>
    <w:rPr>
      <w:rFonts w:ascii="Calibri" w:eastAsia="Arial" w:hAnsi="Calibri" w:cs="Arial"/>
      <w:b/>
      <w:sz w:val="32"/>
      <w:szCs w:val="4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AE8"/>
    <w:rPr>
      <w:rFonts w:ascii="Calibri" w:eastAsia="Arial" w:hAnsi="Calibri" w:cs="Arial"/>
      <w:b/>
      <w:sz w:val="32"/>
      <w:szCs w:val="40"/>
      <w:lang w:val="en"/>
    </w:rPr>
  </w:style>
  <w:style w:type="paragraph" w:styleId="ListParagraph">
    <w:name w:val="List Paragraph"/>
    <w:basedOn w:val="Normal"/>
    <w:uiPriority w:val="34"/>
    <w:qFormat/>
    <w:rsid w:val="002A2AE8"/>
    <w:pPr>
      <w:ind w:left="720"/>
      <w:contextualSpacing/>
    </w:pPr>
    <w:rPr>
      <w:lang w:val="en"/>
    </w:rPr>
  </w:style>
  <w:style w:type="table" w:styleId="TableGrid">
    <w:name w:val="Table Grid"/>
    <w:basedOn w:val="TableNormal"/>
    <w:uiPriority w:val="39"/>
    <w:rsid w:val="002A2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default">
    <w:name w:val="x_default"/>
    <w:basedOn w:val="Normal"/>
    <w:rsid w:val="002A2A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2AE8"/>
    <w:rPr>
      <w:color w:val="0563C1" w:themeColor="hyperlink"/>
      <w:u w:val="single"/>
    </w:rPr>
  </w:style>
  <w:style w:type="paragraph" w:styleId="Header">
    <w:name w:val="header"/>
    <w:basedOn w:val="Normal"/>
    <w:link w:val="HeaderChar"/>
    <w:uiPriority w:val="99"/>
    <w:rsid w:val="002A2AE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A2AE8"/>
    <w:rPr>
      <w:rFonts w:ascii="Times New Roman" w:eastAsia="Times New Roman" w:hAnsi="Times New Roman" w:cs="Times New Roman"/>
      <w:sz w:val="24"/>
      <w:szCs w:val="24"/>
    </w:rPr>
  </w:style>
  <w:style w:type="character" w:styleId="PageNumber">
    <w:name w:val="page number"/>
    <w:basedOn w:val="DefaultParagraphFont"/>
    <w:rsid w:val="002A2AE8"/>
  </w:style>
  <w:style w:type="paragraph" w:styleId="Footer">
    <w:name w:val="footer"/>
    <w:basedOn w:val="Normal"/>
    <w:link w:val="FooterChar"/>
    <w:uiPriority w:val="99"/>
    <w:unhideWhenUsed/>
    <w:rsid w:val="002A2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ilyn.gardner@wk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cache.googleusercontent.com/search?q=cache:2Q9dz6ESzNgJ:www.bu.edu/sph/files/2018/04/ME-ILE-Guidebook_Spring-2018.docx+&amp;cd=2&amp;hl=en&amp;ct=clnk&amp;gl=us&amp;client=firefox-b-1-e"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4993</Words>
  <Characters>28462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 Marina</dc:creator>
  <cp:keywords/>
  <dc:description/>
  <cp:lastModifiedBy>Gardner, Marilyn</cp:lastModifiedBy>
  <cp:revision>2</cp:revision>
  <dcterms:created xsi:type="dcterms:W3CDTF">2020-05-19T16:17:00Z</dcterms:created>
  <dcterms:modified xsi:type="dcterms:W3CDTF">2020-05-19T16:17:00Z</dcterms:modified>
</cp:coreProperties>
</file>