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5" w:type="dxa"/>
        <w:tblLook w:val="04A0" w:firstRow="1" w:lastRow="0" w:firstColumn="1" w:lastColumn="0" w:noHBand="0" w:noVBand="1"/>
      </w:tblPr>
      <w:tblGrid>
        <w:gridCol w:w="6000"/>
        <w:gridCol w:w="8300"/>
      </w:tblGrid>
      <w:tr w:rsidR="008033AA" w:rsidRPr="008033AA" w:rsidTr="008033AA">
        <w:trPr>
          <w:trHeight w:val="840"/>
        </w:trPr>
        <w:tc>
          <w:tcPr>
            <w:tcW w:w="6000" w:type="dxa"/>
            <w:tcBorders>
              <w:top w:val="single" w:sz="4" w:space="0" w:color="auto"/>
              <w:left w:val="single" w:sz="4" w:space="0" w:color="auto"/>
              <w:bottom w:val="single" w:sz="12" w:space="0" w:color="auto"/>
              <w:right w:val="single" w:sz="4" w:space="0" w:color="auto"/>
            </w:tcBorders>
            <w:shd w:val="clear" w:color="000000" w:fill="D9D9D9"/>
            <w:hideMark/>
          </w:tcPr>
          <w:p w:rsidR="008033AA" w:rsidRPr="008033AA" w:rsidRDefault="00030908" w:rsidP="008033AA">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Foundational </w:t>
            </w:r>
            <w:r w:rsidR="008033AA" w:rsidRPr="008033AA">
              <w:rPr>
                <w:rFonts w:ascii="Arial" w:eastAsia="Times New Roman" w:hAnsi="Arial" w:cs="Arial"/>
                <w:b/>
                <w:bCs/>
                <w:color w:val="000000"/>
                <w:sz w:val="20"/>
                <w:szCs w:val="20"/>
              </w:rPr>
              <w:t>Domains</w:t>
            </w:r>
          </w:p>
        </w:tc>
        <w:tc>
          <w:tcPr>
            <w:tcW w:w="8300" w:type="dxa"/>
            <w:tcBorders>
              <w:top w:val="single" w:sz="4" w:space="0" w:color="auto"/>
              <w:left w:val="nil"/>
              <w:bottom w:val="single" w:sz="12" w:space="0" w:color="auto"/>
              <w:right w:val="single" w:sz="4" w:space="0" w:color="auto"/>
            </w:tcBorders>
            <w:shd w:val="clear" w:color="000000" w:fill="D9D9D9"/>
            <w:hideMark/>
          </w:tcPr>
          <w:p w:rsidR="008033AA" w:rsidRPr="008033AA" w:rsidRDefault="008033AA" w:rsidP="008033AA">
            <w:pPr>
              <w:spacing w:after="0" w:line="240" w:lineRule="auto"/>
              <w:jc w:val="center"/>
              <w:rPr>
                <w:rFonts w:ascii="Arial" w:eastAsia="Times New Roman" w:hAnsi="Arial" w:cs="Arial"/>
                <w:b/>
                <w:bCs/>
                <w:color w:val="000000"/>
                <w:sz w:val="20"/>
                <w:szCs w:val="20"/>
              </w:rPr>
            </w:pPr>
            <w:r w:rsidRPr="008033AA">
              <w:rPr>
                <w:rFonts w:ascii="Arial" w:eastAsia="Times New Roman" w:hAnsi="Arial" w:cs="Arial"/>
                <w:b/>
                <w:bCs/>
                <w:color w:val="000000"/>
                <w:sz w:val="20"/>
                <w:szCs w:val="20"/>
              </w:rPr>
              <w:t>Courses and other learning experiences through which students are introduced to the domains specified</w:t>
            </w:r>
          </w:p>
        </w:tc>
      </w:tr>
      <w:tr w:rsidR="008033AA" w:rsidRPr="008033AA" w:rsidTr="008033AA">
        <w:trPr>
          <w:trHeight w:val="1095"/>
        </w:trPr>
        <w:tc>
          <w:tcPr>
            <w:tcW w:w="6000" w:type="dxa"/>
            <w:tcBorders>
              <w:top w:val="nil"/>
              <w:left w:val="single" w:sz="4" w:space="0" w:color="auto"/>
              <w:bottom w:val="single" w:sz="4" w:space="0" w:color="auto"/>
              <w:right w:val="single" w:sz="4" w:space="0" w:color="auto"/>
            </w:tcBorders>
            <w:shd w:val="clear" w:color="auto" w:fill="auto"/>
            <w:hideMark/>
          </w:tcPr>
          <w:p w:rsidR="008033AA" w:rsidRPr="008033AA" w:rsidRDefault="008033AA" w:rsidP="008033AA">
            <w:pPr>
              <w:spacing w:after="0" w:line="240" w:lineRule="auto"/>
              <w:rPr>
                <w:rFonts w:ascii="Arial" w:eastAsia="Times New Roman" w:hAnsi="Arial" w:cs="Arial"/>
                <w:b/>
                <w:bCs/>
                <w:color w:val="000000"/>
                <w:sz w:val="20"/>
                <w:szCs w:val="20"/>
              </w:rPr>
            </w:pPr>
            <w:r w:rsidRPr="008033AA">
              <w:rPr>
                <w:rFonts w:ascii="Arial" w:eastAsia="Times New Roman" w:hAnsi="Arial" w:cs="Arial"/>
                <w:b/>
                <w:bCs/>
                <w:color w:val="000000"/>
                <w:sz w:val="20"/>
                <w:szCs w:val="20"/>
              </w:rPr>
              <w:t>Science:</w:t>
            </w:r>
            <w:r w:rsidRPr="008033AA">
              <w:rPr>
                <w:rFonts w:ascii="Arial" w:eastAsia="Times New Roman" w:hAnsi="Arial" w:cs="Arial"/>
                <w:color w:val="000000"/>
                <w:sz w:val="20"/>
                <w:szCs w:val="20"/>
              </w:rPr>
              <w:t xml:space="preserve">  Introduction to the foundations of scientific knowledge, including the biological and life sciences and the concepts of health and disease</w:t>
            </w:r>
          </w:p>
        </w:tc>
        <w:tc>
          <w:tcPr>
            <w:tcW w:w="8300" w:type="dxa"/>
            <w:tcBorders>
              <w:top w:val="nil"/>
              <w:left w:val="nil"/>
              <w:bottom w:val="single" w:sz="4" w:space="0" w:color="auto"/>
              <w:right w:val="single" w:sz="4" w:space="0" w:color="auto"/>
            </w:tcBorders>
            <w:shd w:val="clear" w:color="auto" w:fill="auto"/>
            <w:hideMark/>
          </w:tcPr>
          <w:p w:rsidR="008033AA" w:rsidRPr="008033AA" w:rsidRDefault="008033AA" w:rsidP="008033AA">
            <w:pPr>
              <w:spacing w:after="0" w:line="240" w:lineRule="auto"/>
              <w:rPr>
                <w:rFonts w:ascii="Calibri" w:eastAsia="Times New Roman" w:hAnsi="Calibri" w:cs="Calibri"/>
                <w:color w:val="000000"/>
                <w:sz w:val="20"/>
                <w:szCs w:val="20"/>
              </w:rPr>
            </w:pPr>
            <w:r w:rsidRPr="008033AA">
              <w:rPr>
                <w:rFonts w:ascii="Calibri" w:eastAsia="Times New Roman" w:hAnsi="Calibri" w:cs="Calibri"/>
                <w:color w:val="000000"/>
                <w:sz w:val="20"/>
                <w:szCs w:val="20"/>
              </w:rPr>
              <w:t xml:space="preserve">Students are required to take each of the following courses: Biology 131: Human Anatomy </w:t>
            </w:r>
            <w:proofErr w:type="gramStart"/>
            <w:r w:rsidRPr="008033AA">
              <w:rPr>
                <w:rFonts w:ascii="Calibri" w:eastAsia="Times New Roman" w:hAnsi="Calibri" w:cs="Calibri"/>
                <w:color w:val="000000"/>
                <w:sz w:val="20"/>
                <w:szCs w:val="20"/>
              </w:rPr>
              <w:t>and  Physiology</w:t>
            </w:r>
            <w:proofErr w:type="gramEnd"/>
            <w:r w:rsidRPr="008033AA">
              <w:rPr>
                <w:rFonts w:ascii="Calibri" w:eastAsia="Times New Roman" w:hAnsi="Calibri" w:cs="Calibri"/>
                <w:color w:val="000000"/>
                <w:sz w:val="20"/>
                <w:szCs w:val="20"/>
              </w:rPr>
              <w:t>; Biology 207/208: General Microbiology and Lab; and, Chemistry 109: Chemistry for the Health Sciences.  Verified through transcript audit.</w:t>
            </w:r>
          </w:p>
        </w:tc>
      </w:tr>
      <w:tr w:rsidR="008033AA" w:rsidRPr="008033AA" w:rsidTr="008033AA">
        <w:trPr>
          <w:trHeight w:val="1080"/>
        </w:trPr>
        <w:tc>
          <w:tcPr>
            <w:tcW w:w="6000" w:type="dxa"/>
            <w:tcBorders>
              <w:top w:val="nil"/>
              <w:left w:val="single" w:sz="4" w:space="0" w:color="auto"/>
              <w:bottom w:val="single" w:sz="4" w:space="0" w:color="auto"/>
              <w:right w:val="single" w:sz="4" w:space="0" w:color="auto"/>
            </w:tcBorders>
            <w:shd w:val="clear" w:color="auto" w:fill="auto"/>
            <w:hideMark/>
          </w:tcPr>
          <w:p w:rsidR="008033AA" w:rsidRPr="008033AA" w:rsidRDefault="008033AA" w:rsidP="008033AA">
            <w:pPr>
              <w:spacing w:after="0" w:line="240" w:lineRule="auto"/>
              <w:rPr>
                <w:rFonts w:ascii="Arial" w:eastAsia="Times New Roman" w:hAnsi="Arial" w:cs="Arial"/>
                <w:b/>
                <w:bCs/>
                <w:color w:val="000000"/>
                <w:sz w:val="20"/>
                <w:szCs w:val="20"/>
              </w:rPr>
            </w:pPr>
            <w:r w:rsidRPr="008033AA">
              <w:rPr>
                <w:rFonts w:ascii="Arial" w:eastAsia="Times New Roman" w:hAnsi="Arial" w:cs="Arial"/>
                <w:b/>
                <w:bCs/>
                <w:color w:val="000000"/>
                <w:sz w:val="20"/>
                <w:szCs w:val="20"/>
              </w:rPr>
              <w:t>Social and Behavioral Sciences</w:t>
            </w:r>
            <w:r w:rsidRPr="008033AA">
              <w:rPr>
                <w:rFonts w:ascii="Arial" w:eastAsia="Times New Roman" w:hAnsi="Arial" w:cs="Arial"/>
                <w:color w:val="000000"/>
                <w:sz w:val="20"/>
                <w:szCs w:val="20"/>
              </w:rPr>
              <w:t>:  Introduction to the foundations of social and behavioral sciences</w:t>
            </w:r>
          </w:p>
        </w:tc>
        <w:tc>
          <w:tcPr>
            <w:tcW w:w="8300" w:type="dxa"/>
            <w:tcBorders>
              <w:top w:val="nil"/>
              <w:left w:val="nil"/>
              <w:bottom w:val="single" w:sz="4" w:space="0" w:color="auto"/>
              <w:right w:val="single" w:sz="4" w:space="0" w:color="auto"/>
            </w:tcBorders>
            <w:shd w:val="clear" w:color="auto" w:fill="auto"/>
            <w:hideMark/>
          </w:tcPr>
          <w:p w:rsidR="008033AA" w:rsidRPr="008033AA" w:rsidRDefault="008033AA" w:rsidP="008033AA">
            <w:pPr>
              <w:spacing w:after="0" w:line="240" w:lineRule="auto"/>
              <w:rPr>
                <w:rFonts w:ascii="Calibri" w:eastAsia="Times New Roman" w:hAnsi="Calibri" w:cs="Calibri"/>
                <w:color w:val="000000"/>
                <w:sz w:val="20"/>
                <w:szCs w:val="20"/>
              </w:rPr>
            </w:pPr>
            <w:r w:rsidRPr="008033AA">
              <w:rPr>
                <w:rFonts w:ascii="Calibri" w:eastAsia="Times New Roman" w:hAnsi="Calibri" w:cs="Calibri"/>
                <w:color w:val="000000"/>
                <w:sz w:val="20"/>
                <w:szCs w:val="20"/>
              </w:rPr>
              <w:t>Students are required to take at least one of the following courses: Psychology 100: Introduction to Psychology; Psychology 220:  Introduction to Lifespan Developmental Psychology; or, Sociology 100: Introductory Sociology.  Verified through transcript audit.</w:t>
            </w:r>
          </w:p>
        </w:tc>
      </w:tr>
      <w:tr w:rsidR="008033AA" w:rsidRPr="008033AA" w:rsidTr="008033AA">
        <w:trPr>
          <w:trHeight w:val="1368"/>
        </w:trPr>
        <w:tc>
          <w:tcPr>
            <w:tcW w:w="6000" w:type="dxa"/>
            <w:tcBorders>
              <w:top w:val="nil"/>
              <w:left w:val="single" w:sz="4" w:space="0" w:color="auto"/>
              <w:bottom w:val="single" w:sz="4" w:space="0" w:color="auto"/>
              <w:right w:val="single" w:sz="4" w:space="0" w:color="auto"/>
            </w:tcBorders>
            <w:shd w:val="clear" w:color="auto" w:fill="auto"/>
            <w:hideMark/>
          </w:tcPr>
          <w:p w:rsidR="008033AA" w:rsidRPr="008033AA" w:rsidRDefault="008033AA" w:rsidP="008033AA">
            <w:pPr>
              <w:spacing w:after="0" w:line="240" w:lineRule="auto"/>
              <w:rPr>
                <w:rFonts w:ascii="Arial" w:eastAsia="Times New Roman" w:hAnsi="Arial" w:cs="Arial"/>
                <w:b/>
                <w:bCs/>
                <w:color w:val="000000"/>
                <w:sz w:val="20"/>
                <w:szCs w:val="20"/>
              </w:rPr>
            </w:pPr>
            <w:r w:rsidRPr="008033AA">
              <w:rPr>
                <w:rFonts w:ascii="Arial" w:eastAsia="Times New Roman" w:hAnsi="Arial" w:cs="Arial"/>
                <w:b/>
                <w:bCs/>
                <w:color w:val="000000"/>
                <w:sz w:val="20"/>
                <w:szCs w:val="20"/>
              </w:rPr>
              <w:t xml:space="preserve">Math/Quantitative Reasoning:  </w:t>
            </w:r>
            <w:r w:rsidRPr="008033AA">
              <w:rPr>
                <w:rFonts w:ascii="Arial" w:eastAsia="Times New Roman" w:hAnsi="Arial" w:cs="Arial"/>
                <w:color w:val="000000"/>
                <w:sz w:val="20"/>
                <w:szCs w:val="20"/>
              </w:rPr>
              <w:t>Introduction to basic statistics</w:t>
            </w:r>
          </w:p>
        </w:tc>
        <w:tc>
          <w:tcPr>
            <w:tcW w:w="8300" w:type="dxa"/>
            <w:tcBorders>
              <w:top w:val="nil"/>
              <w:left w:val="nil"/>
              <w:bottom w:val="single" w:sz="4" w:space="0" w:color="auto"/>
              <w:right w:val="single" w:sz="4" w:space="0" w:color="auto"/>
            </w:tcBorders>
            <w:shd w:val="clear" w:color="auto" w:fill="auto"/>
            <w:hideMark/>
          </w:tcPr>
          <w:p w:rsidR="008033AA" w:rsidRPr="008033AA" w:rsidRDefault="008033AA" w:rsidP="008033AA">
            <w:pPr>
              <w:spacing w:after="0" w:line="240" w:lineRule="auto"/>
              <w:rPr>
                <w:rFonts w:ascii="Calibri" w:eastAsia="Times New Roman" w:hAnsi="Calibri" w:cs="Calibri"/>
                <w:color w:val="000000"/>
                <w:sz w:val="20"/>
                <w:szCs w:val="20"/>
              </w:rPr>
            </w:pPr>
            <w:r w:rsidRPr="008033AA">
              <w:rPr>
                <w:rFonts w:ascii="Calibri" w:eastAsia="Times New Roman" w:hAnsi="Calibri" w:cs="Calibri"/>
                <w:color w:val="000000"/>
                <w:sz w:val="20"/>
                <w:szCs w:val="20"/>
              </w:rPr>
              <w:t>Students are required to take at least one math course: Math 109: General Mathematics; Math 115: Applied College Algebra; or higher-level math course</w:t>
            </w:r>
            <w:proofErr w:type="gramStart"/>
            <w:r w:rsidRPr="008033AA">
              <w:rPr>
                <w:rFonts w:ascii="Calibri" w:eastAsia="Times New Roman" w:hAnsi="Calibri" w:cs="Calibri"/>
                <w:color w:val="000000"/>
                <w:sz w:val="20"/>
                <w:szCs w:val="20"/>
              </w:rPr>
              <w:t>;  Verified</w:t>
            </w:r>
            <w:proofErr w:type="gramEnd"/>
            <w:r w:rsidRPr="008033AA">
              <w:rPr>
                <w:rFonts w:ascii="Calibri" w:eastAsia="Times New Roman" w:hAnsi="Calibri" w:cs="Calibri"/>
                <w:color w:val="000000"/>
                <w:sz w:val="20"/>
                <w:szCs w:val="20"/>
              </w:rPr>
              <w:t xml:space="preserve"> through transcript audit. </w:t>
            </w:r>
            <w:r w:rsidRPr="008033AA">
              <w:rPr>
                <w:rFonts w:ascii="Calibri" w:eastAsia="Times New Roman" w:hAnsi="Calibri" w:cs="Calibri"/>
                <w:b/>
                <w:bCs/>
                <w:color w:val="000000"/>
                <w:sz w:val="20"/>
                <w:szCs w:val="20"/>
              </w:rPr>
              <w:t>REQUIRED PUBLIC HEALTH COURSES:</w:t>
            </w:r>
            <w:r w:rsidRPr="008033AA">
              <w:rPr>
                <w:rFonts w:ascii="Calibri" w:eastAsia="Times New Roman" w:hAnsi="Calibri" w:cs="Calibri"/>
                <w:color w:val="000000"/>
                <w:sz w:val="20"/>
                <w:szCs w:val="20"/>
              </w:rPr>
              <w:t xml:space="preserve"> PH 383: Biostatistics in the Health Sciences; and, PH 384: Introduction to Epidemiology</w:t>
            </w:r>
          </w:p>
        </w:tc>
      </w:tr>
      <w:tr w:rsidR="008033AA" w:rsidRPr="008033AA" w:rsidTr="008033AA">
        <w:trPr>
          <w:trHeight w:val="1655"/>
        </w:trPr>
        <w:tc>
          <w:tcPr>
            <w:tcW w:w="6000" w:type="dxa"/>
            <w:tcBorders>
              <w:top w:val="nil"/>
              <w:left w:val="single" w:sz="4" w:space="0" w:color="auto"/>
              <w:bottom w:val="single" w:sz="12" w:space="0" w:color="auto"/>
              <w:right w:val="single" w:sz="4" w:space="0" w:color="auto"/>
            </w:tcBorders>
            <w:shd w:val="clear" w:color="auto" w:fill="auto"/>
            <w:hideMark/>
          </w:tcPr>
          <w:p w:rsidR="008033AA" w:rsidRPr="008033AA" w:rsidRDefault="008033AA" w:rsidP="008033AA">
            <w:pPr>
              <w:spacing w:after="0" w:line="240" w:lineRule="auto"/>
              <w:rPr>
                <w:rFonts w:ascii="Arial" w:eastAsia="Times New Roman" w:hAnsi="Arial" w:cs="Arial"/>
                <w:b/>
                <w:bCs/>
                <w:color w:val="000000"/>
                <w:sz w:val="20"/>
                <w:szCs w:val="20"/>
              </w:rPr>
            </w:pPr>
            <w:r w:rsidRPr="008033AA">
              <w:rPr>
                <w:rFonts w:ascii="Arial" w:eastAsia="Times New Roman" w:hAnsi="Arial" w:cs="Arial"/>
                <w:b/>
                <w:bCs/>
                <w:color w:val="000000"/>
                <w:sz w:val="20"/>
                <w:szCs w:val="20"/>
              </w:rPr>
              <w:t xml:space="preserve">Humanities/Fine Arts: </w:t>
            </w:r>
            <w:r w:rsidRPr="008033AA">
              <w:rPr>
                <w:rFonts w:ascii="Arial" w:eastAsia="Times New Roman" w:hAnsi="Arial" w:cs="Arial"/>
                <w:color w:val="000000"/>
                <w:sz w:val="20"/>
                <w:szCs w:val="20"/>
              </w:rPr>
              <w:t>Introduction to the humanities/fine arts</w:t>
            </w:r>
          </w:p>
        </w:tc>
        <w:tc>
          <w:tcPr>
            <w:tcW w:w="8300" w:type="dxa"/>
            <w:tcBorders>
              <w:top w:val="nil"/>
              <w:left w:val="nil"/>
              <w:bottom w:val="single" w:sz="12" w:space="0" w:color="auto"/>
              <w:right w:val="single" w:sz="4" w:space="0" w:color="auto"/>
            </w:tcBorders>
            <w:shd w:val="clear" w:color="auto" w:fill="auto"/>
            <w:hideMark/>
          </w:tcPr>
          <w:p w:rsidR="008033AA" w:rsidRPr="008033AA" w:rsidRDefault="008033AA" w:rsidP="008033AA">
            <w:pPr>
              <w:spacing w:after="0" w:line="240" w:lineRule="auto"/>
              <w:rPr>
                <w:rFonts w:ascii="Calibri" w:eastAsia="Times New Roman" w:hAnsi="Calibri" w:cs="Calibri"/>
                <w:color w:val="000000"/>
                <w:sz w:val="20"/>
                <w:szCs w:val="20"/>
              </w:rPr>
            </w:pPr>
            <w:r w:rsidRPr="008033AA">
              <w:rPr>
                <w:rFonts w:ascii="Calibri" w:eastAsia="Times New Roman" w:hAnsi="Calibri" w:cs="Calibri"/>
                <w:color w:val="000000"/>
                <w:sz w:val="20"/>
                <w:szCs w:val="20"/>
              </w:rPr>
              <w:t>Students are required to take each of the following: English 100: Introduction to College Writing</w:t>
            </w:r>
            <w:proofErr w:type="gramStart"/>
            <w:r w:rsidRPr="008033AA">
              <w:rPr>
                <w:rFonts w:ascii="Calibri" w:eastAsia="Times New Roman" w:hAnsi="Calibri" w:cs="Calibri"/>
                <w:color w:val="000000"/>
                <w:sz w:val="20"/>
                <w:szCs w:val="20"/>
              </w:rPr>
              <w:t>;</w:t>
            </w:r>
            <w:proofErr w:type="gramEnd"/>
            <w:r w:rsidRPr="008033AA">
              <w:rPr>
                <w:rFonts w:ascii="Calibri" w:eastAsia="Times New Roman" w:hAnsi="Calibri" w:cs="Calibri"/>
                <w:color w:val="000000"/>
                <w:sz w:val="20"/>
                <w:szCs w:val="20"/>
              </w:rPr>
              <w:t xml:space="preserve"> and Communications 145: Public Speaking.  Additionally, all students are required to take 3 credit hours in arts and humanities as part of WKU's Colonnade (formerly general education) program, which include introductory/survey courses in art, dance, music, theatre, film, folk studies, philosophy, and religious studies. Verified through transcript audit.</w:t>
            </w:r>
          </w:p>
        </w:tc>
      </w:tr>
    </w:tbl>
    <w:p w:rsidR="00D40B48" w:rsidRDefault="00562552">
      <w:r>
        <w:rPr>
          <w:noProof/>
        </w:rPr>
        <mc:AlternateContent>
          <mc:Choice Requires="wps">
            <w:drawing>
              <wp:anchor distT="0" distB="0" distL="114300" distR="114300" simplePos="0" relativeHeight="251661312" behindDoc="0" locked="0" layoutInCell="1" allowOverlap="1" wp14:anchorId="4EFA60ED" wp14:editId="76653E88">
                <wp:simplePos x="0" y="0"/>
                <wp:positionH relativeFrom="column">
                  <wp:posOffset>8610600</wp:posOffset>
                </wp:positionH>
                <wp:positionV relativeFrom="paragraph">
                  <wp:posOffset>-4240530</wp:posOffset>
                </wp:positionV>
                <wp:extent cx="514350" cy="33655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514350" cy="336550"/>
                        </a:xfrm>
                        <a:prstGeom prst="rect">
                          <a:avLst/>
                        </a:prstGeom>
                        <a:solidFill>
                          <a:schemeClr val="lt1"/>
                        </a:solidFill>
                        <a:ln w="6350">
                          <a:solidFill>
                            <a:prstClr val="black"/>
                          </a:solidFill>
                        </a:ln>
                      </wps:spPr>
                      <wps:txbx>
                        <w:txbxContent>
                          <w:p w:rsidR="00562552" w:rsidRDefault="00562552" w:rsidP="00562552">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FA60ED" id="_x0000_t202" coordsize="21600,21600" o:spt="202" path="m,l,21600r21600,l21600,xe">
                <v:stroke joinstyle="miter"/>
                <v:path gradientshapeok="t" o:connecttype="rect"/>
              </v:shapetype>
              <v:shape id="Text Box 2" o:spid="_x0000_s1026" type="#_x0000_t202" style="position:absolute;margin-left:678pt;margin-top:-333.9pt;width:40.5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" fillcolor="white [3201]" strokeweight=".5pt">
                <v:textbox>
                  <w:txbxContent>
                    <w:p w:rsidR="00562552" w:rsidRDefault="00562552" w:rsidP="00562552">
                      <w:r>
                        <w:t>1</w:t>
                      </w:r>
                    </w:p>
                  </w:txbxContent>
                </v:textbox>
              </v:shape>
            </w:pict>
          </mc:Fallback>
        </mc:AlternateContent>
      </w:r>
      <w:r w:rsidR="00030908">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-4240530</wp:posOffset>
                </wp:positionV>
                <wp:extent cx="514350" cy="3175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514350" cy="317500"/>
                        </a:xfrm>
                        <a:prstGeom prst="rect">
                          <a:avLst/>
                        </a:prstGeom>
                        <a:solidFill>
                          <a:schemeClr val="lt1"/>
                        </a:solidFill>
                        <a:ln w="6350">
                          <a:solidFill>
                            <a:prstClr val="black"/>
                          </a:solidFill>
                        </a:ln>
                      </wps:spPr>
                      <wps:txbx>
                        <w:txbxContent>
                          <w:p w:rsidR="00030908" w:rsidRDefault="0003090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0.7pt;margin-top:-333.9pt;width:40.5pt;height: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" fillcolor="white [3201]" strokeweight=".5pt">
                <v:textbox>
                  <w:txbxContent>
                    <w:p w:rsidR="00030908" w:rsidRDefault="00030908">
                      <w:r>
                        <w:t>1</w:t>
                      </w:r>
                    </w:p>
                  </w:txbxContent>
                </v:textbox>
                <w10:wrap anchorx="margin"/>
              </v:shape>
            </w:pict>
          </mc:Fallback>
        </mc:AlternateContent>
      </w:r>
    </w:p>
    <w:p w:rsidR="008033AA" w:rsidRDefault="008033AA">
      <w:r>
        <w:br w:type="page"/>
      </w:r>
      <w:bookmarkStart w:id="0" w:name="_GoBack"/>
      <w:bookmarkEnd w:id="0"/>
    </w:p>
    <w:tbl>
      <w:tblPr>
        <w:tblW w:w="13925"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720"/>
        <w:gridCol w:w="1381"/>
        <w:gridCol w:w="1228"/>
        <w:gridCol w:w="1272"/>
        <w:gridCol w:w="1055"/>
        <w:gridCol w:w="1236"/>
        <w:gridCol w:w="982"/>
        <w:gridCol w:w="1309"/>
        <w:gridCol w:w="1183"/>
        <w:gridCol w:w="1419"/>
      </w:tblGrid>
      <w:tr w:rsidR="004F70D3" w:rsidRPr="00030908" w:rsidTr="00E50CA0">
        <w:trPr>
          <w:trHeight w:val="890"/>
        </w:trPr>
        <w:tc>
          <w:tcPr>
            <w:tcW w:w="2140" w:type="dxa"/>
          </w:tcPr>
          <w:p w:rsidR="008033AA" w:rsidRPr="00030908" w:rsidRDefault="00030908" w:rsidP="00E50CA0">
            <w:pPr>
              <w:spacing w:after="0" w:line="240" w:lineRule="auto"/>
              <w:rPr>
                <w:rFonts w:ascii="Arial" w:eastAsia="Times New Roman" w:hAnsi="Arial" w:cs="Arial"/>
                <w:b/>
                <w:iCs/>
                <w:color w:val="000000"/>
                <w:sz w:val="20"/>
                <w:szCs w:val="20"/>
              </w:rPr>
            </w:pPr>
            <w:r w:rsidRPr="00030908">
              <w:rPr>
                <w:rFonts w:ascii="Arial" w:eastAsia="Times New Roman" w:hAnsi="Arial" w:cs="Arial"/>
                <w:b/>
                <w:iCs/>
                <w:color w:val="000000"/>
                <w:sz w:val="20"/>
                <w:szCs w:val="20"/>
              </w:rPr>
              <w:lastRenderedPageBreak/>
              <w:t>Public Health Domains</w:t>
            </w:r>
          </w:p>
        </w:tc>
        <w:tc>
          <w:tcPr>
            <w:tcW w:w="720" w:type="dxa"/>
            <w:shd w:val="clear" w:color="auto" w:fill="auto"/>
            <w:hideMark/>
          </w:tcPr>
          <w:p w:rsidR="008033AA"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xml:space="preserve">PH 100     </w:t>
            </w:r>
          </w:p>
        </w:tc>
        <w:tc>
          <w:tcPr>
            <w:tcW w:w="1381" w:type="dxa"/>
            <w:shd w:val="clear" w:color="auto" w:fill="auto"/>
            <w:hideMark/>
          </w:tcPr>
          <w:p w:rsidR="008033AA" w:rsidRPr="00030908" w:rsidRDefault="008033AA"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PH 261, Foundations of Health Ed</w:t>
            </w:r>
          </w:p>
        </w:tc>
        <w:tc>
          <w:tcPr>
            <w:tcW w:w="1228" w:type="dxa"/>
            <w:shd w:val="clear" w:color="auto" w:fill="auto"/>
            <w:hideMark/>
          </w:tcPr>
          <w:p w:rsidR="008033AA" w:rsidRPr="00030908" w:rsidRDefault="008033AA" w:rsidP="008033AA">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xml:space="preserve">PH 381, Community Health </w:t>
            </w:r>
          </w:p>
        </w:tc>
        <w:tc>
          <w:tcPr>
            <w:tcW w:w="1272" w:type="dxa"/>
            <w:shd w:val="clear" w:color="auto" w:fill="auto"/>
            <w:hideMark/>
          </w:tcPr>
          <w:p w:rsidR="008033AA" w:rsidRPr="00030908" w:rsidRDefault="008033AA" w:rsidP="008033AA">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xml:space="preserve">PH 383, Biostatistics </w:t>
            </w:r>
          </w:p>
        </w:tc>
        <w:tc>
          <w:tcPr>
            <w:tcW w:w="1055" w:type="dxa"/>
            <w:shd w:val="clear" w:color="auto" w:fill="auto"/>
            <w:hideMark/>
          </w:tcPr>
          <w:p w:rsidR="008033AA" w:rsidRPr="00030908" w:rsidRDefault="008033AA"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PH 384, Epi</w:t>
            </w:r>
          </w:p>
        </w:tc>
        <w:tc>
          <w:tcPr>
            <w:tcW w:w="1236" w:type="dxa"/>
            <w:shd w:val="clear" w:color="auto" w:fill="auto"/>
            <w:hideMark/>
          </w:tcPr>
          <w:p w:rsidR="008033AA"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PH 385, Env</w:t>
            </w:r>
            <w:r w:rsidR="008033AA" w:rsidRPr="00030908">
              <w:rPr>
                <w:rFonts w:ascii="Arial" w:eastAsia="Times New Roman" w:hAnsi="Arial" w:cs="Arial"/>
                <w:iCs/>
                <w:color w:val="000000"/>
                <w:sz w:val="20"/>
                <w:szCs w:val="20"/>
              </w:rPr>
              <w:t xml:space="preserve">l Health </w:t>
            </w:r>
          </w:p>
        </w:tc>
        <w:tc>
          <w:tcPr>
            <w:tcW w:w="982" w:type="dxa"/>
            <w:shd w:val="clear" w:color="auto" w:fill="auto"/>
            <w:hideMark/>
          </w:tcPr>
          <w:p w:rsidR="008033AA" w:rsidRPr="00030908" w:rsidRDefault="008033AA"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xml:space="preserve">PH 483, Admin </w:t>
            </w:r>
          </w:p>
        </w:tc>
        <w:tc>
          <w:tcPr>
            <w:tcW w:w="1309" w:type="dxa"/>
            <w:shd w:val="clear" w:color="auto" w:fill="auto"/>
            <w:hideMark/>
          </w:tcPr>
          <w:p w:rsidR="008033AA" w:rsidRPr="00030908" w:rsidRDefault="008033AA"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PH 484, CommOrg</w:t>
            </w:r>
          </w:p>
        </w:tc>
        <w:tc>
          <w:tcPr>
            <w:tcW w:w="1183" w:type="dxa"/>
            <w:shd w:val="clear" w:color="auto" w:fill="auto"/>
            <w:hideMark/>
          </w:tcPr>
          <w:p w:rsidR="008033AA" w:rsidRPr="00030908" w:rsidRDefault="008033AA"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xml:space="preserve">PH 485, Methods of Comm Health </w:t>
            </w:r>
            <w:r w:rsidR="004F70D3" w:rsidRPr="00030908">
              <w:rPr>
                <w:rFonts w:ascii="Arial" w:eastAsia="Times New Roman" w:hAnsi="Arial" w:cs="Arial"/>
                <w:iCs/>
                <w:color w:val="000000"/>
                <w:sz w:val="20"/>
                <w:szCs w:val="20"/>
              </w:rPr>
              <w:t>Ed</w:t>
            </w:r>
          </w:p>
        </w:tc>
        <w:tc>
          <w:tcPr>
            <w:tcW w:w="1419" w:type="dxa"/>
            <w:shd w:val="clear" w:color="auto" w:fill="auto"/>
            <w:hideMark/>
          </w:tcPr>
          <w:p w:rsidR="008033AA" w:rsidRPr="00030908" w:rsidRDefault="008033AA"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ENV 460, EnvM</w:t>
            </w:r>
            <w:r w:rsidR="004F70D3" w:rsidRPr="00030908">
              <w:rPr>
                <w:rFonts w:ascii="Arial" w:eastAsia="Times New Roman" w:hAnsi="Arial" w:cs="Arial"/>
                <w:iCs/>
                <w:color w:val="000000"/>
                <w:sz w:val="20"/>
                <w:szCs w:val="20"/>
              </w:rPr>
              <w:t>ngt</w:t>
            </w:r>
            <w:r w:rsidRPr="00030908">
              <w:rPr>
                <w:rFonts w:ascii="Arial" w:eastAsia="Times New Roman" w:hAnsi="Arial" w:cs="Arial"/>
                <w:iCs/>
                <w:color w:val="000000"/>
                <w:sz w:val="20"/>
                <w:szCs w:val="20"/>
              </w:rPr>
              <w:t xml:space="preserve">t </w:t>
            </w:r>
          </w:p>
        </w:tc>
      </w:tr>
      <w:tr w:rsidR="00E50CA0" w:rsidRPr="00030908" w:rsidTr="008336D9">
        <w:trPr>
          <w:trHeight w:val="404"/>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E50CA0" w:rsidRPr="00030908" w:rsidRDefault="00E50CA0" w:rsidP="00E50CA0">
            <w:pPr>
              <w:spacing w:after="0" w:line="240" w:lineRule="auto"/>
              <w:rPr>
                <w:rFonts w:ascii="Arial" w:eastAsia="Times New Roman" w:hAnsi="Arial" w:cs="Arial"/>
                <w:iCs/>
                <w:color w:val="000000"/>
                <w:sz w:val="20"/>
                <w:szCs w:val="20"/>
              </w:rPr>
            </w:pPr>
            <w:r w:rsidRPr="00030908">
              <w:rPr>
                <w:rFonts w:ascii="Arial" w:eastAsia="Times New Roman" w:hAnsi="Arial" w:cs="Arial"/>
                <w:b/>
                <w:iCs/>
                <w:color w:val="000000"/>
                <w:sz w:val="20"/>
                <w:szCs w:val="20"/>
              </w:rPr>
              <w:t>Overview of Public Health:</w:t>
            </w:r>
            <w:r w:rsidRPr="00030908">
              <w:rPr>
                <w:rFonts w:ascii="Arial" w:eastAsia="Times New Roman" w:hAnsi="Arial" w:cs="Arial"/>
                <w:iCs/>
                <w:color w:val="000000"/>
                <w:sz w:val="20"/>
                <w:szCs w:val="20"/>
              </w:rPr>
              <w:t xml:space="preserve"> Address the history and philosophy of public health as well as its core values, concepts, and functions across the globe and in </w:t>
            </w:r>
          </w:p>
          <w:p w:rsidR="00E50CA0" w:rsidRPr="00030908" w:rsidRDefault="00E50CA0" w:rsidP="00E50CA0">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society</w:t>
            </w:r>
          </w:p>
        </w:tc>
      </w:tr>
      <w:tr w:rsidR="004F70D3" w:rsidRPr="00030908" w:rsidTr="004F70D3">
        <w:trPr>
          <w:trHeight w:val="404"/>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Public Health History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F70D3" w:rsidRPr="00030908" w:rsidTr="004F70D3">
        <w:trPr>
          <w:trHeight w:val="521"/>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Public Health Philosophy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F70D3" w:rsidRPr="00030908" w:rsidTr="004E1A25">
        <w:trPr>
          <w:trHeight w:val="35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Core PH Values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F70D3" w:rsidRPr="00030908" w:rsidTr="004E1A25">
        <w:trPr>
          <w:trHeight w:val="35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Core PH Concepts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F70D3" w:rsidRPr="00030908" w:rsidTr="004E1A25">
        <w:trPr>
          <w:trHeight w:val="53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Global Functions of Public Health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F70D3" w:rsidRPr="00030908"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Societal Functions of Public Health</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F70D3" w:rsidRPr="00030908" w:rsidRDefault="004F70D3" w:rsidP="004F70D3">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E50CA0" w:rsidRPr="00030908" w:rsidTr="00E50CA0">
        <w:trPr>
          <w:trHeight w:val="440"/>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E50CA0" w:rsidRPr="00030908" w:rsidRDefault="00E50CA0" w:rsidP="00E50CA0">
            <w:pPr>
              <w:spacing w:after="0" w:line="240" w:lineRule="auto"/>
              <w:rPr>
                <w:rFonts w:ascii="Arial" w:eastAsia="Times New Roman" w:hAnsi="Arial" w:cs="Arial"/>
                <w:iCs/>
                <w:color w:val="000000"/>
                <w:sz w:val="20"/>
                <w:szCs w:val="20"/>
              </w:rPr>
            </w:pPr>
            <w:r w:rsidRPr="00030908">
              <w:rPr>
                <w:rFonts w:ascii="Arial" w:eastAsia="Times New Roman" w:hAnsi="Arial" w:cs="Arial"/>
                <w:b/>
                <w:iCs/>
                <w:color w:val="000000"/>
                <w:sz w:val="20"/>
                <w:szCs w:val="20"/>
              </w:rPr>
              <w:t>Role and Importance of Data in Public Health</w:t>
            </w:r>
            <w:r w:rsidRPr="00030908">
              <w:rPr>
                <w:rFonts w:ascii="Arial" w:eastAsia="Times New Roman" w:hAnsi="Arial" w:cs="Arial"/>
                <w:iCs/>
                <w:color w:val="000000"/>
                <w:sz w:val="20"/>
                <w:szCs w:val="20"/>
              </w:rPr>
              <w:t>: Address the basic concepts, methods, and tools of public health data collection, use, and analysis and why evidence-based approaches are an essential part of public health practice</w:t>
            </w:r>
          </w:p>
        </w:tc>
      </w:tr>
      <w:tr w:rsidR="004E1A25" w:rsidRPr="00030908"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Basic Concepts of Data Collection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E1A25" w:rsidRPr="00030908"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Basic Methods of Data Collection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E1A25" w:rsidRPr="00030908"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Basic Tools of Data Collection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E1A25" w:rsidRPr="00030908"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Data Usage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E1A25" w:rsidRPr="00030908"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Data Analysis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r w:rsidR="004E1A25" w:rsidRPr="00030908"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rPr>
                <w:rFonts w:ascii="Arial" w:eastAsia="Times New Roman" w:hAnsi="Arial" w:cs="Arial"/>
                <w:iCs/>
                <w:color w:val="000000"/>
                <w:sz w:val="20"/>
                <w:szCs w:val="20"/>
              </w:rPr>
            </w:pPr>
            <w:r w:rsidRPr="00030908">
              <w:rPr>
                <w:rFonts w:ascii="Arial" w:eastAsia="Times New Roman" w:hAnsi="Arial" w:cs="Arial"/>
                <w:iCs/>
                <w:color w:val="000000"/>
                <w:sz w:val="20"/>
                <w:szCs w:val="20"/>
              </w:rPr>
              <w:t>Evidence-based Approaches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030908" w:rsidRDefault="004E1A25" w:rsidP="004E1A25">
            <w:pPr>
              <w:spacing w:after="0" w:line="240" w:lineRule="auto"/>
              <w:jc w:val="center"/>
              <w:rPr>
                <w:rFonts w:ascii="Arial" w:eastAsia="Times New Roman" w:hAnsi="Arial" w:cs="Arial"/>
                <w:iCs/>
                <w:color w:val="000000"/>
                <w:sz w:val="20"/>
                <w:szCs w:val="20"/>
              </w:rPr>
            </w:pPr>
            <w:r w:rsidRPr="00030908">
              <w:rPr>
                <w:rFonts w:ascii="Arial" w:eastAsia="Times New Roman" w:hAnsi="Arial" w:cs="Arial"/>
                <w:iCs/>
                <w:color w:val="000000"/>
                <w:sz w:val="20"/>
                <w:szCs w:val="20"/>
              </w:rPr>
              <w:t> </w:t>
            </w:r>
          </w:p>
        </w:tc>
      </w:tr>
    </w:tbl>
    <w:p w:rsidR="004E1A25" w:rsidRDefault="00562552">
      <w:r>
        <w:rPr>
          <w:noProof/>
        </w:rPr>
        <mc:AlternateContent>
          <mc:Choice Requires="wps">
            <w:drawing>
              <wp:anchor distT="0" distB="0" distL="114300" distR="114300" simplePos="0" relativeHeight="251663360" behindDoc="0" locked="0" layoutInCell="1" allowOverlap="1" wp14:anchorId="5CD2749A" wp14:editId="10D02C76">
                <wp:simplePos x="0" y="0"/>
                <wp:positionH relativeFrom="column">
                  <wp:posOffset>8947150</wp:posOffset>
                </wp:positionH>
                <wp:positionV relativeFrom="paragraph">
                  <wp:posOffset>-5730875</wp:posOffset>
                </wp:positionV>
                <wp:extent cx="5143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chemeClr val="lt1"/>
                        </a:solidFill>
                        <a:ln w="6350">
                          <a:noFill/>
                        </a:ln>
                      </wps:spPr>
                      <wps:txbx>
                        <w:txbxContent>
                          <w:p w:rsidR="00562552" w:rsidRDefault="00562552" w:rsidP="00562552">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2749A" id="Text Box 3" o:spid="_x0000_s1028" type="#_x0000_t202" style="position:absolute;margin-left:704.5pt;margin-top:-451.25pt;width:40.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" fillcolor="white [3201]" stroked="f" strokeweight=".5pt">
                <v:textbox>
                  <w:txbxContent>
                    <w:p w:rsidR="00562552" w:rsidRDefault="00562552" w:rsidP="00562552">
                      <w:r>
                        <w:t>2</w:t>
                      </w:r>
                    </w:p>
                  </w:txbxContent>
                </v:textbox>
              </v:shape>
            </w:pict>
          </mc:Fallback>
        </mc:AlternateContent>
      </w:r>
      <w:r w:rsidR="004E1A25">
        <w:br w:type="page"/>
      </w:r>
    </w:p>
    <w:tbl>
      <w:tblPr>
        <w:tblW w:w="13925"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720"/>
        <w:gridCol w:w="1381"/>
        <w:gridCol w:w="1228"/>
        <w:gridCol w:w="1272"/>
        <w:gridCol w:w="1055"/>
        <w:gridCol w:w="1236"/>
        <w:gridCol w:w="982"/>
        <w:gridCol w:w="1309"/>
        <w:gridCol w:w="1183"/>
        <w:gridCol w:w="1419"/>
      </w:tblGrid>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rPr>
                <w:rFonts w:ascii="Arial" w:eastAsia="Times New Roman" w:hAnsi="Arial" w:cs="Arial"/>
                <w:i/>
                <w:i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PH 100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261, Foundations of Health Ed</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381, Community Health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383, Biostatistics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384, Epi</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Pr>
                <w:rFonts w:ascii="Arial" w:eastAsia="Times New Roman" w:hAnsi="Arial" w:cs="Arial"/>
                <w:i/>
                <w:iCs/>
                <w:color w:val="000000"/>
                <w:sz w:val="20"/>
                <w:szCs w:val="20"/>
              </w:rPr>
              <w:t>PH 385, Env</w:t>
            </w:r>
            <w:r w:rsidRPr="008033AA">
              <w:rPr>
                <w:rFonts w:ascii="Arial" w:eastAsia="Times New Roman" w:hAnsi="Arial" w:cs="Arial"/>
                <w:i/>
                <w:iCs/>
                <w:color w:val="000000"/>
                <w:sz w:val="20"/>
                <w:szCs w:val="20"/>
              </w:rPr>
              <w:t xml:space="preserve">l Health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483, Admin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484, CommOrg</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485, Methods of Comm Health </w:t>
            </w:r>
            <w:r>
              <w:rPr>
                <w:rFonts w:ascii="Arial" w:eastAsia="Times New Roman" w:hAnsi="Arial" w:cs="Arial"/>
                <w:i/>
                <w:iCs/>
                <w:color w:val="000000"/>
                <w:sz w:val="20"/>
                <w:szCs w:val="20"/>
              </w:rPr>
              <w:t>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8033AA" w:rsidRDefault="004E1A25" w:rsidP="004E1A25">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ENV 460, EnvM</w:t>
            </w:r>
            <w:r>
              <w:rPr>
                <w:rFonts w:ascii="Arial" w:eastAsia="Times New Roman" w:hAnsi="Arial" w:cs="Arial"/>
                <w:i/>
                <w:iCs/>
                <w:color w:val="000000"/>
                <w:sz w:val="20"/>
                <w:szCs w:val="20"/>
              </w:rPr>
              <w:t>ngt</w:t>
            </w:r>
            <w:r w:rsidRPr="008033AA">
              <w:rPr>
                <w:rFonts w:ascii="Arial" w:eastAsia="Times New Roman" w:hAnsi="Arial" w:cs="Arial"/>
                <w:i/>
                <w:iCs/>
                <w:color w:val="000000"/>
                <w:sz w:val="20"/>
                <w:szCs w:val="20"/>
              </w:rPr>
              <w:t xml:space="preserve">t </w:t>
            </w:r>
          </w:p>
        </w:tc>
      </w:tr>
      <w:tr w:rsidR="00E50CA0" w:rsidRPr="004E1A25" w:rsidTr="006137B6">
        <w:trPr>
          <w:trHeight w:val="413"/>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E50CA0" w:rsidRPr="004E1A25" w:rsidRDefault="00E50CA0" w:rsidP="00E50CA0">
            <w:pPr>
              <w:spacing w:after="0" w:line="240" w:lineRule="auto"/>
              <w:rPr>
                <w:rFonts w:ascii="Arial" w:eastAsia="Times New Roman" w:hAnsi="Arial" w:cs="Arial"/>
                <w:i/>
                <w:iCs/>
                <w:color w:val="000000"/>
                <w:sz w:val="20"/>
                <w:szCs w:val="20"/>
              </w:rPr>
            </w:pPr>
            <w:r w:rsidRPr="00E50CA0">
              <w:rPr>
                <w:rFonts w:ascii="Arial" w:eastAsia="Times New Roman" w:hAnsi="Arial" w:cs="Arial"/>
                <w:b/>
                <w:i/>
                <w:iCs/>
                <w:color w:val="000000"/>
                <w:sz w:val="20"/>
                <w:szCs w:val="20"/>
              </w:rPr>
              <w:t>Identifying and Addressing Population Health Challenges</w:t>
            </w:r>
            <w:r w:rsidRPr="00E50CA0">
              <w:rPr>
                <w:rFonts w:ascii="Arial" w:eastAsia="Times New Roman" w:hAnsi="Arial" w:cs="Arial"/>
                <w:i/>
                <w:iCs/>
                <w:color w:val="000000"/>
                <w:sz w:val="20"/>
                <w:szCs w:val="20"/>
              </w:rPr>
              <w:t>:  Address the concepts of population health, and the basic processes, approaches, and interventions that identify and address the major health-related needs and concerns of populations</w:t>
            </w:r>
          </w:p>
        </w:tc>
      </w:tr>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Population Health Concepts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r>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Introduction to Processes and Approaches to Identify Needs and Concerns of Populations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r>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Introduction to Approaches and Interventions to Address Needs and Concerns of Populations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D40B48">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r>
      <w:tr w:rsidR="00494FD1" w:rsidRPr="004E1A25" w:rsidTr="00494FD1">
        <w:trPr>
          <w:trHeight w:val="404"/>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494FD1" w:rsidRPr="004E1A25" w:rsidRDefault="00494FD1" w:rsidP="00494FD1">
            <w:pPr>
              <w:spacing w:after="0" w:line="240" w:lineRule="auto"/>
              <w:rPr>
                <w:rFonts w:ascii="Arial" w:eastAsia="Times New Roman" w:hAnsi="Arial" w:cs="Arial"/>
                <w:i/>
                <w:iCs/>
                <w:color w:val="000000"/>
                <w:sz w:val="20"/>
                <w:szCs w:val="20"/>
              </w:rPr>
            </w:pPr>
            <w:r w:rsidRPr="00494FD1">
              <w:rPr>
                <w:rFonts w:ascii="Arial" w:eastAsia="Times New Roman" w:hAnsi="Arial" w:cs="Arial"/>
                <w:b/>
                <w:i/>
                <w:iCs/>
                <w:color w:val="000000"/>
                <w:sz w:val="20"/>
                <w:szCs w:val="20"/>
              </w:rPr>
              <w:t>Human Health:</w:t>
            </w:r>
            <w:r w:rsidRPr="00494FD1">
              <w:rPr>
                <w:rFonts w:ascii="Arial" w:eastAsia="Times New Roman" w:hAnsi="Arial" w:cs="Arial"/>
                <w:i/>
                <w:iCs/>
                <w:color w:val="000000"/>
                <w:sz w:val="20"/>
                <w:szCs w:val="20"/>
              </w:rPr>
              <w:t xml:space="preserve">  Address the underlying science of human health and disease including opportunities for promoting and protecting health across the life course</w:t>
            </w:r>
          </w:p>
        </w:tc>
      </w:tr>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Science of Human Health and Disease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I</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r>
      <w:tr w:rsidR="004E1A25" w:rsidRPr="004E1A25" w:rsidTr="00EF6093">
        <w:trPr>
          <w:trHeight w:val="332"/>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Health Promotion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r>
      <w:tr w:rsidR="004E1A25" w:rsidRPr="004E1A25" w:rsidTr="00494FD1">
        <w:trPr>
          <w:trHeight w:val="314"/>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Health Protection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I</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r>
      <w:tr w:rsidR="00494FD1" w:rsidRPr="004E1A25" w:rsidTr="00494FD1">
        <w:trPr>
          <w:trHeight w:val="431"/>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494FD1" w:rsidRPr="004E1A25" w:rsidRDefault="00494FD1" w:rsidP="00494FD1">
            <w:pPr>
              <w:spacing w:after="0" w:line="240" w:lineRule="auto"/>
              <w:rPr>
                <w:rFonts w:ascii="Arial" w:eastAsia="Times New Roman" w:hAnsi="Arial" w:cs="Arial"/>
                <w:i/>
                <w:iCs/>
                <w:color w:val="000000"/>
                <w:sz w:val="20"/>
                <w:szCs w:val="20"/>
              </w:rPr>
            </w:pPr>
            <w:r w:rsidRPr="00494FD1">
              <w:rPr>
                <w:rFonts w:ascii="Arial" w:eastAsia="Times New Roman" w:hAnsi="Arial" w:cs="Arial"/>
                <w:b/>
                <w:i/>
                <w:iCs/>
                <w:color w:val="000000"/>
                <w:sz w:val="20"/>
                <w:szCs w:val="20"/>
              </w:rPr>
              <w:t>Determinants of Health:</w:t>
            </w:r>
            <w:r w:rsidRPr="00494FD1">
              <w:rPr>
                <w:rFonts w:ascii="Arial" w:eastAsia="Times New Roman" w:hAnsi="Arial" w:cs="Arial"/>
                <w:i/>
                <w:iCs/>
                <w:color w:val="000000"/>
                <w:sz w:val="20"/>
                <w:szCs w:val="20"/>
              </w:rPr>
              <w:t xml:space="preserve">  Address the socio-economic, behavioral, biological, environmental, and other factors that impact human health and contribute to health disparities</w:t>
            </w:r>
          </w:p>
        </w:tc>
      </w:tr>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Socio-economic Impacts on Human Health and Health Disparities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r>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Behavioral Factors Impacts on Human Health and Health Disparities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r>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Biological Factors Impacts on Human Health and Health Disparities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r>
      <w:tr w:rsidR="004E1A25" w:rsidRPr="004E1A25" w:rsidTr="004E1A25">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Environmental Factors Impacts on Human Health and Health Disparities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E1A25" w:rsidRPr="004E1A25" w:rsidRDefault="004E1A25" w:rsidP="004E1A25">
            <w:pPr>
              <w:spacing w:after="0" w:line="240" w:lineRule="auto"/>
              <w:jc w:val="center"/>
              <w:rPr>
                <w:rFonts w:ascii="Arial" w:eastAsia="Times New Roman" w:hAnsi="Arial" w:cs="Arial"/>
                <w:i/>
                <w:iCs/>
                <w:color w:val="000000"/>
                <w:sz w:val="20"/>
                <w:szCs w:val="20"/>
              </w:rPr>
            </w:pPr>
            <w:r w:rsidRPr="004E1A25">
              <w:rPr>
                <w:rFonts w:ascii="Arial" w:eastAsia="Times New Roman" w:hAnsi="Arial" w:cs="Arial"/>
                <w:i/>
                <w:iCs/>
                <w:color w:val="000000"/>
                <w:sz w:val="20"/>
                <w:szCs w:val="20"/>
              </w:rPr>
              <w:t>C</w:t>
            </w:r>
          </w:p>
        </w:tc>
      </w:tr>
    </w:tbl>
    <w:p w:rsidR="004E1A25" w:rsidRDefault="004E1A25"/>
    <w:tbl>
      <w:tblPr>
        <w:tblW w:w="13925"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720"/>
        <w:gridCol w:w="1381"/>
        <w:gridCol w:w="1228"/>
        <w:gridCol w:w="1272"/>
        <w:gridCol w:w="1055"/>
        <w:gridCol w:w="1236"/>
        <w:gridCol w:w="982"/>
        <w:gridCol w:w="1309"/>
        <w:gridCol w:w="1183"/>
        <w:gridCol w:w="1419"/>
      </w:tblGrid>
      <w:tr w:rsidR="00EF6093" w:rsidRPr="008033AA" w:rsidTr="00D40B48">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rPr>
                <w:rFonts w:ascii="Arial" w:eastAsia="Times New Roman" w:hAnsi="Arial" w:cs="Arial"/>
                <w:i/>
                <w:i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PH 100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261, Foundations of Health Ed</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381, Community Health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383, Biostatistics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384, Epi</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Pr>
                <w:rFonts w:ascii="Arial" w:eastAsia="Times New Roman" w:hAnsi="Arial" w:cs="Arial"/>
                <w:i/>
                <w:iCs/>
                <w:color w:val="000000"/>
                <w:sz w:val="20"/>
                <w:szCs w:val="20"/>
              </w:rPr>
              <w:t>PH 385, Env</w:t>
            </w:r>
            <w:r w:rsidRPr="008033AA">
              <w:rPr>
                <w:rFonts w:ascii="Arial" w:eastAsia="Times New Roman" w:hAnsi="Arial" w:cs="Arial"/>
                <w:i/>
                <w:iCs/>
                <w:color w:val="000000"/>
                <w:sz w:val="20"/>
                <w:szCs w:val="20"/>
              </w:rPr>
              <w:t xml:space="preserve">l Health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483, Admin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484, CommOrg</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485, Methods of Comm Health </w:t>
            </w:r>
            <w:r>
              <w:rPr>
                <w:rFonts w:ascii="Arial" w:eastAsia="Times New Roman" w:hAnsi="Arial" w:cs="Arial"/>
                <w:i/>
                <w:iCs/>
                <w:color w:val="000000"/>
                <w:sz w:val="20"/>
                <w:szCs w:val="20"/>
              </w:rPr>
              <w:t>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8033AA" w:rsidRDefault="00EF6093" w:rsidP="00D40B48">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ENV 460, EnvM</w:t>
            </w:r>
            <w:r>
              <w:rPr>
                <w:rFonts w:ascii="Arial" w:eastAsia="Times New Roman" w:hAnsi="Arial" w:cs="Arial"/>
                <w:i/>
                <w:iCs/>
                <w:color w:val="000000"/>
                <w:sz w:val="20"/>
                <w:szCs w:val="20"/>
              </w:rPr>
              <w:t>ngt</w:t>
            </w:r>
            <w:r w:rsidRPr="008033AA">
              <w:rPr>
                <w:rFonts w:ascii="Arial" w:eastAsia="Times New Roman" w:hAnsi="Arial" w:cs="Arial"/>
                <w:i/>
                <w:iCs/>
                <w:color w:val="000000"/>
                <w:sz w:val="20"/>
                <w:szCs w:val="20"/>
              </w:rPr>
              <w:t xml:space="preserve">t </w:t>
            </w:r>
          </w:p>
        </w:tc>
      </w:tr>
      <w:tr w:rsidR="00494FD1" w:rsidRPr="00EF6093" w:rsidTr="00494FD1">
        <w:trPr>
          <w:trHeight w:val="413"/>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494FD1" w:rsidRPr="00EF6093" w:rsidRDefault="00494FD1" w:rsidP="00494FD1">
            <w:pPr>
              <w:spacing w:after="0" w:line="240" w:lineRule="auto"/>
              <w:rPr>
                <w:rFonts w:ascii="Arial" w:eastAsia="Times New Roman" w:hAnsi="Arial" w:cs="Arial"/>
                <w:i/>
                <w:iCs/>
                <w:color w:val="000000"/>
                <w:sz w:val="20"/>
                <w:szCs w:val="20"/>
              </w:rPr>
            </w:pPr>
            <w:r w:rsidRPr="00494FD1">
              <w:rPr>
                <w:rFonts w:ascii="Arial" w:eastAsia="Times New Roman" w:hAnsi="Arial" w:cs="Arial"/>
                <w:b/>
                <w:i/>
                <w:iCs/>
                <w:color w:val="000000"/>
                <w:sz w:val="20"/>
                <w:szCs w:val="20"/>
              </w:rPr>
              <w:t>Project Implementation:</w:t>
            </w:r>
            <w:r w:rsidRPr="00494FD1">
              <w:rPr>
                <w:rFonts w:ascii="Arial" w:eastAsia="Times New Roman" w:hAnsi="Arial" w:cs="Arial"/>
                <w:i/>
                <w:iCs/>
                <w:color w:val="000000"/>
                <w:sz w:val="20"/>
                <w:szCs w:val="20"/>
              </w:rPr>
              <w:t xml:space="preserve">  Address the fundamental concepts and features of project implementation, including planning, assessment, and evaluation</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Introduction to Planning Concepts and Features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Introduction to Assessment Concepts and Features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Introduction to Evaluation Concepts and Features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494FD1" w:rsidRPr="00EF6093" w:rsidTr="00576EBB">
        <w:trPr>
          <w:trHeight w:val="620"/>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494FD1" w:rsidRPr="00EF6093" w:rsidRDefault="00494FD1" w:rsidP="00494FD1">
            <w:pPr>
              <w:spacing w:after="0" w:line="240" w:lineRule="auto"/>
              <w:rPr>
                <w:rFonts w:ascii="Arial" w:eastAsia="Times New Roman" w:hAnsi="Arial" w:cs="Arial"/>
                <w:i/>
                <w:iCs/>
                <w:color w:val="000000"/>
                <w:sz w:val="20"/>
                <w:szCs w:val="20"/>
              </w:rPr>
            </w:pPr>
            <w:r w:rsidRPr="00494FD1">
              <w:rPr>
                <w:rFonts w:ascii="Arial" w:eastAsia="Times New Roman" w:hAnsi="Arial" w:cs="Arial"/>
                <w:b/>
                <w:i/>
                <w:iCs/>
                <w:color w:val="000000"/>
                <w:sz w:val="20"/>
                <w:szCs w:val="20"/>
              </w:rPr>
              <w:t>Overview of the Health System</w:t>
            </w:r>
            <w:r w:rsidRPr="00494FD1">
              <w:rPr>
                <w:rFonts w:ascii="Arial" w:eastAsia="Times New Roman" w:hAnsi="Arial" w:cs="Arial"/>
                <w:i/>
                <w:iCs/>
                <w:color w:val="000000"/>
                <w:sz w:val="20"/>
                <w:szCs w:val="20"/>
              </w:rPr>
              <w:t>:  Address the fundamental characteristics and organizational structures of the U.S. health system as well as to the differences in systems in other countries</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Characteristics and Structures of the U.S. Health System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r>
      <w:tr w:rsidR="00EF6093" w:rsidRPr="00EF6093" w:rsidTr="00EF6093">
        <w:trPr>
          <w:trHeight w:val="44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Comparative Health Systems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r>
      <w:tr w:rsidR="00494FD1" w:rsidRPr="00EF6093" w:rsidTr="00120ACF">
        <w:trPr>
          <w:trHeight w:val="620"/>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494FD1" w:rsidRPr="00EF6093" w:rsidRDefault="00494FD1" w:rsidP="00494FD1">
            <w:pPr>
              <w:spacing w:after="0" w:line="240" w:lineRule="auto"/>
              <w:rPr>
                <w:rFonts w:ascii="Arial" w:eastAsia="Times New Roman" w:hAnsi="Arial" w:cs="Arial"/>
                <w:i/>
                <w:iCs/>
                <w:color w:val="000000"/>
                <w:sz w:val="20"/>
                <w:szCs w:val="20"/>
              </w:rPr>
            </w:pPr>
            <w:r w:rsidRPr="00152E1F">
              <w:rPr>
                <w:rFonts w:ascii="Arial" w:eastAsia="Times New Roman" w:hAnsi="Arial" w:cs="Arial"/>
                <w:b/>
                <w:i/>
                <w:iCs/>
                <w:color w:val="000000"/>
                <w:sz w:val="20"/>
                <w:szCs w:val="20"/>
              </w:rPr>
              <w:t>Health Policy, Law, Ethics, and Economics:</w:t>
            </w:r>
            <w:r w:rsidRPr="00494FD1">
              <w:rPr>
                <w:rFonts w:ascii="Arial" w:eastAsia="Times New Roman" w:hAnsi="Arial" w:cs="Arial"/>
                <w:i/>
                <w:iCs/>
                <w:color w:val="000000"/>
                <w:sz w:val="20"/>
                <w:szCs w:val="20"/>
              </w:rPr>
              <w:t xml:space="preserve">  Address the basic concepts of legal, ethical, economic, and regulatory dimensions of health care and public health policy, and the roles, influences and responsibilities of the different agencies and branches of government</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Legal dimensions of health care and public health policy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Ethical dimensions of health care and public health policy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Economical dimensions of health care and public health policy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Regulatory dimensions of health care and public health policy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EF6093"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Governmental Agency Roles in health care and public health policy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EF6093" w:rsidRPr="00EF6093" w:rsidRDefault="00EF6093" w:rsidP="00EF6093">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152E1F"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rPr>
                <w:rFonts w:ascii="Arial" w:eastAsia="Times New Roman" w:hAnsi="Arial" w:cs="Arial"/>
                <w:i/>
                <w:i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PH 100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261, Foundations of Health Ed</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381, Community Health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383, Biostatistics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384, Epi</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Pr>
                <w:rFonts w:ascii="Arial" w:eastAsia="Times New Roman" w:hAnsi="Arial" w:cs="Arial"/>
                <w:i/>
                <w:iCs/>
                <w:color w:val="000000"/>
                <w:sz w:val="20"/>
                <w:szCs w:val="20"/>
              </w:rPr>
              <w:t>PH 385, Env</w:t>
            </w:r>
            <w:r w:rsidRPr="008033AA">
              <w:rPr>
                <w:rFonts w:ascii="Arial" w:eastAsia="Times New Roman" w:hAnsi="Arial" w:cs="Arial"/>
                <w:i/>
                <w:iCs/>
                <w:color w:val="000000"/>
                <w:sz w:val="20"/>
                <w:szCs w:val="20"/>
              </w:rPr>
              <w:t xml:space="preserve">l Health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483, Admin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PH 484, CommOrg</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 xml:space="preserve">PH 485, Methods of Comm Health </w:t>
            </w:r>
            <w:r>
              <w:rPr>
                <w:rFonts w:ascii="Arial" w:eastAsia="Times New Roman" w:hAnsi="Arial" w:cs="Arial"/>
                <w:i/>
                <w:iCs/>
                <w:color w:val="000000"/>
                <w:sz w:val="20"/>
                <w:szCs w:val="20"/>
              </w:rPr>
              <w:t>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52E1F" w:rsidRPr="008033AA" w:rsidRDefault="00152E1F" w:rsidP="00152E1F">
            <w:pPr>
              <w:spacing w:after="0" w:line="240" w:lineRule="auto"/>
              <w:jc w:val="center"/>
              <w:rPr>
                <w:rFonts w:ascii="Arial" w:eastAsia="Times New Roman" w:hAnsi="Arial" w:cs="Arial"/>
                <w:i/>
                <w:iCs/>
                <w:color w:val="000000"/>
                <w:sz w:val="20"/>
                <w:szCs w:val="20"/>
              </w:rPr>
            </w:pPr>
            <w:r w:rsidRPr="008033AA">
              <w:rPr>
                <w:rFonts w:ascii="Arial" w:eastAsia="Times New Roman" w:hAnsi="Arial" w:cs="Arial"/>
                <w:i/>
                <w:iCs/>
                <w:color w:val="000000"/>
                <w:sz w:val="20"/>
                <w:szCs w:val="20"/>
              </w:rPr>
              <w:t>ENV 460, EnvM</w:t>
            </w:r>
            <w:r>
              <w:rPr>
                <w:rFonts w:ascii="Arial" w:eastAsia="Times New Roman" w:hAnsi="Arial" w:cs="Arial"/>
                <w:i/>
                <w:iCs/>
                <w:color w:val="000000"/>
                <w:sz w:val="20"/>
                <w:szCs w:val="20"/>
              </w:rPr>
              <w:t>ngt</w:t>
            </w:r>
            <w:r w:rsidRPr="008033AA">
              <w:rPr>
                <w:rFonts w:ascii="Arial" w:eastAsia="Times New Roman" w:hAnsi="Arial" w:cs="Arial"/>
                <w:i/>
                <w:iCs/>
                <w:color w:val="000000"/>
                <w:sz w:val="20"/>
                <w:szCs w:val="20"/>
              </w:rPr>
              <w:t xml:space="preserve">t </w:t>
            </w:r>
          </w:p>
        </w:tc>
      </w:tr>
      <w:tr w:rsidR="00152E1F" w:rsidRPr="00EF6093" w:rsidTr="008A62DB">
        <w:trPr>
          <w:trHeight w:val="368"/>
        </w:trPr>
        <w:tc>
          <w:tcPr>
            <w:tcW w:w="13925" w:type="dxa"/>
            <w:gridSpan w:val="11"/>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rPr>
                <w:rFonts w:ascii="Arial" w:eastAsia="Times New Roman" w:hAnsi="Arial" w:cs="Arial"/>
                <w:i/>
                <w:iCs/>
                <w:color w:val="000000"/>
                <w:sz w:val="20"/>
                <w:szCs w:val="20"/>
              </w:rPr>
            </w:pPr>
            <w:r w:rsidRPr="00152E1F">
              <w:rPr>
                <w:rFonts w:ascii="Arial" w:eastAsia="Times New Roman" w:hAnsi="Arial" w:cs="Arial"/>
                <w:b/>
                <w:i/>
                <w:iCs/>
                <w:color w:val="000000"/>
                <w:sz w:val="20"/>
                <w:szCs w:val="20"/>
              </w:rPr>
              <w:t>Health Communications:</w:t>
            </w:r>
            <w:r w:rsidRPr="00152E1F">
              <w:rPr>
                <w:rFonts w:ascii="Arial" w:eastAsia="Times New Roman" w:hAnsi="Arial" w:cs="Arial"/>
                <w:i/>
                <w:iCs/>
                <w:color w:val="000000"/>
                <w:sz w:val="20"/>
                <w:szCs w:val="20"/>
              </w:rPr>
              <w:t xml:space="preserve">  Address the basic concepts of public health-specific communication, including technical and professional writing and the use of mass media and electronic technology</w:t>
            </w:r>
          </w:p>
        </w:tc>
      </w:tr>
      <w:tr w:rsidR="00152E1F" w:rsidRPr="00EF6093" w:rsidTr="00EF6093">
        <w:trPr>
          <w:trHeight w:val="368"/>
        </w:trPr>
        <w:tc>
          <w:tcPr>
            <w:tcW w:w="2140"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Technical writing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152E1F" w:rsidRPr="00EF6093" w:rsidTr="00EF6093">
        <w:trPr>
          <w:trHeight w:val="35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Professional writing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r w:rsidR="00152E1F" w:rsidRPr="00EF6093" w:rsidTr="00EF6093">
        <w:trPr>
          <w:trHeight w:val="35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Use of Mass Media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r>
      <w:tr w:rsidR="00152E1F" w:rsidRPr="00EF6093" w:rsidTr="00EF6093">
        <w:trPr>
          <w:trHeight w:val="6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Use of Electronic Technology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152E1F" w:rsidRPr="00EF6093" w:rsidRDefault="00152E1F" w:rsidP="00152E1F">
            <w:pPr>
              <w:spacing w:after="0" w:line="240" w:lineRule="auto"/>
              <w:jc w:val="center"/>
              <w:rPr>
                <w:rFonts w:ascii="Arial" w:eastAsia="Times New Roman" w:hAnsi="Arial" w:cs="Arial"/>
                <w:i/>
                <w:iCs/>
                <w:color w:val="000000"/>
                <w:sz w:val="20"/>
                <w:szCs w:val="20"/>
              </w:rPr>
            </w:pPr>
            <w:r w:rsidRPr="00EF6093">
              <w:rPr>
                <w:rFonts w:ascii="Arial" w:eastAsia="Times New Roman" w:hAnsi="Arial" w:cs="Arial"/>
                <w:i/>
                <w:iCs/>
                <w:color w:val="000000"/>
                <w:sz w:val="20"/>
                <w:szCs w:val="20"/>
              </w:rPr>
              <w:t>C</w:t>
            </w:r>
          </w:p>
        </w:tc>
      </w:tr>
    </w:tbl>
    <w:p w:rsidR="00D40B48" w:rsidRDefault="00D40B48"/>
    <w:p w:rsidR="00D40B48" w:rsidRDefault="00D40B48"/>
    <w:p w:rsidR="00152E1F" w:rsidRDefault="00152E1F">
      <w:r>
        <w:t>_____________________________________________________________________________________________________________________________</w:t>
      </w:r>
    </w:p>
    <w:p w:rsidR="00152E1F" w:rsidRDefault="00152E1F"/>
    <w:p w:rsidR="00152E1F" w:rsidRPr="00E50CA0" w:rsidRDefault="00152E1F" w:rsidP="00152E1F">
      <w:pPr>
        <w:rPr>
          <w:sz w:val="24"/>
          <w:szCs w:val="24"/>
        </w:rPr>
      </w:pPr>
      <w:r w:rsidRPr="00E50CA0">
        <w:rPr>
          <w:bCs/>
          <w:sz w:val="24"/>
          <w:szCs w:val="24"/>
        </w:rPr>
        <w:t xml:space="preserve">Students have opportunities to integrate, synthesize and apply knowledge through cumulative and experiential activities. All students complete a cumulative, integrative and scholarly or applied experience or inquiry project that serves as a capstone to the education experience. These experiences may include, but are not limited to, internships, service-learning projects, senior seminars, portfolio projects, </w:t>
      </w:r>
      <w:proofErr w:type="gramStart"/>
      <w:r w:rsidRPr="00E50CA0">
        <w:rPr>
          <w:bCs/>
          <w:sz w:val="24"/>
          <w:szCs w:val="24"/>
        </w:rPr>
        <w:t>research</w:t>
      </w:r>
      <w:proofErr w:type="gramEnd"/>
      <w:r w:rsidRPr="00E50CA0">
        <w:rPr>
          <w:bCs/>
          <w:sz w:val="24"/>
          <w:szCs w:val="24"/>
        </w:rPr>
        <w:t xml:space="preserve"> papers or honors theses. Schools and programs encourage exposure to local-level public health professionals and/or agencies that engage in public health practice.</w:t>
      </w:r>
    </w:p>
    <w:p w:rsidR="00152E1F" w:rsidRDefault="00152E1F" w:rsidP="00152E1F"/>
    <w:p w:rsidR="00152E1F" w:rsidRDefault="00152E1F" w:rsidP="00152E1F"/>
    <w:tbl>
      <w:tblPr>
        <w:tblW w:w="12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6940"/>
      </w:tblGrid>
      <w:tr w:rsidR="00152E1F" w:rsidRPr="00D40B48" w:rsidTr="00216B4C">
        <w:trPr>
          <w:trHeight w:val="530"/>
        </w:trPr>
        <w:tc>
          <w:tcPr>
            <w:tcW w:w="5440" w:type="dxa"/>
            <w:shd w:val="clear" w:color="000000" w:fill="D9D9D9"/>
            <w:hideMark/>
          </w:tcPr>
          <w:p w:rsidR="00152E1F" w:rsidRPr="00D40B48" w:rsidRDefault="00152E1F" w:rsidP="00216B4C">
            <w:pPr>
              <w:spacing w:after="0" w:line="240" w:lineRule="auto"/>
              <w:jc w:val="center"/>
              <w:rPr>
                <w:rFonts w:ascii="Arial" w:eastAsia="Times New Roman" w:hAnsi="Arial" w:cs="Arial"/>
                <w:b/>
                <w:bCs/>
                <w:color w:val="000000"/>
                <w:sz w:val="20"/>
                <w:szCs w:val="20"/>
              </w:rPr>
            </w:pPr>
            <w:r>
              <w:br w:type="page"/>
            </w:r>
            <w:r w:rsidRPr="00D40B48">
              <w:rPr>
                <w:rFonts w:ascii="Arial" w:eastAsia="Times New Roman" w:hAnsi="Arial" w:cs="Arial"/>
                <w:b/>
                <w:bCs/>
                <w:color w:val="000000"/>
                <w:sz w:val="20"/>
                <w:szCs w:val="20"/>
              </w:rPr>
              <w:t xml:space="preserve">Cumulative and Experiential Activity </w:t>
            </w:r>
            <w:r w:rsidRPr="00D40B48">
              <w:rPr>
                <w:rFonts w:ascii="Arial" w:eastAsia="Times New Roman" w:hAnsi="Arial" w:cs="Arial"/>
                <w:color w:val="000000"/>
                <w:sz w:val="20"/>
                <w:szCs w:val="20"/>
              </w:rPr>
              <w:t>(internships, research papers, service-learning projects, etc.)</w:t>
            </w:r>
          </w:p>
        </w:tc>
        <w:tc>
          <w:tcPr>
            <w:tcW w:w="6940" w:type="dxa"/>
            <w:shd w:val="clear" w:color="000000" w:fill="D9D9D9"/>
            <w:hideMark/>
          </w:tcPr>
          <w:p w:rsidR="00152E1F" w:rsidRPr="00D40B48" w:rsidRDefault="00152E1F" w:rsidP="00216B4C">
            <w:pPr>
              <w:spacing w:after="0" w:line="240" w:lineRule="auto"/>
              <w:jc w:val="center"/>
              <w:rPr>
                <w:rFonts w:ascii="Arial" w:eastAsia="Times New Roman" w:hAnsi="Arial" w:cs="Arial"/>
                <w:b/>
                <w:bCs/>
                <w:color w:val="000000"/>
                <w:sz w:val="20"/>
                <w:szCs w:val="20"/>
              </w:rPr>
            </w:pPr>
            <w:r w:rsidRPr="00D40B48">
              <w:rPr>
                <w:rFonts w:ascii="Arial" w:eastAsia="Times New Roman" w:hAnsi="Arial" w:cs="Arial"/>
                <w:b/>
                <w:bCs/>
                <w:color w:val="000000"/>
                <w:sz w:val="20"/>
                <w:szCs w:val="20"/>
              </w:rPr>
              <w:t xml:space="preserve">Narrative describing how activity provides students the opportunity to </w:t>
            </w:r>
            <w:proofErr w:type="gramStart"/>
            <w:r w:rsidRPr="00D40B48">
              <w:rPr>
                <w:rFonts w:ascii="Arial" w:eastAsia="Times New Roman" w:hAnsi="Arial" w:cs="Arial"/>
                <w:b/>
                <w:bCs/>
                <w:color w:val="000000"/>
                <w:sz w:val="20"/>
                <w:szCs w:val="20"/>
              </w:rPr>
              <w:t>integrate,</w:t>
            </w:r>
            <w:proofErr w:type="gramEnd"/>
            <w:r w:rsidRPr="00D40B48">
              <w:rPr>
                <w:rFonts w:ascii="Arial" w:eastAsia="Times New Roman" w:hAnsi="Arial" w:cs="Arial"/>
                <w:b/>
                <w:bCs/>
                <w:color w:val="000000"/>
                <w:sz w:val="20"/>
                <w:szCs w:val="20"/>
              </w:rPr>
              <w:t xml:space="preserve"> synthesize and apply knowledge.</w:t>
            </w:r>
          </w:p>
        </w:tc>
      </w:tr>
      <w:tr w:rsidR="00152E1F" w:rsidRPr="00D40B48" w:rsidTr="00216B4C">
        <w:trPr>
          <w:trHeight w:val="1010"/>
        </w:trPr>
        <w:tc>
          <w:tcPr>
            <w:tcW w:w="5440" w:type="dxa"/>
            <w:shd w:val="clear" w:color="auto" w:fill="auto"/>
            <w:hideMark/>
          </w:tcPr>
          <w:p w:rsidR="00152E1F" w:rsidRPr="00D40B48" w:rsidRDefault="00152E1F" w:rsidP="00216B4C">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PH 490: Internship</w:t>
            </w:r>
          </w:p>
        </w:tc>
        <w:tc>
          <w:tcPr>
            <w:tcW w:w="6940" w:type="dxa"/>
            <w:shd w:val="clear" w:color="auto" w:fill="auto"/>
            <w:hideMark/>
          </w:tcPr>
          <w:p w:rsidR="00152E1F" w:rsidRPr="00D40B48" w:rsidRDefault="00152E1F" w:rsidP="00216B4C">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Students complete 6-credit hours (400 contact hours) of a planned, supervised, and evaluated field experience with an approved PH-related organization. Students submit an internship portfolio, documenting activities, at the end of the experience.  </w:t>
            </w:r>
          </w:p>
        </w:tc>
      </w:tr>
      <w:tr w:rsidR="00152E1F" w:rsidRPr="00D40B48" w:rsidTr="00216B4C">
        <w:trPr>
          <w:trHeight w:val="770"/>
        </w:trPr>
        <w:tc>
          <w:tcPr>
            <w:tcW w:w="5440" w:type="dxa"/>
            <w:shd w:val="clear" w:color="auto" w:fill="auto"/>
            <w:hideMark/>
          </w:tcPr>
          <w:p w:rsidR="00152E1F" w:rsidRPr="00D40B48" w:rsidRDefault="00152E1F" w:rsidP="00216B4C">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PH 485: Methods of Community Health Education</w:t>
            </w:r>
          </w:p>
        </w:tc>
        <w:tc>
          <w:tcPr>
            <w:tcW w:w="6940" w:type="dxa"/>
            <w:shd w:val="clear" w:color="auto" w:fill="auto"/>
            <w:vAlign w:val="bottom"/>
            <w:hideMark/>
          </w:tcPr>
          <w:p w:rsidR="00152E1F" w:rsidRPr="00D40B48" w:rsidRDefault="00152E1F" w:rsidP="00216B4C">
            <w:pPr>
              <w:spacing w:after="0" w:line="240" w:lineRule="auto"/>
              <w:rPr>
                <w:rFonts w:ascii="Arial" w:eastAsia="Times New Roman" w:hAnsi="Arial" w:cs="Arial"/>
                <w:sz w:val="20"/>
                <w:szCs w:val="20"/>
              </w:rPr>
            </w:pPr>
            <w:r w:rsidRPr="00D40B48">
              <w:rPr>
                <w:rFonts w:ascii="Arial" w:eastAsia="Times New Roman" w:hAnsi="Arial" w:cs="Arial"/>
                <w:sz w:val="20"/>
                <w:szCs w:val="20"/>
              </w:rPr>
              <w:t>Students research a public health issue, then design a program and write a grant proposal to fund it.  Students present and defend their work during the departmental research symposium.</w:t>
            </w:r>
          </w:p>
        </w:tc>
      </w:tr>
    </w:tbl>
    <w:p w:rsidR="00152E1F" w:rsidRDefault="00152E1F" w:rsidP="00152E1F"/>
    <w:p w:rsidR="00152E1F" w:rsidRDefault="00152E1F"/>
    <w:p w:rsidR="00152E1F" w:rsidRDefault="00152E1F"/>
    <w:tbl>
      <w:tblPr>
        <w:tblW w:w="13820" w:type="dxa"/>
        <w:tblInd w:w="-5" w:type="dxa"/>
        <w:tblLook w:val="04A0" w:firstRow="1" w:lastRow="0" w:firstColumn="1" w:lastColumn="0" w:noHBand="0" w:noVBand="1"/>
      </w:tblPr>
      <w:tblGrid>
        <w:gridCol w:w="1562"/>
        <w:gridCol w:w="5098"/>
        <w:gridCol w:w="7160"/>
      </w:tblGrid>
      <w:tr w:rsidR="00D40B48" w:rsidRPr="00D40B48" w:rsidTr="00811E89">
        <w:trPr>
          <w:trHeight w:val="1050"/>
        </w:trPr>
        <w:tc>
          <w:tcPr>
            <w:tcW w:w="1562" w:type="dxa"/>
            <w:tcBorders>
              <w:top w:val="single" w:sz="4" w:space="0" w:color="auto"/>
              <w:left w:val="single" w:sz="4" w:space="0" w:color="auto"/>
              <w:bottom w:val="single" w:sz="12" w:space="0" w:color="auto"/>
              <w:right w:val="single" w:sz="4" w:space="0" w:color="auto"/>
            </w:tcBorders>
            <w:shd w:val="clear" w:color="000000" w:fill="D9D9D9"/>
            <w:noWrap/>
            <w:hideMark/>
          </w:tcPr>
          <w:p w:rsidR="00D40B48" w:rsidRPr="00D40B48" w:rsidRDefault="00D40B48" w:rsidP="00D40B48">
            <w:pPr>
              <w:spacing w:after="0" w:line="240" w:lineRule="auto"/>
              <w:jc w:val="center"/>
              <w:rPr>
                <w:rFonts w:ascii="Arial" w:eastAsia="Times New Roman" w:hAnsi="Arial" w:cs="Arial"/>
                <w:b/>
                <w:bCs/>
                <w:color w:val="000000"/>
                <w:sz w:val="20"/>
                <w:szCs w:val="20"/>
              </w:rPr>
            </w:pPr>
            <w:r w:rsidRPr="00D40B48">
              <w:rPr>
                <w:rFonts w:ascii="Arial" w:eastAsia="Times New Roman" w:hAnsi="Arial" w:cs="Arial"/>
                <w:b/>
                <w:bCs/>
                <w:color w:val="000000"/>
                <w:sz w:val="20"/>
                <w:szCs w:val="20"/>
              </w:rPr>
              <w:t>Skills</w:t>
            </w:r>
          </w:p>
        </w:tc>
        <w:tc>
          <w:tcPr>
            <w:tcW w:w="5098" w:type="dxa"/>
            <w:tcBorders>
              <w:top w:val="single" w:sz="4" w:space="0" w:color="auto"/>
              <w:left w:val="nil"/>
              <w:bottom w:val="single" w:sz="12" w:space="0" w:color="auto"/>
              <w:right w:val="single" w:sz="4" w:space="0" w:color="auto"/>
            </w:tcBorders>
            <w:shd w:val="clear" w:color="000000" w:fill="D9D9D9"/>
            <w:hideMark/>
          </w:tcPr>
          <w:p w:rsidR="00D40B48" w:rsidRPr="00D40B48" w:rsidRDefault="00D40B48" w:rsidP="00D40B48">
            <w:pPr>
              <w:spacing w:after="0" w:line="240" w:lineRule="auto"/>
              <w:jc w:val="center"/>
              <w:rPr>
                <w:rFonts w:ascii="Arial" w:eastAsia="Times New Roman" w:hAnsi="Arial" w:cs="Arial"/>
                <w:b/>
                <w:bCs/>
                <w:color w:val="000000"/>
                <w:sz w:val="20"/>
                <w:szCs w:val="20"/>
              </w:rPr>
            </w:pPr>
            <w:r w:rsidRPr="00D40B48">
              <w:rPr>
                <w:rFonts w:ascii="Arial" w:eastAsia="Times New Roman" w:hAnsi="Arial" w:cs="Arial"/>
                <w:b/>
                <w:bCs/>
                <w:color w:val="000000"/>
                <w:sz w:val="20"/>
                <w:szCs w:val="20"/>
              </w:rPr>
              <w:t>Courses and other learning experiences through which students demonstrate the following skills.</w:t>
            </w:r>
          </w:p>
        </w:tc>
        <w:tc>
          <w:tcPr>
            <w:tcW w:w="7160" w:type="dxa"/>
            <w:tcBorders>
              <w:top w:val="single" w:sz="4" w:space="0" w:color="auto"/>
              <w:left w:val="nil"/>
              <w:bottom w:val="single" w:sz="12" w:space="0" w:color="auto"/>
              <w:right w:val="single" w:sz="4" w:space="0" w:color="auto"/>
            </w:tcBorders>
            <w:shd w:val="clear" w:color="000000" w:fill="D9D9D9"/>
            <w:hideMark/>
          </w:tcPr>
          <w:p w:rsidR="00D40B48" w:rsidRPr="00D40B48" w:rsidRDefault="00D40B48" w:rsidP="00D40B48">
            <w:pPr>
              <w:spacing w:after="0" w:line="240" w:lineRule="auto"/>
              <w:jc w:val="center"/>
              <w:rPr>
                <w:rFonts w:ascii="Arial" w:eastAsia="Times New Roman" w:hAnsi="Arial" w:cs="Arial"/>
                <w:b/>
                <w:bCs/>
                <w:color w:val="000000"/>
                <w:sz w:val="20"/>
                <w:szCs w:val="20"/>
              </w:rPr>
            </w:pPr>
            <w:r w:rsidRPr="00D40B48">
              <w:rPr>
                <w:rFonts w:ascii="Arial" w:eastAsia="Times New Roman" w:hAnsi="Arial" w:cs="Arial"/>
                <w:b/>
                <w:bCs/>
                <w:color w:val="000000"/>
                <w:sz w:val="20"/>
                <w:szCs w:val="20"/>
              </w:rPr>
              <w:t xml:space="preserve">Methods by which these skills </w:t>
            </w:r>
            <w:proofErr w:type="gramStart"/>
            <w:r w:rsidRPr="00D40B48">
              <w:rPr>
                <w:rFonts w:ascii="Arial" w:eastAsia="Times New Roman" w:hAnsi="Arial" w:cs="Arial"/>
                <w:b/>
                <w:bCs/>
                <w:color w:val="000000"/>
                <w:sz w:val="20"/>
                <w:szCs w:val="20"/>
              </w:rPr>
              <w:t>are assessed</w:t>
            </w:r>
            <w:proofErr w:type="gramEnd"/>
            <w:r w:rsidRPr="00D40B48">
              <w:rPr>
                <w:rFonts w:ascii="Arial" w:eastAsia="Times New Roman" w:hAnsi="Arial" w:cs="Arial"/>
                <w:b/>
                <w:bCs/>
                <w:color w:val="000000"/>
                <w:sz w:val="20"/>
                <w:szCs w:val="20"/>
              </w:rPr>
              <w:t>.</w:t>
            </w:r>
          </w:p>
        </w:tc>
      </w:tr>
      <w:tr w:rsidR="00811E89" w:rsidRPr="00D40B48" w:rsidTr="00811E89">
        <w:trPr>
          <w:trHeight w:val="528"/>
        </w:trPr>
        <w:tc>
          <w:tcPr>
            <w:tcW w:w="13820" w:type="dxa"/>
            <w:gridSpan w:val="3"/>
            <w:tcBorders>
              <w:top w:val="nil"/>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Arial" w:eastAsia="Times New Roman" w:hAnsi="Arial" w:cs="Arial"/>
                <w:b/>
                <w:bCs/>
                <w:color w:val="000000"/>
                <w:sz w:val="20"/>
                <w:szCs w:val="20"/>
              </w:rPr>
            </w:pPr>
            <w:r w:rsidRPr="00D40B48">
              <w:rPr>
                <w:rFonts w:ascii="Arial" w:eastAsia="Times New Roman" w:hAnsi="Arial" w:cs="Arial"/>
                <w:b/>
                <w:bCs/>
                <w:color w:val="000000"/>
                <w:sz w:val="20"/>
                <w:szCs w:val="20"/>
              </w:rPr>
              <w:t xml:space="preserve">Public Health Communication: </w:t>
            </w:r>
            <w:r w:rsidRPr="00D40B48">
              <w:rPr>
                <w:rFonts w:ascii="Arial" w:eastAsia="Times New Roman" w:hAnsi="Arial" w:cs="Arial"/>
                <w:color w:val="000000"/>
                <w:sz w:val="20"/>
                <w:szCs w:val="20"/>
              </w:rPr>
              <w:t>Students should be able to communicate public health information, in both oral and written forms and through a variety of media, to diverse audiences</w:t>
            </w:r>
          </w:p>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tc>
      </w:tr>
      <w:tr w:rsidR="00811E89" w:rsidRPr="00D40B48" w:rsidTr="00811E89">
        <w:trPr>
          <w:trHeight w:val="1889"/>
        </w:trPr>
        <w:tc>
          <w:tcPr>
            <w:tcW w:w="1562" w:type="dxa"/>
            <w:tcBorders>
              <w:top w:val="nil"/>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p w:rsidR="00811E89" w:rsidRPr="00D40B48" w:rsidRDefault="00811E89"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Oral communication</w:t>
            </w:r>
          </w:p>
        </w:tc>
        <w:tc>
          <w:tcPr>
            <w:tcW w:w="5098"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PH 485: Methods of Community Health Education</w:t>
            </w:r>
            <w:r w:rsidRPr="00D40B48">
              <w:rPr>
                <w:rFonts w:ascii="Calibri" w:eastAsia="Times New Roman" w:hAnsi="Calibri" w:cs="Calibri"/>
                <w:color w:val="000000"/>
                <w:sz w:val="20"/>
                <w:szCs w:val="20"/>
              </w:rPr>
              <w:br/>
              <w:t>PH 484: Community Organization</w:t>
            </w:r>
            <w:r w:rsidRPr="00D40B48">
              <w:rPr>
                <w:rFonts w:ascii="Calibri" w:eastAsia="Times New Roman" w:hAnsi="Calibri" w:cs="Calibri"/>
                <w:color w:val="000000"/>
                <w:sz w:val="20"/>
                <w:szCs w:val="20"/>
              </w:rPr>
              <w:br/>
              <w:t>PH 483: Administration of Health Programs</w:t>
            </w:r>
            <w:r w:rsidRPr="00D40B48">
              <w:rPr>
                <w:rFonts w:ascii="Calibri" w:eastAsia="Times New Roman" w:hAnsi="Calibri" w:cs="Calibri"/>
                <w:color w:val="000000"/>
                <w:sz w:val="20"/>
                <w:szCs w:val="20"/>
              </w:rPr>
              <w:br/>
              <w:t>PH 261: Foundations of Health Education</w:t>
            </w:r>
          </w:p>
        </w:tc>
        <w:tc>
          <w:tcPr>
            <w:tcW w:w="7160"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b/>
                <w:bCs/>
                <w:color w:val="000000"/>
                <w:sz w:val="20"/>
                <w:szCs w:val="20"/>
              </w:rPr>
              <w:t>PH 485.</w:t>
            </w:r>
            <w:r w:rsidRPr="00D40B48">
              <w:rPr>
                <w:rFonts w:ascii="Calibri" w:eastAsia="Times New Roman" w:hAnsi="Calibri" w:cs="Calibri"/>
                <w:color w:val="000000"/>
                <w:sz w:val="20"/>
                <w:szCs w:val="20"/>
              </w:rPr>
              <w:t xml:space="preserve"> Students present a program and grant proposal to classmates and a panel of judges; students create and record an audio/video public service announcement (PSA).                                                                                                                                                                                                                                                                                                                                                                                                                                                                    </w:t>
            </w:r>
            <w:r w:rsidRPr="00D40B48">
              <w:rPr>
                <w:rFonts w:ascii="Calibri" w:eastAsia="Times New Roman" w:hAnsi="Calibri" w:cs="Calibri"/>
                <w:b/>
                <w:bCs/>
                <w:color w:val="000000"/>
                <w:sz w:val="20"/>
                <w:szCs w:val="20"/>
              </w:rPr>
              <w:t>PH 484</w:t>
            </w:r>
            <w:r w:rsidRPr="00D40B48">
              <w:rPr>
                <w:rFonts w:ascii="Calibri" w:eastAsia="Times New Roman" w:hAnsi="Calibri" w:cs="Calibri"/>
                <w:color w:val="000000"/>
                <w:sz w:val="20"/>
                <w:szCs w:val="20"/>
              </w:rPr>
              <w:t xml:space="preserve">. In-class presentation of Community Coalition Project </w:t>
            </w:r>
            <w:r w:rsidRPr="00D40B48">
              <w:rPr>
                <w:rFonts w:ascii="Calibri" w:eastAsia="Times New Roman" w:hAnsi="Calibri" w:cs="Calibri"/>
                <w:color w:val="000000"/>
                <w:sz w:val="20"/>
                <w:szCs w:val="20"/>
              </w:rPr>
              <w:br/>
            </w:r>
            <w:r w:rsidRPr="00D40B48">
              <w:rPr>
                <w:rFonts w:ascii="Calibri" w:eastAsia="Times New Roman" w:hAnsi="Calibri" w:cs="Calibri"/>
                <w:b/>
                <w:bCs/>
                <w:color w:val="000000"/>
                <w:sz w:val="20"/>
                <w:szCs w:val="20"/>
              </w:rPr>
              <w:t>PH 483</w:t>
            </w:r>
            <w:r w:rsidRPr="00D40B48">
              <w:rPr>
                <w:rFonts w:ascii="Calibri" w:eastAsia="Times New Roman" w:hAnsi="Calibri" w:cs="Calibri"/>
                <w:color w:val="000000"/>
                <w:sz w:val="20"/>
                <w:szCs w:val="20"/>
              </w:rPr>
              <w:t xml:space="preserve">. In-class presentation of Public Health Policy Project.                                                                                                                                                                                                                                                                                                 </w:t>
            </w:r>
            <w:r w:rsidRPr="00D40B48">
              <w:rPr>
                <w:rFonts w:ascii="Calibri" w:eastAsia="Times New Roman" w:hAnsi="Calibri" w:cs="Calibri"/>
                <w:b/>
                <w:bCs/>
                <w:color w:val="000000"/>
                <w:sz w:val="20"/>
                <w:szCs w:val="20"/>
              </w:rPr>
              <w:t>PH 261.</w:t>
            </w:r>
            <w:r w:rsidRPr="00D40B48">
              <w:rPr>
                <w:rFonts w:ascii="Calibri" w:eastAsia="Times New Roman" w:hAnsi="Calibri" w:cs="Calibri"/>
                <w:color w:val="000000"/>
                <w:sz w:val="20"/>
                <w:szCs w:val="20"/>
              </w:rPr>
              <w:t xml:space="preserve"> Students conduct a structured oral interview </w:t>
            </w:r>
            <w:proofErr w:type="gramStart"/>
            <w:r w:rsidRPr="00D40B48">
              <w:rPr>
                <w:rFonts w:ascii="Calibri" w:eastAsia="Times New Roman" w:hAnsi="Calibri" w:cs="Calibri"/>
                <w:color w:val="000000"/>
                <w:sz w:val="20"/>
                <w:szCs w:val="20"/>
              </w:rPr>
              <w:t>with a health professional and present findings</w:t>
            </w:r>
            <w:proofErr w:type="gramEnd"/>
            <w:r w:rsidRPr="00D40B48">
              <w:rPr>
                <w:rFonts w:ascii="Calibri" w:eastAsia="Times New Roman" w:hAnsi="Calibri" w:cs="Calibri"/>
                <w:color w:val="000000"/>
                <w:sz w:val="20"/>
                <w:szCs w:val="20"/>
              </w:rPr>
              <w:t xml:space="preserve"> to class.</w:t>
            </w:r>
          </w:p>
        </w:tc>
      </w:tr>
      <w:tr w:rsidR="00811E89" w:rsidRPr="00D40B48" w:rsidTr="00811E89">
        <w:trPr>
          <w:trHeight w:val="925"/>
        </w:trPr>
        <w:tc>
          <w:tcPr>
            <w:tcW w:w="1562" w:type="dxa"/>
            <w:tcBorders>
              <w:top w:val="nil"/>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p w:rsidR="00811E89" w:rsidRPr="00D40B48" w:rsidRDefault="00811E89"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Written communication</w:t>
            </w:r>
          </w:p>
        </w:tc>
        <w:tc>
          <w:tcPr>
            <w:tcW w:w="5098"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24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PH 485: Methods of Community Health Education</w:t>
            </w:r>
            <w:r w:rsidRPr="00D40B48">
              <w:rPr>
                <w:rFonts w:ascii="Calibri" w:eastAsia="Times New Roman" w:hAnsi="Calibri" w:cs="Calibri"/>
                <w:color w:val="000000"/>
                <w:sz w:val="20"/>
                <w:szCs w:val="20"/>
              </w:rPr>
              <w:br/>
            </w:r>
          </w:p>
        </w:tc>
        <w:tc>
          <w:tcPr>
            <w:tcW w:w="7160"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b/>
                <w:bCs/>
                <w:color w:val="000000"/>
                <w:sz w:val="20"/>
                <w:szCs w:val="20"/>
              </w:rPr>
              <w:t>PH 485.</w:t>
            </w:r>
            <w:r w:rsidRPr="00D40B48">
              <w:rPr>
                <w:rFonts w:ascii="Calibri" w:eastAsia="Times New Roman" w:hAnsi="Calibri" w:cs="Calibri"/>
                <w:color w:val="000000"/>
                <w:sz w:val="20"/>
                <w:szCs w:val="20"/>
              </w:rPr>
              <w:t xml:space="preserve"> Student prepare written report detailing their proposed program plan.  Students also write a grant proposal, prepare news release, and create flyer/brochure or fact sheet for proposed program.                                                                                                                                                  </w:t>
            </w:r>
          </w:p>
        </w:tc>
      </w:tr>
      <w:tr w:rsidR="00811E89" w:rsidRPr="00D40B48" w:rsidTr="00811E89">
        <w:trPr>
          <w:trHeight w:val="944"/>
        </w:trPr>
        <w:tc>
          <w:tcPr>
            <w:tcW w:w="1562" w:type="dxa"/>
            <w:tcBorders>
              <w:top w:val="nil"/>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p w:rsidR="00811E89" w:rsidRPr="00D40B48" w:rsidRDefault="00811E89"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Communicate with diverse audiences</w:t>
            </w:r>
          </w:p>
        </w:tc>
        <w:tc>
          <w:tcPr>
            <w:tcW w:w="5098" w:type="dxa"/>
            <w:tcBorders>
              <w:top w:val="nil"/>
              <w:left w:val="nil"/>
              <w:bottom w:val="single" w:sz="4" w:space="0" w:color="auto"/>
              <w:right w:val="single" w:sz="4" w:space="0" w:color="auto"/>
            </w:tcBorders>
            <w:shd w:val="clear" w:color="auto" w:fill="auto"/>
            <w:hideMark/>
          </w:tcPr>
          <w:p w:rsidR="00811E89"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xml:space="preserve">PH 484: Community Organization   </w:t>
            </w:r>
          </w:p>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xml:space="preserve">PH 381: Community Health      </w:t>
            </w:r>
          </w:p>
        </w:tc>
        <w:tc>
          <w:tcPr>
            <w:tcW w:w="7160"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b/>
                <w:bCs/>
                <w:color w:val="000000"/>
                <w:sz w:val="20"/>
                <w:szCs w:val="20"/>
              </w:rPr>
              <w:t>PH 484.</w:t>
            </w:r>
            <w:r w:rsidRPr="00D40B48">
              <w:rPr>
                <w:rFonts w:ascii="Calibri" w:eastAsia="Times New Roman" w:hAnsi="Calibri" w:cs="Calibri"/>
                <w:color w:val="000000"/>
                <w:sz w:val="20"/>
                <w:szCs w:val="20"/>
              </w:rPr>
              <w:t xml:space="preserve">  Students write a letter to a U.S. Senator or Representative about a health-related bill as part of their Policy Analysis Project                               </w:t>
            </w:r>
            <w:r w:rsidRPr="00D40B48">
              <w:rPr>
                <w:rFonts w:ascii="Calibri" w:eastAsia="Times New Roman" w:hAnsi="Calibri" w:cs="Calibri"/>
                <w:b/>
                <w:bCs/>
                <w:color w:val="000000"/>
                <w:sz w:val="20"/>
                <w:szCs w:val="20"/>
              </w:rPr>
              <w:t>PH 381.</w:t>
            </w:r>
            <w:r w:rsidRPr="00D40B48">
              <w:rPr>
                <w:rFonts w:ascii="Calibri" w:eastAsia="Times New Roman" w:hAnsi="Calibri" w:cs="Calibri"/>
                <w:color w:val="000000"/>
                <w:sz w:val="20"/>
                <w:szCs w:val="20"/>
              </w:rPr>
              <w:t xml:space="preserve"> Students assist/shadow public health/related professionals in diverse community settings.</w:t>
            </w:r>
          </w:p>
        </w:tc>
      </w:tr>
      <w:tr w:rsidR="00811E89" w:rsidRPr="00D40B48" w:rsidTr="00811E89">
        <w:trPr>
          <w:trHeight w:val="1020"/>
        </w:trPr>
        <w:tc>
          <w:tcPr>
            <w:tcW w:w="1562" w:type="dxa"/>
            <w:tcBorders>
              <w:top w:val="nil"/>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p w:rsidR="00811E89" w:rsidRPr="00D40B48" w:rsidRDefault="00811E89"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Communicate through variety of media</w:t>
            </w:r>
          </w:p>
        </w:tc>
        <w:tc>
          <w:tcPr>
            <w:tcW w:w="5098"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PH 485: Methods of Community Health Education</w:t>
            </w:r>
            <w:r w:rsidRPr="00D40B48">
              <w:rPr>
                <w:rFonts w:ascii="Calibri" w:eastAsia="Times New Roman" w:hAnsi="Calibri" w:cs="Calibri"/>
                <w:color w:val="000000"/>
                <w:sz w:val="20"/>
                <w:szCs w:val="20"/>
              </w:rPr>
              <w:br/>
              <w:t>PH 484: Community Organization</w:t>
            </w:r>
          </w:p>
        </w:tc>
        <w:tc>
          <w:tcPr>
            <w:tcW w:w="7160"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b/>
                <w:bCs/>
                <w:color w:val="000000"/>
                <w:sz w:val="20"/>
                <w:szCs w:val="20"/>
              </w:rPr>
              <w:t>PH 485</w:t>
            </w:r>
            <w:r w:rsidRPr="00D40B48">
              <w:rPr>
                <w:rFonts w:ascii="Calibri" w:eastAsia="Times New Roman" w:hAnsi="Calibri" w:cs="Calibri"/>
                <w:color w:val="000000"/>
                <w:sz w:val="20"/>
                <w:szCs w:val="20"/>
              </w:rPr>
              <w:t xml:space="preserve">.  Students create and record audio/visual PSA, write news release, and create brochure/flyer.                                                                                                                                                                                                                                                                                                                        </w:t>
            </w:r>
            <w:r w:rsidRPr="00D40B48">
              <w:rPr>
                <w:rFonts w:ascii="Calibri" w:eastAsia="Times New Roman" w:hAnsi="Calibri" w:cs="Calibri"/>
                <w:b/>
                <w:bCs/>
                <w:color w:val="000000"/>
                <w:sz w:val="20"/>
                <w:szCs w:val="20"/>
              </w:rPr>
              <w:t>PH 484</w:t>
            </w:r>
            <w:r w:rsidRPr="00D40B48">
              <w:rPr>
                <w:rFonts w:ascii="Calibri" w:eastAsia="Times New Roman" w:hAnsi="Calibri" w:cs="Calibri"/>
                <w:color w:val="000000"/>
                <w:sz w:val="20"/>
                <w:szCs w:val="20"/>
              </w:rPr>
              <w:t>. Students write formal letter to Legislator.</w:t>
            </w:r>
          </w:p>
        </w:tc>
      </w:tr>
      <w:tr w:rsidR="00811E89" w:rsidRPr="00D40B48" w:rsidTr="00811E89">
        <w:trPr>
          <w:trHeight w:val="314"/>
        </w:trPr>
        <w:tc>
          <w:tcPr>
            <w:tcW w:w="138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Arial" w:eastAsia="Times New Roman" w:hAnsi="Arial" w:cs="Arial"/>
                <w:b/>
                <w:bCs/>
                <w:color w:val="000000"/>
                <w:sz w:val="20"/>
                <w:szCs w:val="20"/>
              </w:rPr>
            </w:pPr>
            <w:r w:rsidRPr="00D40B48">
              <w:rPr>
                <w:rFonts w:ascii="Arial" w:eastAsia="Times New Roman" w:hAnsi="Arial" w:cs="Arial"/>
                <w:b/>
                <w:bCs/>
                <w:color w:val="000000"/>
                <w:sz w:val="20"/>
                <w:szCs w:val="20"/>
              </w:rPr>
              <w:t xml:space="preserve">Information Literacy:  </w:t>
            </w:r>
            <w:r w:rsidRPr="00D40B48">
              <w:rPr>
                <w:rFonts w:ascii="Arial" w:eastAsia="Times New Roman" w:hAnsi="Arial" w:cs="Arial"/>
                <w:color w:val="000000"/>
                <w:sz w:val="20"/>
                <w:szCs w:val="20"/>
              </w:rPr>
              <w:t>Students should be able to locate, use, evaluate, and synthesize information</w:t>
            </w:r>
          </w:p>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tc>
      </w:tr>
      <w:tr w:rsidR="00811E89" w:rsidRPr="00D40B48" w:rsidTr="00811E89">
        <w:trPr>
          <w:trHeight w:val="2860"/>
        </w:trPr>
        <w:tc>
          <w:tcPr>
            <w:tcW w:w="1562" w:type="dxa"/>
            <w:tcBorders>
              <w:top w:val="nil"/>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p w:rsidR="00811E89" w:rsidRPr="00D40B48" w:rsidRDefault="00811E89"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Locate information</w:t>
            </w:r>
          </w:p>
        </w:tc>
        <w:tc>
          <w:tcPr>
            <w:tcW w:w="5098"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PH 485: Methods of Community Health Education</w:t>
            </w:r>
            <w:r w:rsidRPr="00D40B48">
              <w:rPr>
                <w:rFonts w:ascii="Calibri" w:eastAsia="Times New Roman" w:hAnsi="Calibri" w:cs="Calibri"/>
                <w:color w:val="000000"/>
                <w:sz w:val="20"/>
                <w:szCs w:val="20"/>
              </w:rPr>
              <w:br/>
              <w:t>PH 484: Community Organization</w:t>
            </w:r>
            <w:r w:rsidRPr="00D40B48">
              <w:rPr>
                <w:rFonts w:ascii="Calibri" w:eastAsia="Times New Roman" w:hAnsi="Calibri" w:cs="Calibri"/>
                <w:color w:val="000000"/>
                <w:sz w:val="20"/>
                <w:szCs w:val="20"/>
              </w:rPr>
              <w:br/>
              <w:t>PH 261: Foundations of Health Education</w:t>
            </w:r>
            <w:r w:rsidRPr="00D40B48">
              <w:rPr>
                <w:rFonts w:ascii="Calibri" w:eastAsia="Times New Roman" w:hAnsi="Calibri" w:cs="Calibri"/>
                <w:color w:val="000000"/>
                <w:sz w:val="20"/>
                <w:szCs w:val="20"/>
              </w:rPr>
              <w:br/>
              <w:t>ENV460: Environmental Management</w:t>
            </w:r>
          </w:p>
        </w:tc>
        <w:tc>
          <w:tcPr>
            <w:tcW w:w="7160"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b/>
                <w:bCs/>
                <w:color w:val="000000"/>
                <w:sz w:val="20"/>
                <w:szCs w:val="20"/>
              </w:rPr>
              <w:t>PH 485.</w:t>
            </w:r>
            <w:r w:rsidRPr="00D40B48">
              <w:rPr>
                <w:rFonts w:ascii="Calibri" w:eastAsia="Times New Roman" w:hAnsi="Calibri" w:cs="Calibri"/>
                <w:color w:val="000000"/>
                <w:sz w:val="20"/>
                <w:szCs w:val="20"/>
              </w:rPr>
              <w:t xml:space="preserve"> Students locate valid sources to describe a public health problem in terms of impact on public health, social determinants and other risk factors, and, evidence-based programs to address it.</w:t>
            </w:r>
            <w:r w:rsidRPr="00D40B48">
              <w:rPr>
                <w:rFonts w:ascii="Calibri" w:eastAsia="Times New Roman" w:hAnsi="Calibri" w:cs="Calibri"/>
                <w:color w:val="000000"/>
                <w:sz w:val="20"/>
                <w:szCs w:val="20"/>
              </w:rPr>
              <w:br/>
            </w:r>
            <w:r w:rsidRPr="00D40B48">
              <w:rPr>
                <w:rFonts w:ascii="Calibri" w:eastAsia="Times New Roman" w:hAnsi="Calibri" w:cs="Calibri"/>
                <w:b/>
                <w:bCs/>
                <w:color w:val="000000"/>
                <w:sz w:val="20"/>
                <w:szCs w:val="20"/>
              </w:rPr>
              <w:t>PH 484.</w:t>
            </w:r>
            <w:r w:rsidRPr="00D40B48">
              <w:rPr>
                <w:rFonts w:ascii="Calibri" w:eastAsia="Times New Roman" w:hAnsi="Calibri" w:cs="Calibri"/>
                <w:color w:val="000000"/>
                <w:sz w:val="20"/>
                <w:szCs w:val="20"/>
              </w:rPr>
              <w:t xml:space="preserve"> Student locate a health-related bill in the Kentucky legislature.</w:t>
            </w:r>
            <w:r w:rsidRPr="00D40B48">
              <w:rPr>
                <w:rFonts w:ascii="Calibri" w:eastAsia="Times New Roman" w:hAnsi="Calibri" w:cs="Calibri"/>
                <w:color w:val="000000"/>
                <w:sz w:val="20"/>
                <w:szCs w:val="20"/>
              </w:rPr>
              <w:br/>
            </w:r>
            <w:r w:rsidRPr="00D40B48">
              <w:rPr>
                <w:rFonts w:ascii="Calibri" w:eastAsia="Times New Roman" w:hAnsi="Calibri" w:cs="Calibri"/>
                <w:b/>
                <w:bCs/>
                <w:color w:val="000000"/>
                <w:sz w:val="20"/>
                <w:szCs w:val="20"/>
              </w:rPr>
              <w:t>PH 261</w:t>
            </w:r>
            <w:r w:rsidRPr="00D40B48">
              <w:rPr>
                <w:rFonts w:ascii="Calibri" w:eastAsia="Times New Roman" w:hAnsi="Calibri" w:cs="Calibri"/>
                <w:color w:val="000000"/>
                <w:sz w:val="20"/>
                <w:szCs w:val="20"/>
              </w:rPr>
              <w:t xml:space="preserve">. Students conduct literature search to justify selected issue and develop appropriate goal and objectives. The Healthy People Project requires them to compare current statistics (local, national, global) to the Healthy People objectives.   </w:t>
            </w:r>
            <w:r w:rsidRPr="00D40B48">
              <w:rPr>
                <w:rFonts w:ascii="Calibri" w:eastAsia="Times New Roman" w:hAnsi="Calibri" w:cs="Calibri"/>
                <w:color w:val="000000"/>
                <w:sz w:val="20"/>
                <w:szCs w:val="20"/>
              </w:rPr>
              <w:br/>
            </w:r>
            <w:r w:rsidRPr="00D40B48">
              <w:rPr>
                <w:rFonts w:ascii="Calibri" w:eastAsia="Times New Roman" w:hAnsi="Calibri" w:cs="Calibri"/>
                <w:b/>
                <w:bCs/>
                <w:color w:val="000000"/>
                <w:sz w:val="20"/>
                <w:szCs w:val="20"/>
              </w:rPr>
              <w:t>ENV 460.</w:t>
            </w:r>
            <w:r w:rsidRPr="00D40B48">
              <w:rPr>
                <w:rFonts w:ascii="Calibri" w:eastAsia="Times New Roman" w:hAnsi="Calibri" w:cs="Calibri"/>
                <w:color w:val="000000"/>
                <w:sz w:val="20"/>
                <w:szCs w:val="20"/>
              </w:rPr>
              <w:t xml:space="preserve">  Students select an air quality issue, conduct a literature search, and identify current regulations that govern the issue.</w:t>
            </w:r>
          </w:p>
        </w:tc>
      </w:tr>
      <w:tr w:rsidR="00811E89" w:rsidRPr="00D40B48" w:rsidTr="00811E89">
        <w:trPr>
          <w:trHeight w:val="2080"/>
        </w:trPr>
        <w:tc>
          <w:tcPr>
            <w:tcW w:w="1562" w:type="dxa"/>
            <w:tcBorders>
              <w:top w:val="nil"/>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lastRenderedPageBreak/>
              <w:t> </w:t>
            </w:r>
          </w:p>
          <w:p w:rsidR="00811E89" w:rsidRPr="00D40B48" w:rsidRDefault="00811E89"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Use information</w:t>
            </w:r>
          </w:p>
        </w:tc>
        <w:tc>
          <w:tcPr>
            <w:tcW w:w="5098"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PH 261: Foundations of Health Education</w:t>
            </w:r>
            <w:r w:rsidRPr="00D40B48">
              <w:rPr>
                <w:rFonts w:ascii="Calibri" w:eastAsia="Times New Roman" w:hAnsi="Calibri" w:cs="Calibri"/>
                <w:color w:val="000000"/>
                <w:sz w:val="20"/>
                <w:szCs w:val="20"/>
              </w:rPr>
              <w:br/>
              <w:t>PH 483: Administration of Health Programs</w:t>
            </w:r>
            <w:r w:rsidRPr="00D40B48">
              <w:rPr>
                <w:rFonts w:ascii="Calibri" w:eastAsia="Times New Roman" w:hAnsi="Calibri" w:cs="Calibri"/>
                <w:color w:val="000000"/>
                <w:sz w:val="20"/>
                <w:szCs w:val="20"/>
              </w:rPr>
              <w:br/>
              <w:t>PH 484: Community Organization</w:t>
            </w:r>
          </w:p>
        </w:tc>
        <w:tc>
          <w:tcPr>
            <w:tcW w:w="7160"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b/>
                <w:bCs/>
                <w:color w:val="000000"/>
                <w:sz w:val="20"/>
                <w:szCs w:val="20"/>
              </w:rPr>
              <w:t>PH 261.</w:t>
            </w:r>
            <w:r w:rsidRPr="00D40B48">
              <w:rPr>
                <w:rFonts w:ascii="Calibri" w:eastAsia="Times New Roman" w:hAnsi="Calibri" w:cs="Calibri"/>
                <w:color w:val="000000"/>
                <w:sz w:val="20"/>
                <w:szCs w:val="20"/>
              </w:rPr>
              <w:t xml:space="preserve"> Students use information to describe the extent of an issue, including national, state, local statistics.</w:t>
            </w:r>
            <w:r w:rsidRPr="00D40B48">
              <w:rPr>
                <w:rFonts w:ascii="Calibri" w:eastAsia="Times New Roman" w:hAnsi="Calibri" w:cs="Calibri"/>
                <w:color w:val="000000"/>
                <w:sz w:val="20"/>
                <w:szCs w:val="20"/>
              </w:rPr>
              <w:br/>
            </w:r>
            <w:r w:rsidRPr="00D40B48">
              <w:rPr>
                <w:rFonts w:ascii="Calibri" w:eastAsia="Times New Roman" w:hAnsi="Calibri" w:cs="Calibri"/>
                <w:b/>
                <w:bCs/>
                <w:color w:val="000000"/>
                <w:sz w:val="20"/>
                <w:szCs w:val="20"/>
              </w:rPr>
              <w:t>PH 483</w:t>
            </w:r>
            <w:r w:rsidRPr="00D40B48">
              <w:rPr>
                <w:rFonts w:ascii="Calibri" w:eastAsia="Times New Roman" w:hAnsi="Calibri" w:cs="Calibri"/>
                <w:color w:val="000000"/>
                <w:sz w:val="20"/>
                <w:szCs w:val="20"/>
              </w:rPr>
              <w:t>. Students formulate a data-driven public health policy relevant to the health status challenges of given state in the US</w:t>
            </w:r>
            <w:r w:rsidRPr="00D40B48">
              <w:rPr>
                <w:rFonts w:ascii="Calibri" w:eastAsia="Times New Roman" w:hAnsi="Calibri" w:cs="Calibri"/>
                <w:color w:val="000000"/>
                <w:sz w:val="20"/>
                <w:szCs w:val="20"/>
              </w:rPr>
              <w:br/>
            </w:r>
            <w:r w:rsidRPr="00D40B48">
              <w:rPr>
                <w:rFonts w:ascii="Calibri" w:eastAsia="Times New Roman" w:hAnsi="Calibri" w:cs="Calibri"/>
                <w:b/>
                <w:bCs/>
                <w:color w:val="000000"/>
                <w:sz w:val="20"/>
                <w:szCs w:val="20"/>
              </w:rPr>
              <w:t>PH 484</w:t>
            </w:r>
            <w:r w:rsidRPr="00D40B48">
              <w:rPr>
                <w:rFonts w:ascii="Calibri" w:eastAsia="Times New Roman" w:hAnsi="Calibri" w:cs="Calibri"/>
                <w:color w:val="000000"/>
                <w:sz w:val="20"/>
                <w:szCs w:val="20"/>
              </w:rPr>
              <w:t xml:space="preserve">. Students use data to explain why a health policy that is in legislation should or </w:t>
            </w:r>
            <w:proofErr w:type="gramStart"/>
            <w:r w:rsidRPr="00D40B48">
              <w:rPr>
                <w:rFonts w:ascii="Calibri" w:eastAsia="Times New Roman" w:hAnsi="Calibri" w:cs="Calibri"/>
                <w:color w:val="000000"/>
                <w:sz w:val="20"/>
                <w:szCs w:val="20"/>
              </w:rPr>
              <w:t>should not be supported</w:t>
            </w:r>
            <w:proofErr w:type="gramEnd"/>
            <w:r w:rsidRPr="00D40B48">
              <w:rPr>
                <w:rFonts w:ascii="Calibri" w:eastAsia="Times New Roman" w:hAnsi="Calibri" w:cs="Calibri"/>
                <w:color w:val="000000"/>
                <w:sz w:val="20"/>
                <w:szCs w:val="20"/>
              </w:rPr>
              <w:t xml:space="preserve"> according to the effects of this bill on population health.                                                                                                                                                                  </w:t>
            </w:r>
          </w:p>
        </w:tc>
      </w:tr>
      <w:tr w:rsidR="00811E89" w:rsidRPr="00D40B48" w:rsidTr="00811E89">
        <w:trPr>
          <w:trHeight w:val="780"/>
        </w:trPr>
        <w:tc>
          <w:tcPr>
            <w:tcW w:w="1562" w:type="dxa"/>
            <w:tcBorders>
              <w:top w:val="nil"/>
              <w:left w:val="single" w:sz="4" w:space="0" w:color="auto"/>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p w:rsidR="00811E89" w:rsidRPr="00D40B48" w:rsidRDefault="00811E89"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Evaluate information</w:t>
            </w:r>
          </w:p>
        </w:tc>
        <w:tc>
          <w:tcPr>
            <w:tcW w:w="5098"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PH 261: Foundations of Health Education</w:t>
            </w:r>
          </w:p>
        </w:tc>
        <w:tc>
          <w:tcPr>
            <w:tcW w:w="7160" w:type="dxa"/>
            <w:tcBorders>
              <w:top w:val="nil"/>
              <w:left w:val="nil"/>
              <w:bottom w:val="single" w:sz="4"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b/>
                <w:bCs/>
                <w:color w:val="000000"/>
                <w:sz w:val="20"/>
                <w:szCs w:val="20"/>
              </w:rPr>
              <w:t>PH 261.</w:t>
            </w:r>
            <w:r w:rsidRPr="00D40B48">
              <w:rPr>
                <w:rFonts w:ascii="Calibri" w:eastAsia="Times New Roman" w:hAnsi="Calibri" w:cs="Calibri"/>
                <w:color w:val="000000"/>
                <w:sz w:val="20"/>
                <w:szCs w:val="20"/>
              </w:rPr>
              <w:t xml:space="preserve">  Students critically evaluate three sources of information and write a </w:t>
            </w:r>
            <w:proofErr w:type="gramStart"/>
            <w:r w:rsidRPr="00D40B48">
              <w:rPr>
                <w:rFonts w:ascii="Calibri" w:eastAsia="Times New Roman" w:hAnsi="Calibri" w:cs="Calibri"/>
                <w:color w:val="000000"/>
                <w:sz w:val="20"/>
                <w:szCs w:val="20"/>
              </w:rPr>
              <w:t>one page</w:t>
            </w:r>
            <w:proofErr w:type="gramEnd"/>
            <w:r w:rsidRPr="00D40B48">
              <w:rPr>
                <w:rFonts w:ascii="Calibri" w:eastAsia="Times New Roman" w:hAnsi="Calibri" w:cs="Calibri"/>
                <w:color w:val="000000"/>
                <w:sz w:val="20"/>
                <w:szCs w:val="20"/>
              </w:rPr>
              <w:t xml:space="preserve"> report on the currency of information, relevance, authority, purpose and accuracy of site.                                                                                                                                                                                                           </w:t>
            </w:r>
          </w:p>
        </w:tc>
      </w:tr>
      <w:tr w:rsidR="00811E89" w:rsidRPr="00D40B48" w:rsidTr="00811E89">
        <w:trPr>
          <w:trHeight w:val="1570"/>
        </w:trPr>
        <w:tc>
          <w:tcPr>
            <w:tcW w:w="1562" w:type="dxa"/>
            <w:tcBorders>
              <w:top w:val="nil"/>
              <w:left w:val="single" w:sz="4" w:space="0" w:color="auto"/>
              <w:bottom w:val="single" w:sz="12"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 </w:t>
            </w:r>
          </w:p>
          <w:p w:rsidR="00811E89" w:rsidRPr="00D40B48" w:rsidRDefault="00811E89"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Synthesize information</w:t>
            </w:r>
          </w:p>
        </w:tc>
        <w:tc>
          <w:tcPr>
            <w:tcW w:w="5098" w:type="dxa"/>
            <w:tcBorders>
              <w:top w:val="nil"/>
              <w:left w:val="nil"/>
              <w:bottom w:val="single" w:sz="12"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color w:val="000000"/>
                <w:sz w:val="20"/>
                <w:szCs w:val="20"/>
              </w:rPr>
              <w:t>PH 485: Methods of Community Health Education</w:t>
            </w:r>
            <w:r w:rsidRPr="00D40B48">
              <w:rPr>
                <w:rFonts w:ascii="Calibri" w:eastAsia="Times New Roman" w:hAnsi="Calibri" w:cs="Calibri"/>
                <w:color w:val="000000"/>
                <w:sz w:val="20"/>
                <w:szCs w:val="20"/>
              </w:rPr>
              <w:br/>
              <w:t>ENV 460: Environmental Management</w:t>
            </w:r>
          </w:p>
        </w:tc>
        <w:tc>
          <w:tcPr>
            <w:tcW w:w="7160" w:type="dxa"/>
            <w:tcBorders>
              <w:top w:val="nil"/>
              <w:left w:val="nil"/>
              <w:bottom w:val="single" w:sz="12" w:space="0" w:color="auto"/>
              <w:right w:val="single" w:sz="4" w:space="0" w:color="auto"/>
            </w:tcBorders>
            <w:shd w:val="clear" w:color="auto" w:fill="auto"/>
            <w:hideMark/>
          </w:tcPr>
          <w:p w:rsidR="00811E89" w:rsidRPr="00D40B48" w:rsidRDefault="00811E89" w:rsidP="00D40B48">
            <w:pPr>
              <w:spacing w:after="0" w:line="240" w:lineRule="auto"/>
              <w:rPr>
                <w:rFonts w:ascii="Calibri" w:eastAsia="Times New Roman" w:hAnsi="Calibri" w:cs="Calibri"/>
                <w:color w:val="000000"/>
                <w:sz w:val="20"/>
                <w:szCs w:val="20"/>
              </w:rPr>
            </w:pPr>
            <w:r w:rsidRPr="00D40B48">
              <w:rPr>
                <w:rFonts w:ascii="Calibri" w:eastAsia="Times New Roman" w:hAnsi="Calibri" w:cs="Calibri"/>
                <w:b/>
                <w:bCs/>
                <w:color w:val="000000"/>
                <w:sz w:val="20"/>
                <w:szCs w:val="20"/>
              </w:rPr>
              <w:t>PH 485.</w:t>
            </w:r>
            <w:r w:rsidRPr="00D40B48">
              <w:rPr>
                <w:rFonts w:ascii="Calibri" w:eastAsia="Times New Roman" w:hAnsi="Calibri" w:cs="Calibri"/>
                <w:color w:val="000000"/>
                <w:sz w:val="20"/>
                <w:szCs w:val="20"/>
              </w:rPr>
              <w:t xml:space="preserve"> Students synthesize information to develop an evidence-based program and grant proposal to address public health issue.                                                         </w:t>
            </w:r>
            <w:r w:rsidRPr="00D40B48">
              <w:rPr>
                <w:rFonts w:ascii="Calibri" w:eastAsia="Times New Roman" w:hAnsi="Calibri" w:cs="Calibri"/>
                <w:color w:val="000000"/>
                <w:sz w:val="20"/>
                <w:szCs w:val="20"/>
              </w:rPr>
              <w:br/>
            </w:r>
            <w:r w:rsidRPr="00D40B48">
              <w:rPr>
                <w:rFonts w:ascii="Calibri" w:eastAsia="Times New Roman" w:hAnsi="Calibri" w:cs="Calibri"/>
                <w:b/>
                <w:bCs/>
                <w:color w:val="000000"/>
                <w:sz w:val="20"/>
                <w:szCs w:val="20"/>
              </w:rPr>
              <w:t>ENV 460.</w:t>
            </w:r>
            <w:r w:rsidRPr="00D40B48">
              <w:rPr>
                <w:rFonts w:ascii="Calibri" w:eastAsia="Times New Roman" w:hAnsi="Calibri" w:cs="Calibri"/>
                <w:color w:val="000000"/>
                <w:sz w:val="20"/>
                <w:szCs w:val="20"/>
              </w:rPr>
              <w:t xml:space="preserve"> In the role of “environmental consultant,” students synthesize information from ten-12 </w:t>
            </w:r>
            <w:proofErr w:type="gramStart"/>
            <w:r w:rsidRPr="00D40B48">
              <w:rPr>
                <w:rFonts w:ascii="Calibri" w:eastAsia="Times New Roman" w:hAnsi="Calibri" w:cs="Calibri"/>
                <w:color w:val="000000"/>
                <w:sz w:val="20"/>
                <w:szCs w:val="20"/>
              </w:rPr>
              <w:t>peer reviewed</w:t>
            </w:r>
            <w:proofErr w:type="gramEnd"/>
            <w:r w:rsidRPr="00D40B48">
              <w:rPr>
                <w:rFonts w:ascii="Calibri" w:eastAsia="Times New Roman" w:hAnsi="Calibri" w:cs="Calibri"/>
                <w:color w:val="000000"/>
                <w:sz w:val="20"/>
                <w:szCs w:val="20"/>
              </w:rPr>
              <w:t xml:space="preserve"> articles to describe an environmental issue.</w:t>
            </w:r>
          </w:p>
        </w:tc>
      </w:tr>
    </w:tbl>
    <w:p w:rsidR="00E50CA0" w:rsidRDefault="00E50CA0"/>
    <w:p w:rsidR="00E50CA0" w:rsidRDefault="00E50CA0">
      <w:r>
        <w:br w:type="page"/>
      </w:r>
    </w:p>
    <w:p w:rsidR="00D40B48" w:rsidRDefault="00D40B48"/>
    <w:tbl>
      <w:tblPr>
        <w:tblW w:w="13100" w:type="dxa"/>
        <w:tblInd w:w="-5" w:type="dxa"/>
        <w:tblLook w:val="04A0" w:firstRow="1" w:lastRow="0" w:firstColumn="1" w:lastColumn="0" w:noHBand="0" w:noVBand="1"/>
      </w:tblPr>
      <w:tblGrid>
        <w:gridCol w:w="4400"/>
        <w:gridCol w:w="8700"/>
      </w:tblGrid>
      <w:tr w:rsidR="00D40B48" w:rsidRPr="00D40B48" w:rsidTr="00D40B48">
        <w:trPr>
          <w:trHeight w:val="530"/>
        </w:trPr>
        <w:tc>
          <w:tcPr>
            <w:tcW w:w="4400" w:type="dxa"/>
            <w:tcBorders>
              <w:top w:val="single" w:sz="4" w:space="0" w:color="auto"/>
              <w:left w:val="single" w:sz="4" w:space="0" w:color="auto"/>
              <w:bottom w:val="single" w:sz="12" w:space="0" w:color="auto"/>
              <w:right w:val="single" w:sz="4" w:space="0" w:color="auto"/>
            </w:tcBorders>
            <w:shd w:val="clear" w:color="000000" w:fill="D9D9D9"/>
            <w:hideMark/>
          </w:tcPr>
          <w:p w:rsidR="00D40B48" w:rsidRPr="00D40B48" w:rsidRDefault="00D40B48" w:rsidP="00D40B48">
            <w:pPr>
              <w:spacing w:after="0" w:line="240" w:lineRule="auto"/>
              <w:jc w:val="center"/>
              <w:rPr>
                <w:rFonts w:ascii="Arial" w:eastAsia="Times New Roman" w:hAnsi="Arial" w:cs="Arial"/>
                <w:b/>
                <w:bCs/>
                <w:color w:val="000000"/>
                <w:sz w:val="20"/>
                <w:szCs w:val="20"/>
              </w:rPr>
            </w:pPr>
            <w:r>
              <w:br w:type="page"/>
            </w:r>
            <w:r w:rsidRPr="00D40B48">
              <w:rPr>
                <w:rFonts w:ascii="Arial" w:eastAsia="Times New Roman" w:hAnsi="Arial" w:cs="Arial"/>
                <w:b/>
                <w:bCs/>
                <w:color w:val="000000"/>
                <w:sz w:val="20"/>
                <w:szCs w:val="20"/>
              </w:rPr>
              <w:t>Concept</w:t>
            </w:r>
          </w:p>
        </w:tc>
        <w:tc>
          <w:tcPr>
            <w:tcW w:w="8700" w:type="dxa"/>
            <w:tcBorders>
              <w:top w:val="single" w:sz="4" w:space="0" w:color="auto"/>
              <w:left w:val="nil"/>
              <w:bottom w:val="single" w:sz="12" w:space="0" w:color="auto"/>
              <w:right w:val="single" w:sz="4" w:space="0" w:color="auto"/>
            </w:tcBorders>
            <w:shd w:val="clear" w:color="000000" w:fill="D9D9D9"/>
            <w:hideMark/>
          </w:tcPr>
          <w:p w:rsidR="00D40B48" w:rsidRPr="00D40B48" w:rsidRDefault="00D40B48" w:rsidP="00D40B48">
            <w:pPr>
              <w:spacing w:after="0" w:line="240" w:lineRule="auto"/>
              <w:rPr>
                <w:rFonts w:ascii="Arial" w:eastAsia="Times New Roman" w:hAnsi="Arial" w:cs="Arial"/>
                <w:b/>
                <w:bCs/>
                <w:color w:val="000000"/>
                <w:sz w:val="20"/>
                <w:szCs w:val="20"/>
              </w:rPr>
            </w:pPr>
            <w:r w:rsidRPr="00D40B48">
              <w:rPr>
                <w:rFonts w:ascii="Arial" w:eastAsia="Times New Roman" w:hAnsi="Arial" w:cs="Arial"/>
                <w:b/>
                <w:bCs/>
                <w:color w:val="000000"/>
                <w:sz w:val="20"/>
                <w:szCs w:val="20"/>
              </w:rPr>
              <w:t>Manner in which the curriculum and co-curricular experiences expose students to the concepts</w:t>
            </w:r>
          </w:p>
        </w:tc>
      </w:tr>
      <w:tr w:rsidR="00D40B48" w:rsidRPr="00D40B48" w:rsidTr="00D40B48">
        <w:trPr>
          <w:trHeight w:val="151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Advocacy for protection and promotion of the public’s health at all levels of society</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This concept </w:t>
            </w:r>
            <w:proofErr w:type="gramStart"/>
            <w:r w:rsidRPr="00D40B48">
              <w:rPr>
                <w:rFonts w:ascii="Arial" w:eastAsia="Times New Roman" w:hAnsi="Arial" w:cs="Arial"/>
                <w:color w:val="000000"/>
                <w:sz w:val="20"/>
                <w:szCs w:val="20"/>
              </w:rPr>
              <w:t>is taught</w:t>
            </w:r>
            <w:proofErr w:type="gramEnd"/>
            <w:r w:rsidRPr="00D40B48">
              <w:rPr>
                <w:rFonts w:ascii="Arial" w:eastAsia="Times New Roman" w:hAnsi="Arial" w:cs="Arial"/>
                <w:color w:val="000000"/>
                <w:sz w:val="20"/>
                <w:szCs w:val="20"/>
              </w:rPr>
              <w:t xml:space="preserve"> at the individual, interpersonal, organizational, community, and policy levels through course concepts, activities, and assessments.  While some courses focus on one level of society (e.g. PH 100 focuses on the individual level), most required courses approach public health advocacy from multiple levels. Students </w:t>
            </w:r>
            <w:proofErr w:type="gramStart"/>
            <w:r w:rsidRPr="00D40B48">
              <w:rPr>
                <w:rFonts w:ascii="Arial" w:eastAsia="Times New Roman" w:hAnsi="Arial" w:cs="Arial"/>
                <w:color w:val="000000"/>
                <w:sz w:val="20"/>
                <w:szCs w:val="20"/>
              </w:rPr>
              <w:t>are informed about and encouraged to participate in co-curricular advocacy events, such as the Pride Festival and World Refugee Day, through social media groups and Blackboard organizational sites</w:t>
            </w:r>
            <w:proofErr w:type="gramEnd"/>
            <w:r w:rsidRPr="00D40B48">
              <w:rPr>
                <w:rFonts w:ascii="Arial" w:eastAsia="Times New Roman" w:hAnsi="Arial" w:cs="Arial"/>
                <w:color w:val="000000"/>
                <w:sz w:val="20"/>
                <w:szCs w:val="20"/>
              </w:rPr>
              <w:t xml:space="preserve">. </w:t>
            </w:r>
          </w:p>
        </w:tc>
      </w:tr>
      <w:tr w:rsidR="00D40B48" w:rsidRPr="00D40B48" w:rsidTr="00D40B48">
        <w:trPr>
          <w:trHeight w:val="100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Community dynamics</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PH 381 teaches students the concept of community dynamics. Students </w:t>
            </w:r>
            <w:proofErr w:type="gramStart"/>
            <w:r w:rsidRPr="00D40B48">
              <w:rPr>
                <w:rFonts w:ascii="Arial" w:eastAsia="Times New Roman" w:hAnsi="Arial" w:cs="Arial"/>
                <w:color w:val="000000"/>
                <w:sz w:val="20"/>
                <w:szCs w:val="20"/>
              </w:rPr>
              <w:t>are also exposed</w:t>
            </w:r>
            <w:proofErr w:type="gramEnd"/>
            <w:r w:rsidRPr="00D40B48">
              <w:rPr>
                <w:rFonts w:ascii="Arial" w:eastAsia="Times New Roman" w:hAnsi="Arial" w:cs="Arial"/>
                <w:color w:val="000000"/>
                <w:sz w:val="20"/>
                <w:szCs w:val="20"/>
              </w:rPr>
              <w:t xml:space="preserve"> through course activities and assessments, such as the community coalition project in PH 484. Most students </w:t>
            </w:r>
            <w:proofErr w:type="gramStart"/>
            <w:r w:rsidRPr="00D40B48">
              <w:rPr>
                <w:rFonts w:ascii="Arial" w:eastAsia="Times New Roman" w:hAnsi="Arial" w:cs="Arial"/>
                <w:color w:val="000000"/>
                <w:sz w:val="20"/>
                <w:szCs w:val="20"/>
              </w:rPr>
              <w:t>are exposed</w:t>
            </w:r>
            <w:proofErr w:type="gramEnd"/>
            <w:r w:rsidRPr="00D40B48">
              <w:rPr>
                <w:rFonts w:ascii="Arial" w:eastAsia="Times New Roman" w:hAnsi="Arial" w:cs="Arial"/>
                <w:color w:val="000000"/>
                <w:sz w:val="20"/>
                <w:szCs w:val="20"/>
              </w:rPr>
              <w:t xml:space="preserve"> experientially through their internship (PH 490) and the required community service hours (PH 381). </w:t>
            </w:r>
          </w:p>
        </w:tc>
      </w:tr>
      <w:tr w:rsidR="00D40B48" w:rsidRPr="00D40B48" w:rsidTr="00D40B48">
        <w:trPr>
          <w:trHeight w:val="175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Critical thinking and creativity</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Critical thinking is a hallmark of the foundations courses in WKU’s Colonnade program (formerly general education). Additionally, most required BSPH courses embed critical thinking in course assignments and assessments. Examples include speculating on the public health significance of an environmental factor (PH 385) or results from data analysis (PH 383, PH 384). Creative thinking </w:t>
            </w:r>
            <w:proofErr w:type="gramStart"/>
            <w:r w:rsidRPr="00D40B48">
              <w:rPr>
                <w:rFonts w:ascii="Arial" w:eastAsia="Times New Roman" w:hAnsi="Arial" w:cs="Arial"/>
                <w:color w:val="000000"/>
                <w:sz w:val="20"/>
                <w:szCs w:val="20"/>
              </w:rPr>
              <w:t>is fostered</w:t>
            </w:r>
            <w:proofErr w:type="gramEnd"/>
            <w:r w:rsidRPr="00D40B48">
              <w:rPr>
                <w:rFonts w:ascii="Arial" w:eastAsia="Times New Roman" w:hAnsi="Arial" w:cs="Arial"/>
                <w:color w:val="000000"/>
                <w:sz w:val="20"/>
                <w:szCs w:val="20"/>
              </w:rPr>
              <w:t xml:space="preserve"> through course activities and assessments such as proposing a public health policy (PH 483) or designing a program (PH 485) to address a public health need, and creating health education/promotion messages through different media (PH 485).  </w:t>
            </w:r>
          </w:p>
        </w:tc>
      </w:tr>
      <w:tr w:rsidR="00D40B48" w:rsidRPr="00D40B48" w:rsidTr="00D40B48">
        <w:trPr>
          <w:trHeight w:val="100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Cultural contexts in which public health professionals work</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Students </w:t>
            </w:r>
            <w:proofErr w:type="gramStart"/>
            <w:r w:rsidRPr="00D40B48">
              <w:rPr>
                <w:rFonts w:ascii="Arial" w:eastAsia="Times New Roman" w:hAnsi="Arial" w:cs="Arial"/>
                <w:color w:val="000000"/>
                <w:sz w:val="20"/>
                <w:szCs w:val="20"/>
              </w:rPr>
              <w:t>are exposed</w:t>
            </w:r>
            <w:proofErr w:type="gramEnd"/>
            <w:r w:rsidRPr="00D40B48">
              <w:rPr>
                <w:rFonts w:ascii="Arial" w:eastAsia="Times New Roman" w:hAnsi="Arial" w:cs="Arial"/>
                <w:color w:val="000000"/>
                <w:sz w:val="20"/>
                <w:szCs w:val="20"/>
              </w:rPr>
              <w:t xml:space="preserve"> to this concept through course content and projects in PH 381, 483, 484 and 485. Required community service and internship expose students experientially, as do co-curricular activities, such as the Poverty Simulation Training and the English as a Second Language Fair.  </w:t>
            </w:r>
          </w:p>
        </w:tc>
      </w:tr>
      <w:tr w:rsidR="00D40B48" w:rsidRPr="00D40B48" w:rsidTr="00D40B48">
        <w:trPr>
          <w:trHeight w:val="100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Ethical decision making as related to self and society</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In PH 261 and PH 484, students discuss ethical principles, the importance for public health professionals to act ethically, and other ethical issues in public health. Students go through HIPAA training as part of PH 485 and participate in a mandatory internship orientation that reinforces professional ethics. </w:t>
            </w:r>
          </w:p>
        </w:tc>
      </w:tr>
      <w:tr w:rsidR="00D40B48" w:rsidRPr="00D40B48" w:rsidTr="00D40B48">
        <w:trPr>
          <w:trHeight w:val="75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Independent work and a personal work ethic</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All courses have assignments/assessments that require students to work independently, meet deadlines, and demonstrate achievement of learning objectives. The internship orientation includes work ethic and preceptors/supervisors evaluate students’ work ethic.</w:t>
            </w:r>
          </w:p>
        </w:tc>
      </w:tr>
      <w:tr w:rsidR="00D40B48" w:rsidRPr="00D40B48" w:rsidTr="00D40B48">
        <w:trPr>
          <w:trHeight w:val="200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Networking</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Students network with public health/related professionals during their required community service (PH 381) and internship (PH 490), as well as course activities that require students to seek out professionals (e.g. structured interview with a public health professional in PH 261). Students have the opportunity to network with MPH students through the student governance organization, Public Health Undergraduate and Graduate Associated Students (PHUGAS) and the Kentucky Public Health Association (KPHA) Student Chapter.  Additionally, PHUGAS sponsors workshops and trainings taught by public health professionals, which provide co-curricular opportunities for networking.  </w:t>
            </w:r>
          </w:p>
        </w:tc>
      </w:tr>
      <w:tr w:rsidR="00D40B48" w:rsidRPr="00D40B48" w:rsidTr="00D40B48">
        <w:trPr>
          <w:trHeight w:val="100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lastRenderedPageBreak/>
              <w:t>Organizational dynamics</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Various concepts of organizational dynamics </w:t>
            </w:r>
            <w:proofErr w:type="gramStart"/>
            <w:r w:rsidRPr="00D40B48">
              <w:rPr>
                <w:rFonts w:ascii="Arial" w:eastAsia="Times New Roman" w:hAnsi="Arial" w:cs="Arial"/>
                <w:color w:val="000000"/>
                <w:sz w:val="20"/>
                <w:szCs w:val="20"/>
              </w:rPr>
              <w:t>are taught</w:t>
            </w:r>
            <w:proofErr w:type="gramEnd"/>
            <w:r w:rsidRPr="00D40B48">
              <w:rPr>
                <w:rFonts w:ascii="Arial" w:eastAsia="Times New Roman" w:hAnsi="Arial" w:cs="Arial"/>
                <w:color w:val="000000"/>
                <w:sz w:val="20"/>
                <w:szCs w:val="20"/>
              </w:rPr>
              <w:t xml:space="preserve"> in PH 483 and PH 484.  Students </w:t>
            </w:r>
            <w:proofErr w:type="gramStart"/>
            <w:r w:rsidRPr="00D40B48">
              <w:rPr>
                <w:rFonts w:ascii="Arial" w:eastAsia="Times New Roman" w:hAnsi="Arial" w:cs="Arial"/>
                <w:color w:val="000000"/>
                <w:sz w:val="20"/>
                <w:szCs w:val="20"/>
              </w:rPr>
              <w:t>are exposed</w:t>
            </w:r>
            <w:proofErr w:type="gramEnd"/>
            <w:r w:rsidRPr="00D40B48">
              <w:rPr>
                <w:rFonts w:ascii="Arial" w:eastAsia="Times New Roman" w:hAnsi="Arial" w:cs="Arial"/>
                <w:color w:val="000000"/>
                <w:sz w:val="20"/>
                <w:szCs w:val="20"/>
              </w:rPr>
              <w:t xml:space="preserve"> experientially through their internship (PH 490) and their required community service as part of PH 381. Students </w:t>
            </w:r>
            <w:proofErr w:type="gramStart"/>
            <w:r w:rsidRPr="00D40B48">
              <w:rPr>
                <w:rFonts w:ascii="Arial" w:eastAsia="Times New Roman" w:hAnsi="Arial" w:cs="Arial"/>
                <w:color w:val="000000"/>
                <w:sz w:val="20"/>
                <w:szCs w:val="20"/>
              </w:rPr>
              <w:t>are also exposed</w:t>
            </w:r>
            <w:proofErr w:type="gramEnd"/>
            <w:r w:rsidRPr="00D40B48">
              <w:rPr>
                <w:rFonts w:ascii="Arial" w:eastAsia="Times New Roman" w:hAnsi="Arial" w:cs="Arial"/>
                <w:color w:val="000000"/>
                <w:sz w:val="20"/>
                <w:szCs w:val="20"/>
              </w:rPr>
              <w:t xml:space="preserve"> through participation in student associations (KPHA, PHUGAS).</w:t>
            </w:r>
          </w:p>
        </w:tc>
      </w:tr>
      <w:tr w:rsidR="00D40B48" w:rsidRPr="00D40B48" w:rsidTr="00D40B48">
        <w:trPr>
          <w:trHeight w:val="125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Professionalism</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Students </w:t>
            </w:r>
            <w:proofErr w:type="gramStart"/>
            <w:r w:rsidRPr="00D40B48">
              <w:rPr>
                <w:rFonts w:ascii="Arial" w:eastAsia="Times New Roman" w:hAnsi="Arial" w:cs="Arial"/>
                <w:color w:val="000000"/>
                <w:sz w:val="20"/>
                <w:szCs w:val="20"/>
              </w:rPr>
              <w:t>are exposed</w:t>
            </w:r>
            <w:proofErr w:type="gramEnd"/>
            <w:r w:rsidRPr="00D40B48">
              <w:rPr>
                <w:rFonts w:ascii="Arial" w:eastAsia="Times New Roman" w:hAnsi="Arial" w:cs="Arial"/>
                <w:color w:val="000000"/>
                <w:sz w:val="20"/>
                <w:szCs w:val="20"/>
              </w:rPr>
              <w:t xml:space="preserve"> to professionalism through interactions with guest speakers, internship experiences, community service, and student associations. Required internship orientation and HIPPA training emphasize professionalism. Students demonstrate professionalism during their formal presentations to a panel of judges at the departmental research symposium. Students </w:t>
            </w:r>
            <w:proofErr w:type="gramStart"/>
            <w:r w:rsidRPr="00D40B48">
              <w:rPr>
                <w:rFonts w:ascii="Arial" w:eastAsia="Times New Roman" w:hAnsi="Arial" w:cs="Arial"/>
                <w:color w:val="000000"/>
                <w:sz w:val="20"/>
                <w:szCs w:val="20"/>
              </w:rPr>
              <w:t>are evaluated</w:t>
            </w:r>
            <w:proofErr w:type="gramEnd"/>
            <w:r w:rsidRPr="00D40B48">
              <w:rPr>
                <w:rFonts w:ascii="Arial" w:eastAsia="Times New Roman" w:hAnsi="Arial" w:cs="Arial"/>
                <w:color w:val="000000"/>
                <w:sz w:val="20"/>
                <w:szCs w:val="20"/>
              </w:rPr>
              <w:t xml:space="preserve"> on professionalism by their internship preceptor/supervisors. </w:t>
            </w:r>
          </w:p>
        </w:tc>
      </w:tr>
      <w:tr w:rsidR="00D40B48" w:rsidRPr="00D40B48" w:rsidTr="00D40B48">
        <w:trPr>
          <w:trHeight w:val="150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Research methods</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Students </w:t>
            </w:r>
            <w:proofErr w:type="gramStart"/>
            <w:r w:rsidRPr="00D40B48">
              <w:rPr>
                <w:rFonts w:ascii="Arial" w:eastAsia="Times New Roman" w:hAnsi="Arial" w:cs="Arial"/>
                <w:color w:val="000000"/>
                <w:sz w:val="20"/>
                <w:szCs w:val="20"/>
              </w:rPr>
              <w:t>are exposed</w:t>
            </w:r>
            <w:proofErr w:type="gramEnd"/>
            <w:r w:rsidRPr="00D40B48">
              <w:rPr>
                <w:rFonts w:ascii="Arial" w:eastAsia="Times New Roman" w:hAnsi="Arial" w:cs="Arial"/>
                <w:color w:val="000000"/>
                <w:sz w:val="20"/>
                <w:szCs w:val="20"/>
              </w:rPr>
              <w:t xml:space="preserve"> to various research methods throughout the BSPH curriculum.  PH 383 and 384 cover basic quantitative methods. PH 261 introduces qualitative methods through the structured interview assignment. Many courses require students to conduct literature reviews. In PH 385, students review of data collection tools used by the Environmental Protection Agency (EPA), and summarize/critique the methodology of research-based articles. In ENV 460, students review of case studies and data collection methods. </w:t>
            </w:r>
          </w:p>
        </w:tc>
      </w:tr>
      <w:tr w:rsidR="00D40B48" w:rsidRPr="00D40B48" w:rsidTr="00D40B48">
        <w:trPr>
          <w:trHeight w:val="500"/>
        </w:trPr>
        <w:tc>
          <w:tcPr>
            <w:tcW w:w="4400" w:type="dxa"/>
            <w:tcBorders>
              <w:top w:val="nil"/>
              <w:left w:val="single" w:sz="4" w:space="0" w:color="auto"/>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Systems thinking</w:t>
            </w:r>
          </w:p>
        </w:tc>
        <w:tc>
          <w:tcPr>
            <w:tcW w:w="8700" w:type="dxa"/>
            <w:tcBorders>
              <w:top w:val="nil"/>
              <w:left w:val="nil"/>
              <w:bottom w:val="single" w:sz="4"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Systems thinking is implicit in most required courses. Students discuss and create logic models in PH 484 and PH 485. </w:t>
            </w:r>
          </w:p>
        </w:tc>
      </w:tr>
      <w:tr w:rsidR="00D40B48" w:rsidRPr="00D40B48" w:rsidTr="00D40B48">
        <w:trPr>
          <w:trHeight w:val="1010"/>
        </w:trPr>
        <w:tc>
          <w:tcPr>
            <w:tcW w:w="4400" w:type="dxa"/>
            <w:tcBorders>
              <w:top w:val="nil"/>
              <w:left w:val="single" w:sz="4" w:space="0" w:color="auto"/>
              <w:bottom w:val="single" w:sz="12"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Teamwork and leadership</w:t>
            </w:r>
          </w:p>
        </w:tc>
        <w:tc>
          <w:tcPr>
            <w:tcW w:w="8700" w:type="dxa"/>
            <w:tcBorders>
              <w:top w:val="nil"/>
              <w:left w:val="nil"/>
              <w:bottom w:val="single" w:sz="12" w:space="0" w:color="auto"/>
              <w:right w:val="single" w:sz="4" w:space="0" w:color="auto"/>
            </w:tcBorders>
            <w:shd w:val="clear" w:color="auto" w:fill="auto"/>
            <w:hideMark/>
          </w:tcPr>
          <w:p w:rsidR="00D40B48" w:rsidRPr="00D40B48" w:rsidRDefault="00D40B48" w:rsidP="00D40B48">
            <w:pPr>
              <w:spacing w:after="0" w:line="240" w:lineRule="auto"/>
              <w:rPr>
                <w:rFonts w:ascii="Arial" w:eastAsia="Times New Roman" w:hAnsi="Arial" w:cs="Arial"/>
                <w:color w:val="000000"/>
                <w:sz w:val="20"/>
                <w:szCs w:val="20"/>
              </w:rPr>
            </w:pPr>
            <w:r w:rsidRPr="00D40B48">
              <w:rPr>
                <w:rFonts w:ascii="Arial" w:eastAsia="Times New Roman" w:hAnsi="Arial" w:cs="Arial"/>
                <w:color w:val="000000"/>
                <w:sz w:val="20"/>
                <w:szCs w:val="20"/>
              </w:rPr>
              <w:t xml:space="preserve">Teamwork and leadership </w:t>
            </w:r>
            <w:proofErr w:type="gramStart"/>
            <w:r w:rsidRPr="00D40B48">
              <w:rPr>
                <w:rFonts w:ascii="Arial" w:eastAsia="Times New Roman" w:hAnsi="Arial" w:cs="Arial"/>
                <w:color w:val="000000"/>
                <w:sz w:val="20"/>
                <w:szCs w:val="20"/>
              </w:rPr>
              <w:t>are taught</w:t>
            </w:r>
            <w:proofErr w:type="gramEnd"/>
            <w:r w:rsidRPr="00D40B48">
              <w:rPr>
                <w:rFonts w:ascii="Arial" w:eastAsia="Times New Roman" w:hAnsi="Arial" w:cs="Arial"/>
                <w:color w:val="000000"/>
                <w:sz w:val="20"/>
                <w:szCs w:val="20"/>
              </w:rPr>
              <w:t xml:space="preserve"> in PH 484 and PH 483 respectively. Several required courses require students to work in teams for graded and ungraded assignments and activities. Our two student associations (KPHA and PHUGAS) provide co-curricular leadership and teamwork opportunities. BSPH students </w:t>
            </w:r>
            <w:proofErr w:type="gramStart"/>
            <w:r w:rsidRPr="00D40B48">
              <w:rPr>
                <w:rFonts w:ascii="Arial" w:eastAsia="Times New Roman" w:hAnsi="Arial" w:cs="Arial"/>
                <w:color w:val="000000"/>
                <w:sz w:val="20"/>
                <w:szCs w:val="20"/>
              </w:rPr>
              <w:t>are elected</w:t>
            </w:r>
            <w:proofErr w:type="gramEnd"/>
            <w:r w:rsidRPr="00D40B48">
              <w:rPr>
                <w:rFonts w:ascii="Arial" w:eastAsia="Times New Roman" w:hAnsi="Arial" w:cs="Arial"/>
                <w:color w:val="000000"/>
                <w:sz w:val="20"/>
                <w:szCs w:val="20"/>
              </w:rPr>
              <w:t xml:space="preserve"> to serve on programmatic committees.</w:t>
            </w:r>
          </w:p>
        </w:tc>
      </w:tr>
    </w:tbl>
    <w:p w:rsidR="004E1A25" w:rsidRDefault="004E1A25"/>
    <w:sectPr w:rsidR="004E1A25" w:rsidSect="008033A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13" w:rsidRDefault="00026913" w:rsidP="00811E89">
      <w:pPr>
        <w:spacing w:after="0" w:line="240" w:lineRule="auto"/>
      </w:pPr>
      <w:r>
        <w:separator/>
      </w:r>
    </w:p>
  </w:endnote>
  <w:endnote w:type="continuationSeparator" w:id="0">
    <w:p w:rsidR="00026913" w:rsidRDefault="00026913" w:rsidP="008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13" w:rsidRDefault="00026913" w:rsidP="00811E89">
      <w:pPr>
        <w:spacing w:after="0" w:line="240" w:lineRule="auto"/>
      </w:pPr>
      <w:r>
        <w:separator/>
      </w:r>
    </w:p>
  </w:footnote>
  <w:footnote w:type="continuationSeparator" w:id="0">
    <w:p w:rsidR="00026913" w:rsidRDefault="00026913" w:rsidP="00811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AA"/>
    <w:rsid w:val="00026913"/>
    <w:rsid w:val="00030908"/>
    <w:rsid w:val="00152E1F"/>
    <w:rsid w:val="00494FD1"/>
    <w:rsid w:val="004E1A25"/>
    <w:rsid w:val="004F70D3"/>
    <w:rsid w:val="00562552"/>
    <w:rsid w:val="005C65ED"/>
    <w:rsid w:val="005F07F1"/>
    <w:rsid w:val="008033AA"/>
    <w:rsid w:val="00811E89"/>
    <w:rsid w:val="00D40B48"/>
    <w:rsid w:val="00E50CA0"/>
    <w:rsid w:val="00EF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B465A"/>
  <w15:chartTrackingRefBased/>
  <w15:docId w15:val="{F96AABD6-1347-4807-A2CC-7CCB5E0A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89"/>
  </w:style>
  <w:style w:type="paragraph" w:styleId="Footer">
    <w:name w:val="footer"/>
    <w:basedOn w:val="Normal"/>
    <w:link w:val="FooterChar"/>
    <w:uiPriority w:val="99"/>
    <w:unhideWhenUsed/>
    <w:rsid w:val="00811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665">
      <w:bodyDiv w:val="1"/>
      <w:marLeft w:val="0"/>
      <w:marRight w:val="0"/>
      <w:marTop w:val="0"/>
      <w:marBottom w:val="0"/>
      <w:divBdr>
        <w:top w:val="none" w:sz="0" w:space="0" w:color="auto"/>
        <w:left w:val="none" w:sz="0" w:space="0" w:color="auto"/>
        <w:bottom w:val="none" w:sz="0" w:space="0" w:color="auto"/>
        <w:right w:val="none" w:sz="0" w:space="0" w:color="auto"/>
      </w:divBdr>
    </w:div>
    <w:div w:id="330959099">
      <w:bodyDiv w:val="1"/>
      <w:marLeft w:val="0"/>
      <w:marRight w:val="0"/>
      <w:marTop w:val="0"/>
      <w:marBottom w:val="0"/>
      <w:divBdr>
        <w:top w:val="none" w:sz="0" w:space="0" w:color="auto"/>
        <w:left w:val="none" w:sz="0" w:space="0" w:color="auto"/>
        <w:bottom w:val="none" w:sz="0" w:space="0" w:color="auto"/>
        <w:right w:val="none" w:sz="0" w:space="0" w:color="auto"/>
      </w:divBdr>
    </w:div>
    <w:div w:id="660888431">
      <w:bodyDiv w:val="1"/>
      <w:marLeft w:val="0"/>
      <w:marRight w:val="0"/>
      <w:marTop w:val="0"/>
      <w:marBottom w:val="0"/>
      <w:divBdr>
        <w:top w:val="none" w:sz="0" w:space="0" w:color="auto"/>
        <w:left w:val="none" w:sz="0" w:space="0" w:color="auto"/>
        <w:bottom w:val="none" w:sz="0" w:space="0" w:color="auto"/>
        <w:right w:val="none" w:sz="0" w:space="0" w:color="auto"/>
      </w:divBdr>
    </w:div>
    <w:div w:id="717975517">
      <w:bodyDiv w:val="1"/>
      <w:marLeft w:val="0"/>
      <w:marRight w:val="0"/>
      <w:marTop w:val="0"/>
      <w:marBottom w:val="0"/>
      <w:divBdr>
        <w:top w:val="none" w:sz="0" w:space="0" w:color="auto"/>
        <w:left w:val="none" w:sz="0" w:space="0" w:color="auto"/>
        <w:bottom w:val="none" w:sz="0" w:space="0" w:color="auto"/>
        <w:right w:val="none" w:sz="0" w:space="0" w:color="auto"/>
      </w:divBdr>
    </w:div>
    <w:div w:id="883829265">
      <w:bodyDiv w:val="1"/>
      <w:marLeft w:val="0"/>
      <w:marRight w:val="0"/>
      <w:marTop w:val="0"/>
      <w:marBottom w:val="0"/>
      <w:divBdr>
        <w:top w:val="none" w:sz="0" w:space="0" w:color="auto"/>
        <w:left w:val="none" w:sz="0" w:space="0" w:color="auto"/>
        <w:bottom w:val="none" w:sz="0" w:space="0" w:color="auto"/>
        <w:right w:val="none" w:sz="0" w:space="0" w:color="auto"/>
      </w:divBdr>
    </w:div>
    <w:div w:id="1004894019">
      <w:bodyDiv w:val="1"/>
      <w:marLeft w:val="0"/>
      <w:marRight w:val="0"/>
      <w:marTop w:val="0"/>
      <w:marBottom w:val="0"/>
      <w:divBdr>
        <w:top w:val="none" w:sz="0" w:space="0" w:color="auto"/>
        <w:left w:val="none" w:sz="0" w:space="0" w:color="auto"/>
        <w:bottom w:val="none" w:sz="0" w:space="0" w:color="auto"/>
        <w:right w:val="none" w:sz="0" w:space="0" w:color="auto"/>
      </w:divBdr>
    </w:div>
    <w:div w:id="1022781462">
      <w:bodyDiv w:val="1"/>
      <w:marLeft w:val="0"/>
      <w:marRight w:val="0"/>
      <w:marTop w:val="0"/>
      <w:marBottom w:val="0"/>
      <w:divBdr>
        <w:top w:val="none" w:sz="0" w:space="0" w:color="auto"/>
        <w:left w:val="none" w:sz="0" w:space="0" w:color="auto"/>
        <w:bottom w:val="none" w:sz="0" w:space="0" w:color="auto"/>
        <w:right w:val="none" w:sz="0" w:space="0" w:color="auto"/>
      </w:divBdr>
    </w:div>
    <w:div w:id="1025710959">
      <w:bodyDiv w:val="1"/>
      <w:marLeft w:val="0"/>
      <w:marRight w:val="0"/>
      <w:marTop w:val="0"/>
      <w:marBottom w:val="0"/>
      <w:divBdr>
        <w:top w:val="none" w:sz="0" w:space="0" w:color="auto"/>
        <w:left w:val="none" w:sz="0" w:space="0" w:color="auto"/>
        <w:bottom w:val="none" w:sz="0" w:space="0" w:color="auto"/>
        <w:right w:val="none" w:sz="0" w:space="0" w:color="auto"/>
      </w:divBdr>
    </w:div>
    <w:div w:id="1078988597">
      <w:bodyDiv w:val="1"/>
      <w:marLeft w:val="0"/>
      <w:marRight w:val="0"/>
      <w:marTop w:val="0"/>
      <w:marBottom w:val="0"/>
      <w:divBdr>
        <w:top w:val="none" w:sz="0" w:space="0" w:color="auto"/>
        <w:left w:val="none" w:sz="0" w:space="0" w:color="auto"/>
        <w:bottom w:val="none" w:sz="0" w:space="0" w:color="auto"/>
        <w:right w:val="none" w:sz="0" w:space="0" w:color="auto"/>
      </w:divBdr>
    </w:div>
    <w:div w:id="1082873804">
      <w:bodyDiv w:val="1"/>
      <w:marLeft w:val="0"/>
      <w:marRight w:val="0"/>
      <w:marTop w:val="0"/>
      <w:marBottom w:val="0"/>
      <w:divBdr>
        <w:top w:val="none" w:sz="0" w:space="0" w:color="auto"/>
        <w:left w:val="none" w:sz="0" w:space="0" w:color="auto"/>
        <w:bottom w:val="none" w:sz="0" w:space="0" w:color="auto"/>
        <w:right w:val="none" w:sz="0" w:space="0" w:color="auto"/>
      </w:divBdr>
    </w:div>
    <w:div w:id="1139375752">
      <w:bodyDiv w:val="1"/>
      <w:marLeft w:val="0"/>
      <w:marRight w:val="0"/>
      <w:marTop w:val="0"/>
      <w:marBottom w:val="0"/>
      <w:divBdr>
        <w:top w:val="none" w:sz="0" w:space="0" w:color="auto"/>
        <w:left w:val="none" w:sz="0" w:space="0" w:color="auto"/>
        <w:bottom w:val="none" w:sz="0" w:space="0" w:color="auto"/>
        <w:right w:val="none" w:sz="0" w:space="0" w:color="auto"/>
      </w:divBdr>
    </w:div>
    <w:div w:id="1151218694">
      <w:bodyDiv w:val="1"/>
      <w:marLeft w:val="0"/>
      <w:marRight w:val="0"/>
      <w:marTop w:val="0"/>
      <w:marBottom w:val="0"/>
      <w:divBdr>
        <w:top w:val="none" w:sz="0" w:space="0" w:color="auto"/>
        <w:left w:val="none" w:sz="0" w:space="0" w:color="auto"/>
        <w:bottom w:val="none" w:sz="0" w:space="0" w:color="auto"/>
        <w:right w:val="none" w:sz="0" w:space="0" w:color="auto"/>
      </w:divBdr>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
    <w:div w:id="1417438230">
      <w:bodyDiv w:val="1"/>
      <w:marLeft w:val="0"/>
      <w:marRight w:val="0"/>
      <w:marTop w:val="0"/>
      <w:marBottom w:val="0"/>
      <w:divBdr>
        <w:top w:val="none" w:sz="0" w:space="0" w:color="auto"/>
        <w:left w:val="none" w:sz="0" w:space="0" w:color="auto"/>
        <w:bottom w:val="none" w:sz="0" w:space="0" w:color="auto"/>
        <w:right w:val="none" w:sz="0" w:space="0" w:color="auto"/>
      </w:divBdr>
    </w:div>
    <w:div w:id="1497261296">
      <w:bodyDiv w:val="1"/>
      <w:marLeft w:val="0"/>
      <w:marRight w:val="0"/>
      <w:marTop w:val="0"/>
      <w:marBottom w:val="0"/>
      <w:divBdr>
        <w:top w:val="none" w:sz="0" w:space="0" w:color="auto"/>
        <w:left w:val="none" w:sz="0" w:space="0" w:color="auto"/>
        <w:bottom w:val="none" w:sz="0" w:space="0" w:color="auto"/>
        <w:right w:val="none" w:sz="0" w:space="0" w:color="auto"/>
      </w:divBdr>
    </w:div>
    <w:div w:id="1925457264">
      <w:bodyDiv w:val="1"/>
      <w:marLeft w:val="0"/>
      <w:marRight w:val="0"/>
      <w:marTop w:val="0"/>
      <w:marBottom w:val="0"/>
      <w:divBdr>
        <w:top w:val="none" w:sz="0" w:space="0" w:color="auto"/>
        <w:left w:val="none" w:sz="0" w:space="0" w:color="auto"/>
        <w:bottom w:val="none" w:sz="0" w:space="0" w:color="auto"/>
        <w:right w:val="none" w:sz="0" w:space="0" w:color="auto"/>
      </w:divBdr>
    </w:div>
    <w:div w:id="19577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2019-08-12T17:25:00Z</dcterms:created>
  <dcterms:modified xsi:type="dcterms:W3CDTF">2019-08-12T18:25:00Z</dcterms:modified>
</cp:coreProperties>
</file>