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16348541"/>
        <w:docPartObj>
          <w:docPartGallery w:val="Cover Pages"/>
          <w:docPartUnique/>
        </w:docPartObj>
      </w:sdtPr>
      <w:sdtContent>
        <w:p w:rsidR="00B241E9" w:rsidRDefault="00B241E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B241E9" w:rsidTr="00AE0CBB">
            <w:sdt>
              <w:sdtPr>
                <w:rPr>
                  <w:sz w:val="24"/>
                  <w:szCs w:val="24"/>
                </w:rPr>
                <w:alias w:val="Company"/>
                <w:id w:val="13406915"/>
                <w:placeholder>
                  <w:docPart w:val="F0C3394B5B8F42468ABBC39D1ADB144B"/>
                </w:placeholder>
                <w:dataBinding w:prefixMappings="xmlns:ns0='http://schemas.openxmlformats.org/officeDocument/2006/extended-properties'" w:xpath="/ns0:Properties[1]/ns0:Company[1]" w:storeItemID="{6668398D-A668-4E3E-A5EB-62B293D839F1}"/>
                <w:text/>
              </w:sdtPr>
              <w:sdtContent>
                <w:tc>
                  <w:tcPr>
                    <w:tcW w:w="7672" w:type="dxa"/>
                    <w:tcBorders>
                      <w:left w:val="single" w:sz="12" w:space="0" w:color="auto"/>
                      <w:bottom w:val="nil"/>
                    </w:tcBorders>
                    <w:tcMar>
                      <w:top w:w="216" w:type="dxa"/>
                      <w:left w:w="115" w:type="dxa"/>
                      <w:bottom w:w="216" w:type="dxa"/>
                      <w:right w:w="115" w:type="dxa"/>
                    </w:tcMar>
                  </w:tcPr>
                  <w:p w:rsidR="00B241E9" w:rsidRDefault="00381099">
                    <w:pPr>
                      <w:pStyle w:val="NoSpacing"/>
                      <w:rPr>
                        <w:color w:val="2E74B5" w:themeColor="accent1" w:themeShade="BF"/>
                        <w:sz w:val="24"/>
                      </w:rPr>
                    </w:pPr>
                    <w:r>
                      <w:rPr>
                        <w:sz w:val="24"/>
                        <w:szCs w:val="24"/>
                      </w:rPr>
                      <w:t>Western Kentucky University</w:t>
                    </w:r>
                  </w:p>
                </w:tc>
              </w:sdtContent>
            </w:sdt>
          </w:tr>
          <w:tr w:rsidR="00945663" w:rsidRPr="00945663" w:rsidTr="00AE0CBB">
            <w:tc>
              <w:tcPr>
                <w:tcW w:w="7672" w:type="dxa"/>
                <w:tcBorders>
                  <w:left w:val="single" w:sz="12" w:space="0" w:color="auto"/>
                  <w:bottom w:val="nil"/>
                </w:tcBorders>
              </w:tcPr>
              <w:sdt>
                <w:sdtPr>
                  <w:rPr>
                    <w:rFonts w:asciiTheme="majorHAnsi" w:eastAsiaTheme="majorEastAsia" w:hAnsiTheme="majorHAnsi" w:cstheme="majorBidi"/>
                    <w:sz w:val="88"/>
                    <w:szCs w:val="88"/>
                  </w:rPr>
                  <w:alias w:val="Title"/>
                  <w:id w:val="13406919"/>
                  <w:placeholder>
                    <w:docPart w:val="1F862B10AE034E2D99F6549CFB88536F"/>
                  </w:placeholder>
                  <w:dataBinding w:prefixMappings="xmlns:ns0='http://schemas.openxmlformats.org/package/2006/metadata/core-properties' xmlns:ns1='http://purl.org/dc/elements/1.1/'" w:xpath="/ns0:coreProperties[1]/ns1:title[1]" w:storeItemID="{6C3C8BC8-F283-45AE-878A-BAB7291924A1}"/>
                  <w:text/>
                </w:sdtPr>
                <w:sdtContent>
                  <w:p w:rsidR="00B241E9" w:rsidRPr="00945663" w:rsidRDefault="00381099" w:rsidP="00945663">
                    <w:pPr>
                      <w:pStyle w:val="NoSpacing"/>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2017 Interim Report</w:t>
                    </w:r>
                  </w:p>
                </w:sdtContent>
              </w:sdt>
            </w:tc>
          </w:tr>
          <w:tr w:rsidR="00B241E9" w:rsidTr="00AE0CBB">
            <w:sdt>
              <w:sdtPr>
                <w:rPr>
                  <w:sz w:val="24"/>
                  <w:szCs w:val="24"/>
                </w:rPr>
                <w:alias w:val="Subtitle"/>
                <w:id w:val="13406923"/>
                <w:placeholder>
                  <w:docPart w:val="A7CF2E72759F473C9C1F557EFF08D19A"/>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Borders>
                      <w:left w:val="single" w:sz="12" w:space="0" w:color="auto"/>
                    </w:tcBorders>
                    <w:tcMar>
                      <w:top w:w="216" w:type="dxa"/>
                      <w:left w:w="115" w:type="dxa"/>
                      <w:bottom w:w="216" w:type="dxa"/>
                      <w:right w:w="115" w:type="dxa"/>
                    </w:tcMar>
                  </w:tcPr>
                  <w:p w:rsidR="00B241E9" w:rsidRDefault="00F35DE2" w:rsidP="00945663">
                    <w:pPr>
                      <w:pStyle w:val="NoSpacing"/>
                      <w:rPr>
                        <w:color w:val="2E74B5" w:themeColor="accent1" w:themeShade="BF"/>
                        <w:sz w:val="24"/>
                      </w:rPr>
                    </w:pPr>
                    <w:r>
                      <w:rPr>
                        <w:sz w:val="24"/>
                        <w:szCs w:val="24"/>
                      </w:rPr>
                      <w:t>Council on Education for</w:t>
                    </w:r>
                    <w:r w:rsidR="00381099">
                      <w:rPr>
                        <w:sz w:val="24"/>
                        <w:szCs w:val="24"/>
                      </w:rPr>
                      <w:t xml:space="preserve"> Public Health</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B241E9">
            <w:tc>
              <w:tcPr>
                <w:tcW w:w="7221" w:type="dxa"/>
                <w:tcMar>
                  <w:top w:w="216" w:type="dxa"/>
                  <w:left w:w="115" w:type="dxa"/>
                  <w:bottom w:w="216" w:type="dxa"/>
                  <w:right w:w="115" w:type="dxa"/>
                </w:tcMar>
              </w:tcPr>
              <w:p w:rsidR="00B241E9" w:rsidRDefault="00131814">
                <w:pPr>
                  <w:pStyle w:val="NoSpacing"/>
                  <w:rPr>
                    <w:sz w:val="28"/>
                    <w:szCs w:val="28"/>
                  </w:rPr>
                </w:pPr>
                <w:r>
                  <w:rPr>
                    <w:sz w:val="28"/>
                    <w:szCs w:val="28"/>
                  </w:rPr>
                  <w:t>WKU Public Health Faculty</w:t>
                </w:r>
              </w:p>
              <w:p w:rsidR="00F35DE2" w:rsidRDefault="00F35DE2">
                <w:pPr>
                  <w:pStyle w:val="NoSpacing"/>
                  <w:rPr>
                    <w:color w:val="5B9BD5" w:themeColor="accent1"/>
                    <w:sz w:val="28"/>
                    <w:szCs w:val="28"/>
                  </w:rPr>
                </w:pPr>
                <w:r>
                  <w:rPr>
                    <w:sz w:val="28"/>
                    <w:szCs w:val="28"/>
                  </w:rPr>
                  <w:t>August, 2017</w:t>
                </w:r>
              </w:p>
              <w:p w:rsidR="00B241E9" w:rsidRDefault="00B241E9">
                <w:pPr>
                  <w:pStyle w:val="NoSpacing"/>
                  <w:rPr>
                    <w:color w:val="5B9BD5" w:themeColor="accent1"/>
                  </w:rPr>
                </w:pPr>
              </w:p>
            </w:tc>
          </w:tr>
        </w:tbl>
        <w:p w:rsidR="00B241E9" w:rsidRDefault="00B241E9">
          <w:pPr>
            <w:rPr>
              <w:rFonts w:eastAsiaTheme="majorEastAsia" w:cstheme="majorBidi"/>
              <w:b/>
              <w:szCs w:val="24"/>
            </w:rPr>
          </w:pPr>
          <w:r>
            <w:br w:type="page"/>
          </w:r>
        </w:p>
        <w:bookmarkStart w:id="0" w:name="_GoBack" w:displacedByCustomXml="next"/>
        <w:bookmarkEnd w:id="0" w:displacedByCustomXml="next"/>
      </w:sdtContent>
    </w:sdt>
    <w:sdt>
      <w:sdtPr>
        <w:rPr>
          <w:rFonts w:eastAsiaTheme="minorHAnsi" w:cstheme="minorBidi"/>
          <w:b w:val="0"/>
          <w:szCs w:val="22"/>
        </w:rPr>
        <w:id w:val="757336180"/>
        <w:docPartObj>
          <w:docPartGallery w:val="Table of Contents"/>
          <w:docPartUnique/>
        </w:docPartObj>
      </w:sdtPr>
      <w:sdtEndPr>
        <w:rPr>
          <w:bCs/>
          <w:noProof/>
        </w:rPr>
      </w:sdtEndPr>
      <w:sdtContent>
        <w:p w:rsidR="002A1F8E" w:rsidRDefault="00E93EF6" w:rsidP="00131814">
          <w:pPr>
            <w:pStyle w:val="TOCHeading"/>
            <w:jc w:val="center"/>
          </w:pPr>
          <w:r w:rsidRPr="00695B1E">
            <w:t>TABLE OF CONTENTS</w:t>
          </w:r>
        </w:p>
        <w:p w:rsidR="00374F4D" w:rsidRPr="00374F4D" w:rsidRDefault="00693FAB" w:rsidP="00693FAB">
          <w:pPr>
            <w:tabs>
              <w:tab w:val="left" w:pos="7224"/>
            </w:tabs>
          </w:pPr>
          <w:r>
            <w:tab/>
          </w:r>
        </w:p>
        <w:p w:rsidR="00DC13E7" w:rsidRDefault="002A1F8E">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90316868" w:history="1">
            <w:r w:rsidR="00DC13E7" w:rsidRPr="00FD6F4A">
              <w:rPr>
                <w:rStyle w:val="Hyperlink"/>
                <w:noProof/>
              </w:rPr>
              <w:t>A.  Implemented a systematic approach to using evaluation data to improve the programs within the unit of accreditation based on data collected. The report must present evidence that the program follows its established processes (eg, meeting minutes, description of proposed and/or implemented changes based on data collection). (Criterion 1.2)</w:t>
            </w:r>
            <w:r w:rsidR="00DC13E7">
              <w:rPr>
                <w:noProof/>
                <w:webHidden/>
              </w:rPr>
              <w:tab/>
            </w:r>
            <w:r w:rsidR="00DC13E7">
              <w:rPr>
                <w:noProof/>
                <w:webHidden/>
              </w:rPr>
              <w:fldChar w:fldCharType="begin"/>
            </w:r>
            <w:r w:rsidR="00DC13E7">
              <w:rPr>
                <w:noProof/>
                <w:webHidden/>
              </w:rPr>
              <w:instrText xml:space="preserve"> PAGEREF _Toc490316868 \h </w:instrText>
            </w:r>
            <w:r w:rsidR="00DC13E7">
              <w:rPr>
                <w:noProof/>
                <w:webHidden/>
              </w:rPr>
            </w:r>
            <w:r w:rsidR="00DC13E7">
              <w:rPr>
                <w:noProof/>
                <w:webHidden/>
              </w:rPr>
              <w:fldChar w:fldCharType="separate"/>
            </w:r>
            <w:r w:rsidR="00DC13E7">
              <w:rPr>
                <w:noProof/>
                <w:webHidden/>
              </w:rPr>
              <w:t>2</w:t>
            </w:r>
            <w:r w:rsidR="00DC13E7">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69" w:history="1">
            <w:r w:rsidRPr="00FD6F4A">
              <w:rPr>
                <w:rStyle w:val="Hyperlink"/>
                <w:noProof/>
              </w:rPr>
              <w:t>B. Articulated and implemented procedures to regularly evaluate the program’s measurable objectives and to adjust targets as appropriate. (Criterion 1.2)</w:t>
            </w:r>
            <w:r>
              <w:rPr>
                <w:noProof/>
                <w:webHidden/>
              </w:rPr>
              <w:tab/>
            </w:r>
            <w:r>
              <w:rPr>
                <w:noProof/>
                <w:webHidden/>
              </w:rPr>
              <w:fldChar w:fldCharType="begin"/>
            </w:r>
            <w:r>
              <w:rPr>
                <w:noProof/>
                <w:webHidden/>
              </w:rPr>
              <w:instrText xml:space="preserve"> PAGEREF _Toc490316869 \h </w:instrText>
            </w:r>
            <w:r>
              <w:rPr>
                <w:noProof/>
                <w:webHidden/>
              </w:rPr>
            </w:r>
            <w:r>
              <w:rPr>
                <w:noProof/>
                <w:webHidden/>
              </w:rPr>
              <w:fldChar w:fldCharType="separate"/>
            </w:r>
            <w:r>
              <w:rPr>
                <w:noProof/>
                <w:webHidden/>
              </w:rPr>
              <w:t>4</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0" w:history="1">
            <w:r w:rsidRPr="00FD6F4A">
              <w:rPr>
                <w:rStyle w:val="Hyperlink"/>
                <w:noProof/>
              </w:rPr>
              <w:t>C. Implemented an evaluation plan for the BSPH program to consistently evaluate program targets, outcomes and the program’s effectiveness and to adjust strategies or targets as appropriate. The evaluation plan must include surveys or other data collection of community stakeholders, as well as program students and alumni. The report must include preliminary data from all instruments. (Criterion 1.2)</w:t>
            </w:r>
            <w:r>
              <w:rPr>
                <w:noProof/>
                <w:webHidden/>
              </w:rPr>
              <w:tab/>
            </w:r>
            <w:r>
              <w:rPr>
                <w:noProof/>
                <w:webHidden/>
              </w:rPr>
              <w:fldChar w:fldCharType="begin"/>
            </w:r>
            <w:r>
              <w:rPr>
                <w:noProof/>
                <w:webHidden/>
              </w:rPr>
              <w:instrText xml:space="preserve"> PAGEREF _Toc490316870 \h </w:instrText>
            </w:r>
            <w:r>
              <w:rPr>
                <w:noProof/>
                <w:webHidden/>
              </w:rPr>
            </w:r>
            <w:r>
              <w:rPr>
                <w:noProof/>
                <w:webHidden/>
              </w:rPr>
              <w:fldChar w:fldCharType="separate"/>
            </w:r>
            <w:r>
              <w:rPr>
                <w:noProof/>
                <w:webHidden/>
              </w:rPr>
              <w:t>9</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1" w:history="1">
            <w:r w:rsidRPr="00FD6F4A">
              <w:rPr>
                <w:rStyle w:val="Hyperlink"/>
                <w:noProof/>
              </w:rPr>
              <w:t>D. Implemented a functional governance structure that allows for the program’s committees and faculty to be engaged in the governance processes. The report must present evidence (eg, committee meeting minutes) that program faculty are involved in governance processes. (Criterion 1.5)</w:t>
            </w:r>
            <w:r>
              <w:rPr>
                <w:noProof/>
                <w:webHidden/>
              </w:rPr>
              <w:tab/>
            </w:r>
            <w:r>
              <w:rPr>
                <w:noProof/>
                <w:webHidden/>
              </w:rPr>
              <w:fldChar w:fldCharType="begin"/>
            </w:r>
            <w:r>
              <w:rPr>
                <w:noProof/>
                <w:webHidden/>
              </w:rPr>
              <w:instrText xml:space="preserve"> PAGEREF _Toc490316871 \h </w:instrText>
            </w:r>
            <w:r>
              <w:rPr>
                <w:noProof/>
                <w:webHidden/>
              </w:rPr>
            </w:r>
            <w:r>
              <w:rPr>
                <w:noProof/>
                <w:webHidden/>
              </w:rPr>
              <w:fldChar w:fldCharType="separate"/>
            </w:r>
            <w:r>
              <w:rPr>
                <w:noProof/>
                <w:webHidden/>
              </w:rPr>
              <w:t>11</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2" w:history="1">
            <w:r w:rsidRPr="00FD6F4A">
              <w:rPr>
                <w:rStyle w:val="Hyperlink"/>
                <w:noProof/>
              </w:rPr>
              <w:t>E. Articulated and begun to implement program-specific practices for achieving diversity, including systematic processes for recruitment of diverse faculty, staff and students. (Criterion 1.8)</w:t>
            </w:r>
            <w:r>
              <w:rPr>
                <w:noProof/>
                <w:webHidden/>
              </w:rPr>
              <w:tab/>
            </w:r>
            <w:r>
              <w:rPr>
                <w:noProof/>
                <w:webHidden/>
              </w:rPr>
              <w:fldChar w:fldCharType="begin"/>
            </w:r>
            <w:r>
              <w:rPr>
                <w:noProof/>
                <w:webHidden/>
              </w:rPr>
              <w:instrText xml:space="preserve"> PAGEREF _Toc490316872 \h </w:instrText>
            </w:r>
            <w:r>
              <w:rPr>
                <w:noProof/>
                <w:webHidden/>
              </w:rPr>
            </w:r>
            <w:r>
              <w:rPr>
                <w:noProof/>
                <w:webHidden/>
              </w:rPr>
              <w:fldChar w:fldCharType="separate"/>
            </w:r>
            <w:r>
              <w:rPr>
                <w:noProof/>
                <w:webHidden/>
              </w:rPr>
              <w:t>14</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3" w:history="1">
            <w:r w:rsidRPr="00FD6F4A">
              <w:rPr>
                <w:rStyle w:val="Hyperlink"/>
                <w:noProof/>
              </w:rPr>
              <w:t>F. Developed, disseminated and implemented guidelines for the practical experience that addresses the generalist concentration. (Criterion 2.4)</w:t>
            </w:r>
            <w:r>
              <w:rPr>
                <w:noProof/>
                <w:webHidden/>
              </w:rPr>
              <w:tab/>
            </w:r>
            <w:r>
              <w:rPr>
                <w:noProof/>
                <w:webHidden/>
              </w:rPr>
              <w:fldChar w:fldCharType="begin"/>
            </w:r>
            <w:r>
              <w:rPr>
                <w:noProof/>
                <w:webHidden/>
              </w:rPr>
              <w:instrText xml:space="preserve"> PAGEREF _Toc490316873 \h </w:instrText>
            </w:r>
            <w:r>
              <w:rPr>
                <w:noProof/>
                <w:webHidden/>
              </w:rPr>
            </w:r>
            <w:r>
              <w:rPr>
                <w:noProof/>
                <w:webHidden/>
              </w:rPr>
              <w:fldChar w:fldCharType="separate"/>
            </w:r>
            <w:r>
              <w:rPr>
                <w:noProof/>
                <w:webHidden/>
              </w:rPr>
              <w:t>17</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4" w:history="1">
            <w:r w:rsidRPr="00FD6F4A">
              <w:rPr>
                <w:rStyle w:val="Hyperlink"/>
                <w:noProof/>
              </w:rPr>
              <w:t>G. Implemented procedures to regularly review MPH core and concentration competencies and to revise competencies as appropriate. (Criterion 2.6)</w:t>
            </w:r>
            <w:r>
              <w:rPr>
                <w:noProof/>
                <w:webHidden/>
              </w:rPr>
              <w:tab/>
            </w:r>
            <w:r>
              <w:rPr>
                <w:noProof/>
                <w:webHidden/>
              </w:rPr>
              <w:fldChar w:fldCharType="begin"/>
            </w:r>
            <w:r>
              <w:rPr>
                <w:noProof/>
                <w:webHidden/>
              </w:rPr>
              <w:instrText xml:space="preserve"> PAGEREF _Toc490316874 \h </w:instrText>
            </w:r>
            <w:r>
              <w:rPr>
                <w:noProof/>
                <w:webHidden/>
              </w:rPr>
            </w:r>
            <w:r>
              <w:rPr>
                <w:noProof/>
                <w:webHidden/>
              </w:rPr>
              <w:fldChar w:fldCharType="separate"/>
            </w:r>
            <w:r>
              <w:rPr>
                <w:noProof/>
                <w:webHidden/>
              </w:rPr>
              <w:t>18</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5" w:history="1">
            <w:r w:rsidRPr="00FD6F4A">
              <w:rPr>
                <w:rStyle w:val="Hyperlink"/>
                <w:noProof/>
              </w:rPr>
              <w:t>H. Implemented procedures to ensure that all generalist MPH students identify competencies and complete coursework that relates to the stated competencies. The report should provide samples of individual students’ competency sets and the coursework selected to address those competencies. (Criterion 2.6)</w:t>
            </w:r>
            <w:r>
              <w:rPr>
                <w:noProof/>
                <w:webHidden/>
              </w:rPr>
              <w:tab/>
            </w:r>
            <w:r>
              <w:rPr>
                <w:noProof/>
                <w:webHidden/>
              </w:rPr>
              <w:fldChar w:fldCharType="begin"/>
            </w:r>
            <w:r>
              <w:rPr>
                <w:noProof/>
                <w:webHidden/>
              </w:rPr>
              <w:instrText xml:space="preserve"> PAGEREF _Toc490316875 \h </w:instrText>
            </w:r>
            <w:r>
              <w:rPr>
                <w:noProof/>
                <w:webHidden/>
              </w:rPr>
            </w:r>
            <w:r>
              <w:rPr>
                <w:noProof/>
                <w:webHidden/>
              </w:rPr>
              <w:fldChar w:fldCharType="separate"/>
            </w:r>
            <w:r>
              <w:rPr>
                <w:noProof/>
                <w:webHidden/>
              </w:rPr>
              <w:t>20</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6" w:history="1">
            <w:r w:rsidRPr="00FD6F4A">
              <w:rPr>
                <w:rStyle w:val="Hyperlink"/>
                <w:noProof/>
              </w:rPr>
              <w:t>I. Collected and assessed data from employers on graduates’ readiness for practice. The report should present data and analysis. (Criterion 2.7)</w:t>
            </w:r>
            <w:r>
              <w:rPr>
                <w:noProof/>
                <w:webHidden/>
              </w:rPr>
              <w:tab/>
            </w:r>
            <w:r>
              <w:rPr>
                <w:noProof/>
                <w:webHidden/>
              </w:rPr>
              <w:fldChar w:fldCharType="begin"/>
            </w:r>
            <w:r>
              <w:rPr>
                <w:noProof/>
                <w:webHidden/>
              </w:rPr>
              <w:instrText xml:space="preserve"> PAGEREF _Toc490316876 \h </w:instrText>
            </w:r>
            <w:r>
              <w:rPr>
                <w:noProof/>
                <w:webHidden/>
              </w:rPr>
            </w:r>
            <w:r>
              <w:rPr>
                <w:noProof/>
                <w:webHidden/>
              </w:rPr>
              <w:fldChar w:fldCharType="separate"/>
            </w:r>
            <w:r>
              <w:rPr>
                <w:noProof/>
                <w:webHidden/>
              </w:rPr>
              <w:t>22</w:t>
            </w:r>
            <w:r>
              <w:rPr>
                <w:noProof/>
                <w:webHidden/>
              </w:rPr>
              <w:fldChar w:fldCharType="end"/>
            </w:r>
          </w:hyperlink>
        </w:p>
        <w:p w:rsidR="00DC13E7" w:rsidRDefault="00DC13E7">
          <w:pPr>
            <w:pStyle w:val="TOC1"/>
            <w:tabs>
              <w:tab w:val="right" w:leader="dot" w:pos="9350"/>
            </w:tabs>
            <w:rPr>
              <w:rFonts w:eastAsiaTheme="minorEastAsia"/>
              <w:noProof/>
              <w:sz w:val="22"/>
            </w:rPr>
          </w:pPr>
          <w:hyperlink w:anchor="_Toc490316877" w:history="1">
            <w:r w:rsidRPr="00FD6F4A">
              <w:rPr>
                <w:rStyle w:val="Hyperlink"/>
                <w:noProof/>
              </w:rPr>
              <w:t>J. Implemented practices to plan and manage workforce development activities based on identified community needs. (Criterion 3.3)</w:t>
            </w:r>
            <w:r>
              <w:rPr>
                <w:noProof/>
                <w:webHidden/>
              </w:rPr>
              <w:tab/>
            </w:r>
            <w:r>
              <w:rPr>
                <w:noProof/>
                <w:webHidden/>
              </w:rPr>
              <w:fldChar w:fldCharType="begin"/>
            </w:r>
            <w:r>
              <w:rPr>
                <w:noProof/>
                <w:webHidden/>
              </w:rPr>
              <w:instrText xml:space="preserve"> PAGEREF _Toc490316877 \h </w:instrText>
            </w:r>
            <w:r>
              <w:rPr>
                <w:noProof/>
                <w:webHidden/>
              </w:rPr>
            </w:r>
            <w:r>
              <w:rPr>
                <w:noProof/>
                <w:webHidden/>
              </w:rPr>
              <w:fldChar w:fldCharType="separate"/>
            </w:r>
            <w:r>
              <w:rPr>
                <w:noProof/>
                <w:webHidden/>
              </w:rPr>
              <w:t>24</w:t>
            </w:r>
            <w:r>
              <w:rPr>
                <w:noProof/>
                <w:webHidden/>
              </w:rPr>
              <w:fldChar w:fldCharType="end"/>
            </w:r>
          </w:hyperlink>
        </w:p>
        <w:p w:rsidR="00695B1E" w:rsidRDefault="002A1F8E">
          <w:pPr>
            <w:rPr>
              <w:b/>
              <w:bCs/>
              <w:noProof/>
            </w:rPr>
          </w:pPr>
          <w:r>
            <w:rPr>
              <w:b/>
              <w:bCs/>
              <w:noProof/>
            </w:rPr>
            <w:fldChar w:fldCharType="end"/>
          </w:r>
        </w:p>
        <w:p w:rsidR="002A1F8E" w:rsidRDefault="00FE1FBF"/>
      </w:sdtContent>
    </w:sdt>
    <w:p w:rsidR="00695B1E" w:rsidRDefault="00695B1E">
      <w:pPr>
        <w:rPr>
          <w:rFonts w:eastAsiaTheme="majorEastAsia" w:cstheme="majorBidi"/>
          <w:b/>
          <w:szCs w:val="24"/>
        </w:rPr>
      </w:pPr>
      <w:r>
        <w:br w:type="page"/>
      </w:r>
    </w:p>
    <w:p w:rsidR="001E4803" w:rsidRDefault="00822881" w:rsidP="005327E4">
      <w:pPr>
        <w:pStyle w:val="Heading1"/>
      </w:pPr>
      <w:bookmarkStart w:id="1" w:name="_Toc490316868"/>
      <w:r>
        <w:lastRenderedPageBreak/>
        <w:t xml:space="preserve">A. </w:t>
      </w:r>
      <w:r w:rsidR="001E4803" w:rsidRPr="00822881">
        <w:t xml:space="preserve"> Implemented a systematic approach to using evaluation data to improve the programs within the unit of accreditation based on data collected. The report must present evidence that the program follows its established processes (eg, meeting minutes, description of proposed and/or implemented changes based on data collection). (Criterion 1.2)</w:t>
      </w:r>
      <w:bookmarkEnd w:id="1"/>
      <w:r w:rsidR="001E4803" w:rsidRPr="00822881">
        <w:t xml:space="preserve"> </w:t>
      </w:r>
    </w:p>
    <w:p w:rsidR="002A1F8E" w:rsidRPr="002A1F8E" w:rsidRDefault="002A1F8E" w:rsidP="002A1F8E"/>
    <w:p w:rsidR="00B64FC8" w:rsidRDefault="0088281D">
      <w:pPr>
        <w:rPr>
          <w:szCs w:val="24"/>
        </w:rPr>
      </w:pPr>
      <w:r w:rsidRPr="0049354F">
        <w:rPr>
          <w:szCs w:val="24"/>
        </w:rPr>
        <w:t xml:space="preserve">Guiding statements drive </w:t>
      </w:r>
      <w:r w:rsidR="00F55FC7" w:rsidRPr="0049354F">
        <w:rPr>
          <w:szCs w:val="24"/>
        </w:rPr>
        <w:t xml:space="preserve">what </w:t>
      </w:r>
      <w:r w:rsidR="00A17BE3" w:rsidRPr="0049354F">
        <w:rPr>
          <w:szCs w:val="24"/>
        </w:rPr>
        <w:t>we</w:t>
      </w:r>
      <w:r w:rsidR="00F55FC7" w:rsidRPr="0049354F">
        <w:rPr>
          <w:szCs w:val="24"/>
        </w:rPr>
        <w:t xml:space="preserve"> measure, </w:t>
      </w:r>
      <w:r w:rsidR="00E96CFB" w:rsidRPr="0049354F">
        <w:rPr>
          <w:szCs w:val="24"/>
        </w:rPr>
        <w:t>which</w:t>
      </w:r>
      <w:r w:rsidRPr="0049354F">
        <w:rPr>
          <w:szCs w:val="24"/>
        </w:rPr>
        <w:t xml:space="preserve">, in turn, </w:t>
      </w:r>
      <w:r w:rsidR="00F55FC7" w:rsidRPr="0049354F">
        <w:rPr>
          <w:szCs w:val="24"/>
        </w:rPr>
        <w:t>inform</w:t>
      </w:r>
      <w:r w:rsidR="00E96CFB" w:rsidRPr="0049354F">
        <w:rPr>
          <w:szCs w:val="24"/>
        </w:rPr>
        <w:t>s</w:t>
      </w:r>
      <w:r w:rsidR="00F55FC7" w:rsidRPr="0049354F">
        <w:rPr>
          <w:szCs w:val="24"/>
        </w:rPr>
        <w:t xml:space="preserve"> programmatic operation</w:t>
      </w:r>
      <w:r w:rsidR="00000234" w:rsidRPr="0049354F">
        <w:rPr>
          <w:szCs w:val="24"/>
        </w:rPr>
        <w:t>s</w:t>
      </w:r>
      <w:r w:rsidR="00E96CFB" w:rsidRPr="0049354F">
        <w:rPr>
          <w:szCs w:val="24"/>
        </w:rPr>
        <w:t xml:space="preserve">. </w:t>
      </w:r>
      <w:r w:rsidR="006F6088" w:rsidRPr="0049354F">
        <w:rPr>
          <w:szCs w:val="24"/>
        </w:rPr>
        <w:t xml:space="preserve">This </w:t>
      </w:r>
      <w:r w:rsidR="004B4077" w:rsidRPr="0049354F">
        <w:rPr>
          <w:szCs w:val="24"/>
        </w:rPr>
        <w:t>d</w:t>
      </w:r>
      <w:r w:rsidR="00000234" w:rsidRPr="0049354F">
        <w:rPr>
          <w:szCs w:val="24"/>
        </w:rPr>
        <w:t>eceptively simple</w:t>
      </w:r>
      <w:r w:rsidR="00A11217" w:rsidRPr="0049354F">
        <w:rPr>
          <w:szCs w:val="24"/>
        </w:rPr>
        <w:t xml:space="preserve"> f</w:t>
      </w:r>
      <w:r w:rsidR="00D8719E" w:rsidRPr="0049354F">
        <w:rPr>
          <w:szCs w:val="24"/>
        </w:rPr>
        <w:t>ram</w:t>
      </w:r>
      <w:r w:rsidR="00000234" w:rsidRPr="0049354F">
        <w:rPr>
          <w:szCs w:val="24"/>
        </w:rPr>
        <w:t>ework</w:t>
      </w:r>
      <w:r w:rsidR="004434D7" w:rsidRPr="0049354F">
        <w:rPr>
          <w:szCs w:val="24"/>
        </w:rPr>
        <w:t xml:space="preserve"> </w:t>
      </w:r>
      <w:r w:rsidR="00A11217" w:rsidRPr="0049354F">
        <w:rPr>
          <w:szCs w:val="24"/>
        </w:rPr>
        <w:t xml:space="preserve">requires a strong </w:t>
      </w:r>
      <w:r w:rsidR="00000234" w:rsidRPr="0049354F">
        <w:rPr>
          <w:szCs w:val="24"/>
        </w:rPr>
        <w:t>infrastruct</w:t>
      </w:r>
      <w:r w:rsidR="00B64FC8" w:rsidRPr="0049354F">
        <w:rPr>
          <w:szCs w:val="24"/>
        </w:rPr>
        <w:t>ure</w:t>
      </w:r>
      <w:r w:rsidR="004B4077" w:rsidRPr="0049354F">
        <w:rPr>
          <w:szCs w:val="24"/>
        </w:rPr>
        <w:t>,</w:t>
      </w:r>
      <w:r w:rsidR="00755F54" w:rsidRPr="0049354F">
        <w:rPr>
          <w:szCs w:val="24"/>
        </w:rPr>
        <w:t xml:space="preserve"> </w:t>
      </w:r>
      <w:r w:rsidR="004B4077" w:rsidRPr="0049354F">
        <w:rPr>
          <w:szCs w:val="24"/>
        </w:rPr>
        <w:t xml:space="preserve">nimble </w:t>
      </w:r>
      <w:r w:rsidR="00F178B5" w:rsidRPr="0049354F">
        <w:rPr>
          <w:szCs w:val="24"/>
        </w:rPr>
        <w:t>processes</w:t>
      </w:r>
      <w:r w:rsidR="004B4077" w:rsidRPr="0049354F">
        <w:rPr>
          <w:szCs w:val="24"/>
        </w:rPr>
        <w:t xml:space="preserve">, and a commitment </w:t>
      </w:r>
      <w:r w:rsidR="00F178B5" w:rsidRPr="0049354F">
        <w:rPr>
          <w:szCs w:val="24"/>
        </w:rPr>
        <w:t>to</w:t>
      </w:r>
      <w:r w:rsidR="005A41D7" w:rsidRPr="0049354F">
        <w:rPr>
          <w:szCs w:val="24"/>
        </w:rPr>
        <w:t xml:space="preserve"> </w:t>
      </w:r>
      <w:r w:rsidR="00514409" w:rsidRPr="0049354F">
        <w:rPr>
          <w:szCs w:val="24"/>
        </w:rPr>
        <w:t>continuous improvement.</w:t>
      </w:r>
      <w:r w:rsidR="00CE16C4" w:rsidRPr="0049354F">
        <w:rPr>
          <w:szCs w:val="24"/>
        </w:rPr>
        <w:t xml:space="preserve"> </w:t>
      </w:r>
    </w:p>
    <w:p w:rsidR="00A162B0" w:rsidRDefault="00755F54">
      <w:pPr>
        <w:rPr>
          <w:szCs w:val="24"/>
        </w:rPr>
      </w:pPr>
      <w:r>
        <w:rPr>
          <w:szCs w:val="24"/>
        </w:rPr>
        <w:t>Before implementing a systematic approach to using our evaluation data</w:t>
      </w:r>
      <w:r w:rsidR="00000234">
        <w:rPr>
          <w:szCs w:val="24"/>
        </w:rPr>
        <w:t>, we</w:t>
      </w:r>
      <w:r w:rsidR="00E96CFB">
        <w:rPr>
          <w:szCs w:val="24"/>
        </w:rPr>
        <w:t xml:space="preserve"> </w:t>
      </w:r>
      <w:r w:rsidR="00B07B2E">
        <w:rPr>
          <w:szCs w:val="24"/>
        </w:rPr>
        <w:t xml:space="preserve">first </w:t>
      </w:r>
      <w:r w:rsidR="00E96CFB">
        <w:rPr>
          <w:szCs w:val="24"/>
        </w:rPr>
        <w:t>had to</w:t>
      </w:r>
      <w:r>
        <w:rPr>
          <w:szCs w:val="24"/>
        </w:rPr>
        <w:t xml:space="preserve"> </w:t>
      </w:r>
      <w:r w:rsidR="008A5BDD">
        <w:rPr>
          <w:szCs w:val="24"/>
        </w:rPr>
        <w:t>address</w:t>
      </w:r>
      <w:r w:rsidR="006F6088">
        <w:rPr>
          <w:szCs w:val="24"/>
        </w:rPr>
        <w:t xml:space="preserve"> the barriers that led to this </w:t>
      </w:r>
      <w:r w:rsidR="006B04E1">
        <w:rPr>
          <w:szCs w:val="24"/>
        </w:rPr>
        <w:t>compliance issue</w:t>
      </w:r>
      <w:r w:rsidR="006F6088">
        <w:rPr>
          <w:szCs w:val="24"/>
        </w:rPr>
        <w:t xml:space="preserve">. </w:t>
      </w:r>
      <w:r w:rsidR="00A41125">
        <w:rPr>
          <w:szCs w:val="24"/>
        </w:rPr>
        <w:t xml:space="preserve">To </w:t>
      </w:r>
      <w:r w:rsidR="00496351">
        <w:rPr>
          <w:szCs w:val="24"/>
        </w:rPr>
        <w:t>strengthen our infrastructure</w:t>
      </w:r>
      <w:r w:rsidR="00A41125">
        <w:rPr>
          <w:szCs w:val="24"/>
        </w:rPr>
        <w:t>, w</w:t>
      </w:r>
      <w:r w:rsidR="009847ED">
        <w:rPr>
          <w:szCs w:val="24"/>
        </w:rPr>
        <w:t>e stream</w:t>
      </w:r>
      <w:r w:rsidR="00B57151">
        <w:rPr>
          <w:szCs w:val="24"/>
        </w:rPr>
        <w:t>lined our governance structure (</w:t>
      </w:r>
      <w:r w:rsidR="003522A5">
        <w:rPr>
          <w:szCs w:val="24"/>
        </w:rPr>
        <w:t xml:space="preserve">detailed in our response to </w:t>
      </w:r>
      <w:r w:rsidR="006B04E1">
        <w:rPr>
          <w:szCs w:val="24"/>
        </w:rPr>
        <w:t>compliance issue</w:t>
      </w:r>
      <w:r w:rsidR="003522A5">
        <w:rPr>
          <w:szCs w:val="24"/>
        </w:rPr>
        <w:t xml:space="preserve"> D</w:t>
      </w:r>
      <w:r w:rsidR="00B57151">
        <w:rPr>
          <w:szCs w:val="24"/>
        </w:rPr>
        <w:t>)</w:t>
      </w:r>
      <w:r w:rsidR="00496351">
        <w:rPr>
          <w:szCs w:val="24"/>
        </w:rPr>
        <w:t xml:space="preserve"> and revised policies and procedures. W</w:t>
      </w:r>
      <w:r w:rsidR="00A41125">
        <w:rPr>
          <w:szCs w:val="24"/>
        </w:rPr>
        <w:t>hile</w:t>
      </w:r>
      <w:r w:rsidR="00B57151">
        <w:rPr>
          <w:szCs w:val="24"/>
        </w:rPr>
        <w:t xml:space="preserve"> t</w:t>
      </w:r>
      <w:r w:rsidR="007D6B63">
        <w:rPr>
          <w:szCs w:val="24"/>
        </w:rPr>
        <w:t>ransition</w:t>
      </w:r>
      <w:r w:rsidR="00B57151">
        <w:rPr>
          <w:szCs w:val="24"/>
        </w:rPr>
        <w:t>ing</w:t>
      </w:r>
      <w:r w:rsidR="007D6B63">
        <w:rPr>
          <w:szCs w:val="24"/>
        </w:rPr>
        <w:t xml:space="preserve"> to the</w:t>
      </w:r>
      <w:r w:rsidR="00A41125">
        <w:rPr>
          <w:szCs w:val="24"/>
        </w:rPr>
        <w:t xml:space="preserve"> 2016 C</w:t>
      </w:r>
      <w:r w:rsidR="007D6B63">
        <w:rPr>
          <w:szCs w:val="24"/>
        </w:rPr>
        <w:t>riteria, w</w:t>
      </w:r>
      <w:r w:rsidR="003522A5">
        <w:rPr>
          <w:szCs w:val="24"/>
        </w:rPr>
        <w:t xml:space="preserve">e revised our </w:t>
      </w:r>
      <w:r w:rsidR="009847ED">
        <w:rPr>
          <w:szCs w:val="24"/>
        </w:rPr>
        <w:t>guidin</w:t>
      </w:r>
      <w:r w:rsidR="00A34C3C">
        <w:rPr>
          <w:szCs w:val="24"/>
        </w:rPr>
        <w:t xml:space="preserve">g statements, </w:t>
      </w:r>
      <w:r w:rsidR="009847ED">
        <w:rPr>
          <w:szCs w:val="24"/>
        </w:rPr>
        <w:t xml:space="preserve">crafted new measures, and </w:t>
      </w:r>
      <w:r w:rsidR="008E4F7F">
        <w:rPr>
          <w:szCs w:val="24"/>
        </w:rPr>
        <w:t>overhauled</w:t>
      </w:r>
      <w:r w:rsidR="009847ED">
        <w:rPr>
          <w:szCs w:val="24"/>
        </w:rPr>
        <w:t xml:space="preserve"> our </w:t>
      </w:r>
      <w:r w:rsidR="00A41125">
        <w:rPr>
          <w:szCs w:val="24"/>
        </w:rPr>
        <w:t>assessment plan and instruments</w:t>
      </w:r>
      <w:r w:rsidR="00756D63">
        <w:rPr>
          <w:szCs w:val="24"/>
        </w:rPr>
        <w:t xml:space="preserve"> (discussed in our response to </w:t>
      </w:r>
      <w:r w:rsidR="006B04E1">
        <w:rPr>
          <w:szCs w:val="24"/>
        </w:rPr>
        <w:t>compliance issue</w:t>
      </w:r>
      <w:r w:rsidR="00756D63">
        <w:rPr>
          <w:szCs w:val="24"/>
        </w:rPr>
        <w:t xml:space="preserve"> B)</w:t>
      </w:r>
      <w:r w:rsidR="00496351">
        <w:rPr>
          <w:szCs w:val="24"/>
        </w:rPr>
        <w:t xml:space="preserve">. In doing </w:t>
      </w:r>
      <w:r w:rsidR="00A162B0">
        <w:rPr>
          <w:szCs w:val="24"/>
        </w:rPr>
        <w:t>each of these things</w:t>
      </w:r>
      <w:r w:rsidR="00496351">
        <w:rPr>
          <w:szCs w:val="24"/>
        </w:rPr>
        <w:t>, we’ve made our processes more nimble, responsive, and transparent</w:t>
      </w:r>
      <w:r w:rsidR="00216900">
        <w:rPr>
          <w:szCs w:val="24"/>
        </w:rPr>
        <w:t>.</w:t>
      </w:r>
      <w:r w:rsidR="00496351">
        <w:rPr>
          <w:szCs w:val="24"/>
        </w:rPr>
        <w:t xml:space="preserve"> </w:t>
      </w:r>
    </w:p>
    <w:p w:rsidR="00A34C3C" w:rsidRDefault="00496351">
      <w:pPr>
        <w:rPr>
          <w:szCs w:val="24"/>
        </w:rPr>
      </w:pPr>
      <w:r>
        <w:rPr>
          <w:szCs w:val="24"/>
        </w:rPr>
        <w:t>Our</w:t>
      </w:r>
      <w:r w:rsidR="00216900">
        <w:rPr>
          <w:szCs w:val="24"/>
        </w:rPr>
        <w:t xml:space="preserve"> </w:t>
      </w:r>
      <w:r>
        <w:rPr>
          <w:szCs w:val="24"/>
        </w:rPr>
        <w:t xml:space="preserve">commitment </w:t>
      </w:r>
      <w:r w:rsidR="00216900">
        <w:rPr>
          <w:szCs w:val="24"/>
        </w:rPr>
        <w:t>to comprehensive evaluation and continuous improvement is</w:t>
      </w:r>
      <w:r w:rsidR="00C86F3A">
        <w:rPr>
          <w:szCs w:val="24"/>
        </w:rPr>
        <w:t xml:space="preserve"> demonstrated </w:t>
      </w:r>
      <w:r w:rsidR="00216900">
        <w:rPr>
          <w:szCs w:val="24"/>
        </w:rPr>
        <w:t>throughout this document</w:t>
      </w:r>
      <w:r w:rsidR="000D1ABC">
        <w:rPr>
          <w:szCs w:val="24"/>
        </w:rPr>
        <w:t>.</w:t>
      </w:r>
      <w:r w:rsidR="00216900">
        <w:rPr>
          <w:szCs w:val="24"/>
        </w:rPr>
        <w:t xml:space="preserve"> Moreover, </w:t>
      </w:r>
      <w:r w:rsidR="0049354F">
        <w:rPr>
          <w:szCs w:val="24"/>
        </w:rPr>
        <w:t xml:space="preserve">a commitment </w:t>
      </w:r>
      <w:r w:rsidR="00E93EF6">
        <w:rPr>
          <w:szCs w:val="24"/>
        </w:rPr>
        <w:t xml:space="preserve">was </w:t>
      </w:r>
      <w:r w:rsidR="0049354F">
        <w:rPr>
          <w:szCs w:val="24"/>
        </w:rPr>
        <w:t xml:space="preserve">made by </w:t>
      </w:r>
      <w:r w:rsidR="009D5E87">
        <w:rPr>
          <w:szCs w:val="24"/>
        </w:rPr>
        <w:t>the Dean of the College of Health and Human Services,</w:t>
      </w:r>
      <w:r w:rsidR="00CB4F73">
        <w:rPr>
          <w:szCs w:val="24"/>
        </w:rPr>
        <w:t xml:space="preserve"> Dr. Neale</w:t>
      </w:r>
      <w:r w:rsidR="007D6B63">
        <w:rPr>
          <w:szCs w:val="24"/>
        </w:rPr>
        <w:t xml:space="preserve"> Chumbler</w:t>
      </w:r>
      <w:r w:rsidR="00CB4F73">
        <w:rPr>
          <w:szCs w:val="24"/>
        </w:rPr>
        <w:t>,</w:t>
      </w:r>
      <w:r w:rsidR="007D6B63">
        <w:rPr>
          <w:szCs w:val="24"/>
        </w:rPr>
        <w:t xml:space="preserve"> </w:t>
      </w:r>
      <w:r w:rsidR="009D5E87">
        <w:rPr>
          <w:szCs w:val="24"/>
        </w:rPr>
        <w:t>who</w:t>
      </w:r>
      <w:r w:rsidR="00B07B2E">
        <w:rPr>
          <w:szCs w:val="24"/>
        </w:rPr>
        <w:t xml:space="preserve"> </w:t>
      </w:r>
      <w:r>
        <w:rPr>
          <w:szCs w:val="24"/>
        </w:rPr>
        <w:t>instituted a policy to pa</w:t>
      </w:r>
      <w:r w:rsidR="003B423F">
        <w:rPr>
          <w:szCs w:val="24"/>
        </w:rPr>
        <w:t>y</w:t>
      </w:r>
      <w:r w:rsidR="008A5BDD">
        <w:rPr>
          <w:szCs w:val="24"/>
        </w:rPr>
        <w:t xml:space="preserve"> program coordinators</w:t>
      </w:r>
      <w:r w:rsidR="00A162B0">
        <w:rPr>
          <w:szCs w:val="24"/>
        </w:rPr>
        <w:t xml:space="preserve"> an additiona</w:t>
      </w:r>
      <w:r w:rsidR="009D5E87">
        <w:rPr>
          <w:szCs w:val="24"/>
        </w:rPr>
        <w:t>l month of salary in the summer</w:t>
      </w:r>
      <w:r w:rsidR="00C6721A">
        <w:rPr>
          <w:rStyle w:val="FootnoteReference"/>
          <w:szCs w:val="24"/>
        </w:rPr>
        <w:footnoteReference w:id="1"/>
      </w:r>
      <w:r w:rsidR="009D5E87">
        <w:rPr>
          <w:szCs w:val="24"/>
        </w:rPr>
        <w:t>.</w:t>
      </w:r>
      <w:r w:rsidR="00A162B0">
        <w:rPr>
          <w:szCs w:val="24"/>
        </w:rPr>
        <w:t xml:space="preserve"> </w:t>
      </w:r>
      <w:r w:rsidR="00C6721A">
        <w:rPr>
          <w:szCs w:val="24"/>
        </w:rPr>
        <w:t>P</w:t>
      </w:r>
      <w:r w:rsidR="00CB4F73" w:rsidRPr="0049354F">
        <w:rPr>
          <w:szCs w:val="24"/>
        </w:rPr>
        <w:t>rogram coordinators</w:t>
      </w:r>
      <w:r w:rsidR="009D5E87">
        <w:rPr>
          <w:szCs w:val="24"/>
        </w:rPr>
        <w:t xml:space="preserve"> now have</w:t>
      </w:r>
      <w:r w:rsidR="00C6721A">
        <w:rPr>
          <w:szCs w:val="24"/>
        </w:rPr>
        <w:t xml:space="preserve"> time </w:t>
      </w:r>
      <w:r w:rsidR="00CB4F73" w:rsidRPr="0049354F">
        <w:rPr>
          <w:szCs w:val="24"/>
        </w:rPr>
        <w:t>to</w:t>
      </w:r>
      <w:r w:rsidR="003B423F" w:rsidRPr="0049354F">
        <w:rPr>
          <w:szCs w:val="24"/>
        </w:rPr>
        <w:t xml:space="preserve"> </w:t>
      </w:r>
      <w:r w:rsidR="00B57151" w:rsidRPr="0049354F">
        <w:rPr>
          <w:szCs w:val="24"/>
        </w:rPr>
        <w:t>compile</w:t>
      </w:r>
      <w:r w:rsidR="003B423F" w:rsidRPr="0049354F">
        <w:rPr>
          <w:szCs w:val="24"/>
        </w:rPr>
        <w:t xml:space="preserve"> data collected durin</w:t>
      </w:r>
      <w:r w:rsidR="008D3D9F" w:rsidRPr="0049354F">
        <w:rPr>
          <w:szCs w:val="24"/>
        </w:rPr>
        <w:t>g the academ</w:t>
      </w:r>
      <w:r w:rsidR="00B57151" w:rsidRPr="0049354F">
        <w:rPr>
          <w:szCs w:val="24"/>
        </w:rPr>
        <w:t xml:space="preserve">ic year into a </w:t>
      </w:r>
      <w:r w:rsidR="00B07B2E" w:rsidRPr="0049354F">
        <w:rPr>
          <w:szCs w:val="24"/>
        </w:rPr>
        <w:t xml:space="preserve">comprehensive </w:t>
      </w:r>
      <w:r w:rsidR="00C6721A">
        <w:rPr>
          <w:szCs w:val="24"/>
        </w:rPr>
        <w:t>annual</w:t>
      </w:r>
      <w:r w:rsidR="00B07B2E" w:rsidRPr="0049354F">
        <w:rPr>
          <w:szCs w:val="24"/>
        </w:rPr>
        <w:t xml:space="preserve"> report</w:t>
      </w:r>
      <w:r w:rsidR="00A162B0">
        <w:rPr>
          <w:szCs w:val="24"/>
        </w:rPr>
        <w:t xml:space="preserve">, </w:t>
      </w:r>
      <w:r w:rsidR="00C86F3A">
        <w:rPr>
          <w:szCs w:val="24"/>
        </w:rPr>
        <w:t>to</w:t>
      </w:r>
      <w:r w:rsidR="00A162B0">
        <w:rPr>
          <w:szCs w:val="24"/>
        </w:rPr>
        <w:t xml:space="preserve"> </w:t>
      </w:r>
      <w:r w:rsidR="00B07B2E" w:rsidRPr="0049354F">
        <w:rPr>
          <w:szCs w:val="24"/>
        </w:rPr>
        <w:t>be used fo</w:t>
      </w:r>
      <w:r w:rsidR="00216900" w:rsidRPr="0049354F">
        <w:rPr>
          <w:szCs w:val="24"/>
        </w:rPr>
        <w:t xml:space="preserve">r strategic planning and program </w:t>
      </w:r>
      <w:r w:rsidR="00A162B0">
        <w:rPr>
          <w:szCs w:val="24"/>
        </w:rPr>
        <w:t>improvements</w:t>
      </w:r>
      <w:r w:rsidR="009D5E87">
        <w:rPr>
          <w:szCs w:val="24"/>
        </w:rPr>
        <w:t xml:space="preserve"> during the </w:t>
      </w:r>
      <w:r w:rsidR="00703BC0">
        <w:rPr>
          <w:szCs w:val="24"/>
        </w:rPr>
        <w:t>subsequent</w:t>
      </w:r>
      <w:r w:rsidR="009D5E87">
        <w:rPr>
          <w:szCs w:val="24"/>
        </w:rPr>
        <w:t xml:space="preserve"> academic year</w:t>
      </w:r>
      <w:r w:rsidR="00216900">
        <w:rPr>
          <w:szCs w:val="24"/>
        </w:rPr>
        <w:t>.</w:t>
      </w:r>
      <w:r w:rsidR="00B07B2E">
        <w:rPr>
          <w:szCs w:val="24"/>
        </w:rPr>
        <w:t xml:space="preserve"> </w:t>
      </w:r>
      <w:r w:rsidR="00C6721A">
        <w:rPr>
          <w:szCs w:val="24"/>
        </w:rPr>
        <w:t xml:space="preserve"> </w:t>
      </w:r>
    </w:p>
    <w:p w:rsidR="00C6721A" w:rsidRDefault="00C6721A" w:rsidP="00C6721A">
      <w:pPr>
        <w:spacing w:after="0"/>
        <w:rPr>
          <w:szCs w:val="24"/>
        </w:rPr>
      </w:pPr>
    </w:p>
    <w:p w:rsidR="0049354F" w:rsidRPr="0049354F" w:rsidRDefault="0049354F" w:rsidP="0049354F">
      <w:pPr>
        <w:spacing w:after="0"/>
        <w:rPr>
          <w:szCs w:val="24"/>
          <w:u w:val="single"/>
        </w:rPr>
      </w:pPr>
      <w:r w:rsidRPr="0049354F">
        <w:rPr>
          <w:szCs w:val="24"/>
          <w:u w:val="single"/>
        </w:rPr>
        <w:t>Data-Driven Changes</w:t>
      </w:r>
    </w:p>
    <w:p w:rsidR="0049354F" w:rsidRDefault="00DF3507" w:rsidP="0049354F">
      <w:pPr>
        <w:spacing w:after="0"/>
        <w:rPr>
          <w:szCs w:val="24"/>
        </w:rPr>
      </w:pPr>
      <w:r>
        <w:rPr>
          <w:szCs w:val="24"/>
        </w:rPr>
        <w:t>Few</w:t>
      </w:r>
      <w:r w:rsidR="00871026">
        <w:rPr>
          <w:szCs w:val="24"/>
        </w:rPr>
        <w:t xml:space="preserve"> of the changes</w:t>
      </w:r>
      <w:r>
        <w:rPr>
          <w:szCs w:val="24"/>
        </w:rPr>
        <w:t xml:space="preserve"> we</w:t>
      </w:r>
      <w:r w:rsidR="00871026">
        <w:rPr>
          <w:szCs w:val="24"/>
        </w:rPr>
        <w:t xml:space="preserve"> made </w:t>
      </w:r>
      <w:r>
        <w:rPr>
          <w:szCs w:val="24"/>
        </w:rPr>
        <w:t xml:space="preserve">this past </w:t>
      </w:r>
      <w:r w:rsidR="00A162B0">
        <w:rPr>
          <w:szCs w:val="24"/>
        </w:rPr>
        <w:t xml:space="preserve">academic </w:t>
      </w:r>
      <w:r>
        <w:rPr>
          <w:szCs w:val="24"/>
        </w:rPr>
        <w:t xml:space="preserve">year </w:t>
      </w:r>
      <w:r w:rsidR="00871026">
        <w:rPr>
          <w:szCs w:val="24"/>
        </w:rPr>
        <w:t xml:space="preserve">can be linked </w:t>
      </w:r>
      <w:r w:rsidR="00F178B5">
        <w:rPr>
          <w:szCs w:val="24"/>
        </w:rPr>
        <w:t xml:space="preserve">directly </w:t>
      </w:r>
      <w:r w:rsidR="00871026">
        <w:rPr>
          <w:szCs w:val="24"/>
        </w:rPr>
        <w:t xml:space="preserve">back to </w:t>
      </w:r>
      <w:r w:rsidR="001C7895">
        <w:rPr>
          <w:szCs w:val="24"/>
        </w:rPr>
        <w:t xml:space="preserve">our targeted measures in </w:t>
      </w:r>
      <w:r>
        <w:rPr>
          <w:szCs w:val="24"/>
        </w:rPr>
        <w:t xml:space="preserve">Criterion 1.2.  However, all of the changes made were informed by data, and followed the program’s policies and procedures for shared governance.  Most involved </w:t>
      </w:r>
      <w:r w:rsidR="00AA1335">
        <w:rPr>
          <w:szCs w:val="24"/>
        </w:rPr>
        <w:t>input from program constituents, which complies with 2016 Criterion F1</w:t>
      </w:r>
      <w:r w:rsidR="00DE31C8">
        <w:rPr>
          <w:szCs w:val="24"/>
        </w:rPr>
        <w:t xml:space="preserve">, and </w:t>
      </w:r>
      <w:r w:rsidR="00A162B0">
        <w:rPr>
          <w:szCs w:val="24"/>
        </w:rPr>
        <w:t xml:space="preserve">from </w:t>
      </w:r>
      <w:r w:rsidR="00DE31C8">
        <w:rPr>
          <w:szCs w:val="24"/>
        </w:rPr>
        <w:t xml:space="preserve">students, which complies with </w:t>
      </w:r>
      <w:r w:rsidR="00277031">
        <w:rPr>
          <w:szCs w:val="24"/>
        </w:rPr>
        <w:t xml:space="preserve">2016 </w:t>
      </w:r>
      <w:r w:rsidR="00DE31C8">
        <w:rPr>
          <w:szCs w:val="24"/>
        </w:rPr>
        <w:t>Criterion A3</w:t>
      </w:r>
      <w:r w:rsidR="00AA1335">
        <w:rPr>
          <w:szCs w:val="24"/>
        </w:rPr>
        <w:t xml:space="preserve">. </w:t>
      </w:r>
      <w:r w:rsidR="009C1C29">
        <w:rPr>
          <w:szCs w:val="24"/>
        </w:rPr>
        <w:t xml:space="preserve"> </w:t>
      </w:r>
    </w:p>
    <w:p w:rsidR="0049354F" w:rsidRDefault="0049354F" w:rsidP="0049354F">
      <w:pPr>
        <w:spacing w:after="0"/>
        <w:rPr>
          <w:szCs w:val="24"/>
        </w:rPr>
      </w:pPr>
    </w:p>
    <w:p w:rsidR="009C1C29" w:rsidRDefault="0049354F" w:rsidP="0049354F">
      <w:pPr>
        <w:spacing w:after="0"/>
        <w:rPr>
          <w:szCs w:val="24"/>
        </w:rPr>
      </w:pPr>
      <w:r>
        <w:rPr>
          <w:szCs w:val="24"/>
        </w:rPr>
        <w:t xml:space="preserve">The following table </w:t>
      </w:r>
      <w:r w:rsidR="009C1C29">
        <w:rPr>
          <w:szCs w:val="24"/>
        </w:rPr>
        <w:t>presents some of the changes</w:t>
      </w:r>
      <w:r w:rsidR="004815EA">
        <w:rPr>
          <w:szCs w:val="24"/>
        </w:rPr>
        <w:t xml:space="preserve"> made</w:t>
      </w:r>
      <w:r w:rsidR="009C1C29">
        <w:rPr>
          <w:szCs w:val="24"/>
        </w:rPr>
        <w:t xml:space="preserve"> and the data </w:t>
      </w:r>
      <w:r w:rsidR="00F129BC">
        <w:rPr>
          <w:szCs w:val="24"/>
        </w:rPr>
        <w:t>source</w:t>
      </w:r>
      <w:r w:rsidR="009D5E87">
        <w:rPr>
          <w:szCs w:val="24"/>
        </w:rPr>
        <w:t>(s)</w:t>
      </w:r>
      <w:r w:rsidR="00F129BC">
        <w:rPr>
          <w:szCs w:val="24"/>
        </w:rPr>
        <w:t xml:space="preserve"> </w:t>
      </w:r>
      <w:r w:rsidR="009C1C29">
        <w:rPr>
          <w:szCs w:val="24"/>
        </w:rPr>
        <w:t xml:space="preserve">that informed them. </w:t>
      </w:r>
      <w:r w:rsidR="006C6320">
        <w:rPr>
          <w:szCs w:val="24"/>
        </w:rPr>
        <w:t xml:space="preserve"> Some of </w:t>
      </w:r>
      <w:r w:rsidR="00F178B5">
        <w:rPr>
          <w:szCs w:val="24"/>
        </w:rPr>
        <w:t xml:space="preserve">these changes are detailed </w:t>
      </w:r>
      <w:r w:rsidR="006C6320">
        <w:rPr>
          <w:szCs w:val="24"/>
        </w:rPr>
        <w:t xml:space="preserve">elsewhere </w:t>
      </w:r>
      <w:r w:rsidR="00A162B0">
        <w:rPr>
          <w:szCs w:val="24"/>
        </w:rPr>
        <w:t>with</w:t>
      </w:r>
      <w:r w:rsidR="006C6320">
        <w:rPr>
          <w:szCs w:val="24"/>
        </w:rPr>
        <w:t xml:space="preserve">in this </w:t>
      </w:r>
      <w:r w:rsidR="00A162B0">
        <w:rPr>
          <w:szCs w:val="24"/>
        </w:rPr>
        <w:t>interim report</w:t>
      </w:r>
      <w:r w:rsidR="00F129BC">
        <w:rPr>
          <w:szCs w:val="24"/>
        </w:rPr>
        <w:t>,</w:t>
      </w:r>
      <w:r w:rsidR="006C6320">
        <w:rPr>
          <w:szCs w:val="24"/>
        </w:rPr>
        <w:t xml:space="preserve"> and </w:t>
      </w:r>
      <w:r w:rsidR="00F178B5">
        <w:rPr>
          <w:szCs w:val="24"/>
        </w:rPr>
        <w:t xml:space="preserve">some of the data sources are </w:t>
      </w:r>
      <w:r w:rsidR="006C6320">
        <w:rPr>
          <w:szCs w:val="24"/>
        </w:rPr>
        <w:t xml:space="preserve">presented en toto in the appendices.  </w:t>
      </w:r>
    </w:p>
    <w:p w:rsidR="008E4F7F" w:rsidRDefault="008E4F7F" w:rsidP="0049354F">
      <w:pPr>
        <w:spacing w:after="0"/>
        <w:rPr>
          <w:szCs w:val="24"/>
        </w:rPr>
      </w:pPr>
    </w:p>
    <w:p w:rsidR="008E4F7F" w:rsidRDefault="008E4F7F" w:rsidP="0049354F">
      <w:pPr>
        <w:spacing w:after="0"/>
        <w:rPr>
          <w:szCs w:val="24"/>
        </w:rPr>
      </w:pPr>
    </w:p>
    <w:p w:rsidR="008E4F7F" w:rsidRDefault="008E4F7F" w:rsidP="0049354F">
      <w:pPr>
        <w:spacing w:after="0"/>
        <w:rPr>
          <w:szCs w:val="24"/>
        </w:rPr>
      </w:pPr>
    </w:p>
    <w:p w:rsidR="008E4F7F" w:rsidRDefault="008E4F7F" w:rsidP="0049354F">
      <w:pPr>
        <w:spacing w:after="0"/>
        <w:rPr>
          <w:szCs w:val="24"/>
        </w:rPr>
      </w:pPr>
    </w:p>
    <w:p w:rsidR="008E4F7F" w:rsidRDefault="008E4F7F" w:rsidP="0049354F">
      <w:pPr>
        <w:spacing w:after="0"/>
        <w:rPr>
          <w:szCs w:val="24"/>
        </w:rPr>
      </w:pPr>
    </w:p>
    <w:p w:rsidR="00F178B5" w:rsidRDefault="00F178B5" w:rsidP="00AB67C4">
      <w:pPr>
        <w:spacing w:after="0"/>
        <w:rPr>
          <w:color w:val="010101"/>
          <w:szCs w:val="24"/>
        </w:rPr>
      </w:pPr>
    </w:p>
    <w:tbl>
      <w:tblPr>
        <w:tblStyle w:val="TableGrid"/>
        <w:tblW w:w="9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575"/>
      </w:tblGrid>
      <w:tr w:rsidR="007B7FFC" w:rsidTr="00CE16C4">
        <w:tc>
          <w:tcPr>
            <w:tcW w:w="3145" w:type="dxa"/>
            <w:tcBorders>
              <w:top w:val="single" w:sz="4" w:space="0" w:color="auto"/>
              <w:bottom w:val="single" w:sz="4" w:space="0" w:color="auto"/>
            </w:tcBorders>
          </w:tcPr>
          <w:p w:rsidR="007B7FFC" w:rsidRPr="00CE16C4" w:rsidRDefault="007B7FFC" w:rsidP="00AB67C4">
            <w:pPr>
              <w:rPr>
                <w:b/>
                <w:color w:val="010101"/>
                <w:szCs w:val="24"/>
              </w:rPr>
            </w:pPr>
            <w:r w:rsidRPr="00CE16C4">
              <w:rPr>
                <w:b/>
                <w:color w:val="010101"/>
                <w:szCs w:val="24"/>
              </w:rPr>
              <w:t>Change</w:t>
            </w:r>
            <w:r w:rsidR="00A56E9E" w:rsidRPr="00CE16C4">
              <w:rPr>
                <w:b/>
                <w:color w:val="010101"/>
                <w:szCs w:val="24"/>
              </w:rPr>
              <w:t xml:space="preserve"> Implemented</w:t>
            </w:r>
          </w:p>
        </w:tc>
        <w:tc>
          <w:tcPr>
            <w:tcW w:w="6575" w:type="dxa"/>
            <w:tcBorders>
              <w:top w:val="single" w:sz="4" w:space="0" w:color="auto"/>
              <w:bottom w:val="single" w:sz="4" w:space="0" w:color="auto"/>
            </w:tcBorders>
          </w:tcPr>
          <w:p w:rsidR="007B7FFC" w:rsidRPr="00CE16C4" w:rsidRDefault="007B7FFC" w:rsidP="00AB67C4">
            <w:pPr>
              <w:rPr>
                <w:b/>
                <w:color w:val="010101"/>
                <w:szCs w:val="24"/>
              </w:rPr>
            </w:pPr>
            <w:r w:rsidRPr="00CE16C4">
              <w:rPr>
                <w:b/>
                <w:color w:val="010101"/>
                <w:szCs w:val="24"/>
              </w:rPr>
              <w:t>Informed by</w:t>
            </w:r>
          </w:p>
        </w:tc>
      </w:tr>
      <w:tr w:rsidR="0081036C" w:rsidTr="00CE16C4">
        <w:tc>
          <w:tcPr>
            <w:tcW w:w="3145" w:type="dxa"/>
            <w:tcBorders>
              <w:top w:val="single" w:sz="4" w:space="0" w:color="auto"/>
              <w:bottom w:val="single" w:sz="4" w:space="0" w:color="A5A5A5" w:themeColor="accent3"/>
            </w:tcBorders>
          </w:tcPr>
          <w:p w:rsidR="0081036C" w:rsidRDefault="0081036C" w:rsidP="00AB67C4">
            <w:pPr>
              <w:rPr>
                <w:color w:val="010101"/>
                <w:szCs w:val="24"/>
              </w:rPr>
            </w:pPr>
            <w:r>
              <w:rPr>
                <w:color w:val="010101"/>
                <w:szCs w:val="24"/>
              </w:rPr>
              <w:t>Revised committee structure</w:t>
            </w:r>
          </w:p>
        </w:tc>
        <w:tc>
          <w:tcPr>
            <w:tcW w:w="6575" w:type="dxa"/>
            <w:tcBorders>
              <w:top w:val="single" w:sz="4" w:space="0" w:color="auto"/>
              <w:bottom w:val="single" w:sz="4" w:space="0" w:color="A5A5A5" w:themeColor="accent3"/>
            </w:tcBorders>
          </w:tcPr>
          <w:p w:rsidR="0081036C" w:rsidRDefault="0081036C" w:rsidP="00AB67C4">
            <w:pPr>
              <w:rPr>
                <w:color w:val="010101"/>
                <w:szCs w:val="24"/>
              </w:rPr>
            </w:pPr>
            <w:r>
              <w:rPr>
                <w:color w:val="010101"/>
                <w:szCs w:val="24"/>
              </w:rPr>
              <w:t>Self-Study</w:t>
            </w:r>
          </w:p>
        </w:tc>
      </w:tr>
      <w:tr w:rsidR="007B7FFC" w:rsidTr="00CE16C4">
        <w:tc>
          <w:tcPr>
            <w:tcW w:w="3145" w:type="dxa"/>
            <w:tcBorders>
              <w:top w:val="single" w:sz="4" w:space="0" w:color="A5A5A5" w:themeColor="accent3"/>
              <w:bottom w:val="single" w:sz="4" w:space="0" w:color="A5A5A5" w:themeColor="accent3"/>
            </w:tcBorders>
          </w:tcPr>
          <w:p w:rsidR="007B7FFC" w:rsidRDefault="007B7FFC" w:rsidP="00AB67C4">
            <w:pPr>
              <w:rPr>
                <w:color w:val="010101"/>
                <w:szCs w:val="24"/>
              </w:rPr>
            </w:pPr>
            <w:r>
              <w:rPr>
                <w:color w:val="010101"/>
                <w:szCs w:val="24"/>
              </w:rPr>
              <w:t>Revised MPH core curriculum</w:t>
            </w:r>
          </w:p>
        </w:tc>
        <w:tc>
          <w:tcPr>
            <w:tcW w:w="6575" w:type="dxa"/>
            <w:tcBorders>
              <w:top w:val="single" w:sz="4" w:space="0" w:color="A5A5A5" w:themeColor="accent3"/>
              <w:bottom w:val="single" w:sz="4" w:space="0" w:color="A5A5A5" w:themeColor="accent3"/>
            </w:tcBorders>
          </w:tcPr>
          <w:p w:rsidR="007B7FFC" w:rsidRDefault="007B7FFC" w:rsidP="00AB67C4">
            <w:pPr>
              <w:rPr>
                <w:color w:val="010101"/>
                <w:szCs w:val="24"/>
              </w:rPr>
            </w:pPr>
            <w:r>
              <w:rPr>
                <w:color w:val="010101"/>
                <w:szCs w:val="24"/>
              </w:rPr>
              <w:t>Curricular competency alignment by MPH faculty (2016 Criteria)</w:t>
            </w:r>
          </w:p>
          <w:p w:rsidR="007B7FFC" w:rsidRDefault="007B7FFC" w:rsidP="00C71AC5">
            <w:pPr>
              <w:rPr>
                <w:color w:val="010101"/>
                <w:szCs w:val="24"/>
              </w:rPr>
            </w:pPr>
            <w:r>
              <w:rPr>
                <w:color w:val="010101"/>
                <w:szCs w:val="24"/>
              </w:rPr>
              <w:t>Modified nominal group technique to identify</w:t>
            </w:r>
            <w:r w:rsidR="00C71AC5">
              <w:rPr>
                <w:color w:val="010101"/>
                <w:szCs w:val="24"/>
              </w:rPr>
              <w:t xml:space="preserve"> d</w:t>
            </w:r>
            <w:r>
              <w:rPr>
                <w:color w:val="010101"/>
                <w:szCs w:val="24"/>
              </w:rPr>
              <w:t>esired MPH skills</w:t>
            </w:r>
            <w:r w:rsidR="00C71AC5">
              <w:rPr>
                <w:color w:val="010101"/>
                <w:szCs w:val="24"/>
              </w:rPr>
              <w:t xml:space="preserve"> </w:t>
            </w:r>
            <w:r w:rsidR="00CE16C4">
              <w:rPr>
                <w:color w:val="010101"/>
                <w:szCs w:val="24"/>
              </w:rPr>
              <w:t>(</w:t>
            </w:r>
            <w:r w:rsidR="00C71AC5">
              <w:rPr>
                <w:color w:val="010101"/>
                <w:szCs w:val="24"/>
              </w:rPr>
              <w:t xml:space="preserve">with </w:t>
            </w:r>
            <w:r w:rsidR="00D1502E">
              <w:rPr>
                <w:color w:val="010101"/>
                <w:szCs w:val="24"/>
              </w:rPr>
              <w:t xml:space="preserve">both </w:t>
            </w:r>
            <w:r w:rsidR="00C71AC5">
              <w:rPr>
                <w:color w:val="010101"/>
                <w:szCs w:val="24"/>
              </w:rPr>
              <w:t>MPH Committee and Advisory Committee</w:t>
            </w:r>
            <w:r w:rsidR="00CE16C4">
              <w:rPr>
                <w:color w:val="010101"/>
                <w:szCs w:val="24"/>
              </w:rPr>
              <w:t>)</w:t>
            </w:r>
          </w:p>
        </w:tc>
      </w:tr>
      <w:tr w:rsidR="007B7FFC" w:rsidTr="00CE16C4">
        <w:tc>
          <w:tcPr>
            <w:tcW w:w="3145" w:type="dxa"/>
            <w:tcBorders>
              <w:top w:val="single" w:sz="4" w:space="0" w:color="A5A5A5" w:themeColor="accent3"/>
              <w:bottom w:val="single" w:sz="4" w:space="0" w:color="A5A5A5" w:themeColor="accent3"/>
            </w:tcBorders>
          </w:tcPr>
          <w:p w:rsidR="007B7FFC" w:rsidRDefault="00A34C3C" w:rsidP="00AB67C4">
            <w:pPr>
              <w:rPr>
                <w:color w:val="010101"/>
                <w:szCs w:val="24"/>
              </w:rPr>
            </w:pPr>
            <w:r>
              <w:rPr>
                <w:color w:val="010101"/>
                <w:szCs w:val="24"/>
              </w:rPr>
              <w:t>Eliminated health education and environmental health</w:t>
            </w:r>
            <w:r w:rsidR="007B7FFC">
              <w:rPr>
                <w:color w:val="010101"/>
                <w:szCs w:val="24"/>
              </w:rPr>
              <w:t xml:space="preserve"> concentrations</w:t>
            </w:r>
          </w:p>
        </w:tc>
        <w:tc>
          <w:tcPr>
            <w:tcW w:w="6575" w:type="dxa"/>
            <w:tcBorders>
              <w:top w:val="single" w:sz="4" w:space="0" w:color="A5A5A5" w:themeColor="accent3"/>
              <w:bottom w:val="single" w:sz="4" w:space="0" w:color="A5A5A5" w:themeColor="accent3"/>
            </w:tcBorders>
          </w:tcPr>
          <w:p w:rsidR="007C2DDB" w:rsidRDefault="007C2DDB" w:rsidP="00AB67C4">
            <w:pPr>
              <w:rPr>
                <w:color w:val="010101"/>
                <w:szCs w:val="24"/>
              </w:rPr>
            </w:pPr>
            <w:r>
              <w:rPr>
                <w:color w:val="010101"/>
                <w:szCs w:val="24"/>
              </w:rPr>
              <w:t>Enrollment data</w:t>
            </w:r>
          </w:p>
          <w:p w:rsidR="007B7FFC" w:rsidRDefault="008F2491" w:rsidP="00AB67C4">
            <w:pPr>
              <w:rPr>
                <w:color w:val="010101"/>
                <w:szCs w:val="24"/>
              </w:rPr>
            </w:pPr>
            <w:r>
              <w:rPr>
                <w:color w:val="010101"/>
                <w:szCs w:val="24"/>
              </w:rPr>
              <w:t>Faculty concentration survey</w:t>
            </w:r>
          </w:p>
          <w:p w:rsidR="007B7FFC" w:rsidRDefault="007B7FFC" w:rsidP="00AB67C4">
            <w:pPr>
              <w:rPr>
                <w:color w:val="010101"/>
                <w:szCs w:val="24"/>
              </w:rPr>
            </w:pPr>
            <w:r>
              <w:rPr>
                <w:color w:val="010101"/>
                <w:szCs w:val="24"/>
              </w:rPr>
              <w:t>I</w:t>
            </w:r>
            <w:r w:rsidR="005043C4">
              <w:rPr>
                <w:color w:val="010101"/>
                <w:szCs w:val="24"/>
              </w:rPr>
              <w:t>nformal i</w:t>
            </w:r>
            <w:r>
              <w:rPr>
                <w:color w:val="010101"/>
                <w:szCs w:val="24"/>
              </w:rPr>
              <w:t>nterviews with students and alumni</w:t>
            </w:r>
          </w:p>
          <w:p w:rsidR="007B7FFC" w:rsidRDefault="007B7FFC" w:rsidP="00AB67C4">
            <w:pPr>
              <w:rPr>
                <w:color w:val="010101"/>
                <w:szCs w:val="24"/>
              </w:rPr>
            </w:pPr>
            <w:r>
              <w:rPr>
                <w:color w:val="010101"/>
                <w:szCs w:val="24"/>
              </w:rPr>
              <w:t>Discussion with Curricular Trans</w:t>
            </w:r>
            <w:r w:rsidR="009677C1">
              <w:rPr>
                <w:color w:val="010101"/>
                <w:szCs w:val="24"/>
              </w:rPr>
              <w:t xml:space="preserve">ition Steering Committee </w:t>
            </w:r>
          </w:p>
        </w:tc>
      </w:tr>
      <w:tr w:rsidR="007B7FFC" w:rsidTr="00CE16C4">
        <w:tc>
          <w:tcPr>
            <w:tcW w:w="3145" w:type="dxa"/>
            <w:tcBorders>
              <w:top w:val="single" w:sz="4" w:space="0" w:color="A5A5A5" w:themeColor="accent3"/>
              <w:bottom w:val="single" w:sz="4" w:space="0" w:color="A5A5A5" w:themeColor="accent3"/>
            </w:tcBorders>
          </w:tcPr>
          <w:p w:rsidR="007B7FFC" w:rsidRDefault="00231F60" w:rsidP="00AB67C4">
            <w:pPr>
              <w:rPr>
                <w:color w:val="010101"/>
                <w:szCs w:val="24"/>
              </w:rPr>
            </w:pPr>
            <w:r>
              <w:rPr>
                <w:color w:val="010101"/>
                <w:szCs w:val="24"/>
              </w:rPr>
              <w:t>Course content revisions</w:t>
            </w:r>
            <w:r w:rsidR="00B3728D">
              <w:rPr>
                <w:color w:val="010101"/>
                <w:szCs w:val="24"/>
              </w:rPr>
              <w:t xml:space="preserve"> (in progress)</w:t>
            </w:r>
            <w:r w:rsidR="00E93EF6">
              <w:rPr>
                <w:color w:val="010101"/>
                <w:szCs w:val="24"/>
              </w:rPr>
              <w:t xml:space="preserve"> and additions</w:t>
            </w:r>
          </w:p>
        </w:tc>
        <w:tc>
          <w:tcPr>
            <w:tcW w:w="6575" w:type="dxa"/>
            <w:tcBorders>
              <w:top w:val="single" w:sz="4" w:space="0" w:color="A5A5A5" w:themeColor="accent3"/>
              <w:bottom w:val="single" w:sz="4" w:space="0" w:color="A5A5A5" w:themeColor="accent3"/>
            </w:tcBorders>
          </w:tcPr>
          <w:p w:rsidR="00231F60" w:rsidRDefault="00231F60" w:rsidP="00AB67C4">
            <w:pPr>
              <w:rPr>
                <w:color w:val="010101"/>
                <w:szCs w:val="24"/>
              </w:rPr>
            </w:pPr>
            <w:r>
              <w:rPr>
                <w:color w:val="010101"/>
                <w:szCs w:val="24"/>
              </w:rPr>
              <w:t>Employer survey</w:t>
            </w:r>
          </w:p>
          <w:p w:rsidR="007B7FFC" w:rsidRDefault="00E56DEA" w:rsidP="00AB67C4">
            <w:pPr>
              <w:rPr>
                <w:color w:val="010101"/>
                <w:szCs w:val="24"/>
              </w:rPr>
            </w:pPr>
            <w:r>
              <w:rPr>
                <w:color w:val="010101"/>
                <w:szCs w:val="24"/>
              </w:rPr>
              <w:t xml:space="preserve">MPH </w:t>
            </w:r>
            <w:r w:rsidR="007E7F9B">
              <w:rPr>
                <w:color w:val="010101"/>
                <w:szCs w:val="24"/>
              </w:rPr>
              <w:t>student exit s</w:t>
            </w:r>
            <w:r w:rsidR="007B7FFC">
              <w:rPr>
                <w:color w:val="010101"/>
                <w:szCs w:val="24"/>
              </w:rPr>
              <w:t>urvey</w:t>
            </w:r>
            <w:r w:rsidR="007C2DDB">
              <w:rPr>
                <w:color w:val="010101"/>
                <w:szCs w:val="24"/>
              </w:rPr>
              <w:t>s</w:t>
            </w:r>
          </w:p>
          <w:p w:rsidR="001C7895" w:rsidRDefault="001C7895" w:rsidP="00AB67C4">
            <w:pPr>
              <w:rPr>
                <w:color w:val="010101"/>
                <w:szCs w:val="24"/>
              </w:rPr>
            </w:pPr>
            <w:r>
              <w:rPr>
                <w:color w:val="010101"/>
                <w:szCs w:val="24"/>
              </w:rPr>
              <w:t>BSPH student exit surveys</w:t>
            </w:r>
          </w:p>
          <w:p w:rsidR="00231F60" w:rsidRDefault="00231F60" w:rsidP="00AB67C4">
            <w:pPr>
              <w:rPr>
                <w:color w:val="010101"/>
                <w:szCs w:val="24"/>
              </w:rPr>
            </w:pPr>
            <w:r>
              <w:rPr>
                <w:color w:val="010101"/>
                <w:szCs w:val="24"/>
              </w:rPr>
              <w:t>Key informant interviews</w:t>
            </w:r>
          </w:p>
          <w:p w:rsidR="007B7FFC" w:rsidRDefault="007B7FFC" w:rsidP="00AB67C4">
            <w:pPr>
              <w:rPr>
                <w:color w:val="010101"/>
                <w:szCs w:val="24"/>
              </w:rPr>
            </w:pPr>
            <w:r>
              <w:rPr>
                <w:color w:val="010101"/>
                <w:szCs w:val="24"/>
              </w:rPr>
              <w:t>Advisory Committee recommendations</w:t>
            </w:r>
          </w:p>
        </w:tc>
      </w:tr>
      <w:tr w:rsidR="007B7FFC" w:rsidTr="00CE16C4">
        <w:tc>
          <w:tcPr>
            <w:tcW w:w="3145" w:type="dxa"/>
            <w:tcBorders>
              <w:top w:val="single" w:sz="4" w:space="0" w:color="A5A5A5" w:themeColor="accent3"/>
              <w:bottom w:val="single" w:sz="4" w:space="0" w:color="A5A5A5" w:themeColor="accent3"/>
            </w:tcBorders>
          </w:tcPr>
          <w:p w:rsidR="007B7FFC" w:rsidRDefault="00AA1335" w:rsidP="00AA1335">
            <w:pPr>
              <w:rPr>
                <w:color w:val="010101"/>
                <w:szCs w:val="24"/>
              </w:rPr>
            </w:pPr>
            <w:r>
              <w:rPr>
                <w:color w:val="010101"/>
                <w:szCs w:val="24"/>
              </w:rPr>
              <w:t>Revised MPH internship policy and p</w:t>
            </w:r>
            <w:r w:rsidR="00E56DEA">
              <w:rPr>
                <w:color w:val="010101"/>
                <w:szCs w:val="24"/>
              </w:rPr>
              <w:t>rocedures</w:t>
            </w:r>
            <w:r w:rsidR="00FB6DBD">
              <w:rPr>
                <w:color w:val="010101"/>
                <w:szCs w:val="24"/>
              </w:rPr>
              <w:t xml:space="preserve"> </w:t>
            </w:r>
          </w:p>
        </w:tc>
        <w:tc>
          <w:tcPr>
            <w:tcW w:w="6575" w:type="dxa"/>
            <w:tcBorders>
              <w:top w:val="single" w:sz="4" w:space="0" w:color="A5A5A5" w:themeColor="accent3"/>
              <w:bottom w:val="single" w:sz="4" w:space="0" w:color="A5A5A5" w:themeColor="accent3"/>
            </w:tcBorders>
          </w:tcPr>
          <w:p w:rsidR="007B7FFC" w:rsidRDefault="00FB6DBD" w:rsidP="00AB67C4">
            <w:pPr>
              <w:rPr>
                <w:color w:val="010101"/>
                <w:szCs w:val="24"/>
              </w:rPr>
            </w:pPr>
            <w:r>
              <w:rPr>
                <w:color w:val="010101"/>
                <w:szCs w:val="24"/>
              </w:rPr>
              <w:t>I</w:t>
            </w:r>
            <w:r w:rsidR="005043C4">
              <w:rPr>
                <w:color w:val="010101"/>
                <w:szCs w:val="24"/>
              </w:rPr>
              <w:t>nformal i</w:t>
            </w:r>
            <w:r>
              <w:rPr>
                <w:color w:val="010101"/>
                <w:szCs w:val="24"/>
              </w:rPr>
              <w:t>nterviews with students and alumni</w:t>
            </w:r>
          </w:p>
          <w:p w:rsidR="00E56DEA" w:rsidRDefault="00E56DEA" w:rsidP="00AB67C4">
            <w:pPr>
              <w:rPr>
                <w:color w:val="010101"/>
                <w:szCs w:val="24"/>
              </w:rPr>
            </w:pPr>
            <w:r>
              <w:rPr>
                <w:color w:val="010101"/>
                <w:szCs w:val="24"/>
              </w:rPr>
              <w:t>Preceptor feedback</w:t>
            </w:r>
            <w:r w:rsidR="00FB6DBD">
              <w:rPr>
                <w:color w:val="010101"/>
                <w:szCs w:val="24"/>
              </w:rPr>
              <w:t xml:space="preserve"> </w:t>
            </w:r>
          </w:p>
          <w:p w:rsidR="00FB6DBD" w:rsidRDefault="007E7F9B" w:rsidP="00AB67C4">
            <w:pPr>
              <w:rPr>
                <w:color w:val="010101"/>
                <w:szCs w:val="24"/>
              </w:rPr>
            </w:pPr>
            <w:r>
              <w:rPr>
                <w:color w:val="010101"/>
                <w:szCs w:val="24"/>
              </w:rPr>
              <w:t>Advisory Committee m</w:t>
            </w:r>
            <w:r w:rsidR="00FB6DBD">
              <w:rPr>
                <w:color w:val="010101"/>
                <w:szCs w:val="24"/>
              </w:rPr>
              <w:t>eeting</w:t>
            </w:r>
          </w:p>
        </w:tc>
      </w:tr>
      <w:tr w:rsidR="007B7FFC" w:rsidTr="00CE16C4">
        <w:tc>
          <w:tcPr>
            <w:tcW w:w="3145" w:type="dxa"/>
            <w:tcBorders>
              <w:top w:val="single" w:sz="4" w:space="0" w:color="A5A5A5" w:themeColor="accent3"/>
              <w:bottom w:val="single" w:sz="4" w:space="0" w:color="A5A5A5" w:themeColor="accent3"/>
            </w:tcBorders>
          </w:tcPr>
          <w:p w:rsidR="007B7FFC" w:rsidRDefault="00FB6DBD" w:rsidP="00374F4D">
            <w:pPr>
              <w:rPr>
                <w:color w:val="010101"/>
                <w:szCs w:val="24"/>
              </w:rPr>
            </w:pPr>
            <w:r>
              <w:rPr>
                <w:color w:val="010101"/>
                <w:szCs w:val="24"/>
              </w:rPr>
              <w:t xml:space="preserve">Revised </w:t>
            </w:r>
            <w:r w:rsidR="00D1502E">
              <w:rPr>
                <w:color w:val="010101"/>
                <w:szCs w:val="24"/>
              </w:rPr>
              <w:t>o</w:t>
            </w:r>
            <w:r>
              <w:rPr>
                <w:color w:val="010101"/>
                <w:szCs w:val="24"/>
              </w:rPr>
              <w:t>rientation</w:t>
            </w:r>
            <w:r w:rsidR="00D1502E">
              <w:rPr>
                <w:color w:val="010101"/>
                <w:szCs w:val="24"/>
              </w:rPr>
              <w:t xml:space="preserve"> and h</w:t>
            </w:r>
            <w:r>
              <w:rPr>
                <w:color w:val="010101"/>
                <w:szCs w:val="24"/>
              </w:rPr>
              <w:t>andbook</w:t>
            </w:r>
          </w:p>
        </w:tc>
        <w:tc>
          <w:tcPr>
            <w:tcW w:w="6575" w:type="dxa"/>
            <w:tcBorders>
              <w:top w:val="single" w:sz="4" w:space="0" w:color="A5A5A5" w:themeColor="accent3"/>
              <w:bottom w:val="single" w:sz="4" w:space="0" w:color="A5A5A5" w:themeColor="accent3"/>
            </w:tcBorders>
          </w:tcPr>
          <w:p w:rsidR="007B7FFC" w:rsidRDefault="00FB6DBD" w:rsidP="00AB67C4">
            <w:pPr>
              <w:rPr>
                <w:color w:val="010101"/>
                <w:szCs w:val="24"/>
              </w:rPr>
            </w:pPr>
            <w:r>
              <w:rPr>
                <w:color w:val="010101"/>
                <w:szCs w:val="24"/>
              </w:rPr>
              <w:t>M</w:t>
            </w:r>
            <w:r w:rsidR="007E7F9B">
              <w:rPr>
                <w:color w:val="010101"/>
                <w:szCs w:val="24"/>
              </w:rPr>
              <w:t>PH student exit s</w:t>
            </w:r>
            <w:r>
              <w:rPr>
                <w:color w:val="010101"/>
                <w:szCs w:val="24"/>
              </w:rPr>
              <w:t>urvey</w:t>
            </w:r>
          </w:p>
        </w:tc>
      </w:tr>
      <w:tr w:rsidR="00125971" w:rsidTr="00CE16C4">
        <w:tc>
          <w:tcPr>
            <w:tcW w:w="3145" w:type="dxa"/>
            <w:tcBorders>
              <w:top w:val="single" w:sz="4" w:space="0" w:color="A5A5A5" w:themeColor="accent3"/>
              <w:bottom w:val="single" w:sz="4" w:space="0" w:color="A5A5A5" w:themeColor="accent3"/>
            </w:tcBorders>
          </w:tcPr>
          <w:p w:rsidR="00125971" w:rsidRDefault="00125971" w:rsidP="00AB67C4">
            <w:pPr>
              <w:rPr>
                <w:color w:val="010101"/>
                <w:szCs w:val="24"/>
              </w:rPr>
            </w:pPr>
            <w:r>
              <w:rPr>
                <w:color w:val="010101"/>
                <w:szCs w:val="24"/>
              </w:rPr>
              <w:t>Increase diversity of advisory committee (in progress)</w:t>
            </w:r>
          </w:p>
        </w:tc>
        <w:tc>
          <w:tcPr>
            <w:tcW w:w="6575" w:type="dxa"/>
            <w:tcBorders>
              <w:top w:val="single" w:sz="4" w:space="0" w:color="A5A5A5" w:themeColor="accent3"/>
              <w:bottom w:val="single" w:sz="4" w:space="0" w:color="A5A5A5" w:themeColor="accent3"/>
            </w:tcBorders>
          </w:tcPr>
          <w:p w:rsidR="00125971" w:rsidRDefault="00125971" w:rsidP="009677C1">
            <w:pPr>
              <w:rPr>
                <w:color w:val="010101"/>
                <w:szCs w:val="24"/>
              </w:rPr>
            </w:pPr>
            <w:r>
              <w:rPr>
                <w:color w:val="010101"/>
                <w:szCs w:val="24"/>
              </w:rPr>
              <w:t>Comparison of active members to</w:t>
            </w:r>
            <w:r w:rsidR="009677C1">
              <w:rPr>
                <w:color w:val="010101"/>
                <w:szCs w:val="24"/>
              </w:rPr>
              <w:t xml:space="preserve"> identified </w:t>
            </w:r>
            <w:r>
              <w:rPr>
                <w:color w:val="010101"/>
                <w:szCs w:val="24"/>
              </w:rPr>
              <w:t>priority populations</w:t>
            </w:r>
          </w:p>
        </w:tc>
      </w:tr>
      <w:tr w:rsidR="00A34C3C" w:rsidTr="007E7F9B">
        <w:tc>
          <w:tcPr>
            <w:tcW w:w="3145" w:type="dxa"/>
            <w:tcBorders>
              <w:top w:val="single" w:sz="4" w:space="0" w:color="A5A5A5" w:themeColor="accent3"/>
              <w:bottom w:val="single" w:sz="4" w:space="0" w:color="A5A5A5" w:themeColor="accent3"/>
            </w:tcBorders>
          </w:tcPr>
          <w:p w:rsidR="00A34C3C" w:rsidRDefault="00A34C3C" w:rsidP="00AB67C4">
            <w:pPr>
              <w:rPr>
                <w:color w:val="010101"/>
                <w:szCs w:val="24"/>
              </w:rPr>
            </w:pPr>
            <w:r>
              <w:rPr>
                <w:color w:val="010101"/>
                <w:szCs w:val="24"/>
              </w:rPr>
              <w:t>Created online undergraduate certificate in public health</w:t>
            </w:r>
          </w:p>
        </w:tc>
        <w:tc>
          <w:tcPr>
            <w:tcW w:w="6575" w:type="dxa"/>
            <w:tcBorders>
              <w:top w:val="single" w:sz="4" w:space="0" w:color="A5A5A5" w:themeColor="accent3"/>
              <w:bottom w:val="single" w:sz="4" w:space="0" w:color="A5A5A5" w:themeColor="accent3"/>
            </w:tcBorders>
          </w:tcPr>
          <w:p w:rsidR="00A34C3C" w:rsidRDefault="009677C1" w:rsidP="00AB67C4">
            <w:pPr>
              <w:rPr>
                <w:color w:val="010101"/>
                <w:szCs w:val="24"/>
              </w:rPr>
            </w:pPr>
            <w:r>
              <w:rPr>
                <w:color w:val="010101"/>
                <w:szCs w:val="24"/>
              </w:rPr>
              <w:t>S</w:t>
            </w:r>
            <w:r w:rsidR="00A34C3C">
              <w:rPr>
                <w:color w:val="010101"/>
                <w:szCs w:val="24"/>
              </w:rPr>
              <w:t>tate-wide Building Epidemiologic Capac</w:t>
            </w:r>
            <w:r>
              <w:rPr>
                <w:color w:val="010101"/>
                <w:szCs w:val="24"/>
              </w:rPr>
              <w:t>ity in Kentucky (BECKY) meeting</w:t>
            </w:r>
          </w:p>
          <w:p w:rsidR="009677C1" w:rsidRDefault="009677C1" w:rsidP="00AB67C4">
            <w:pPr>
              <w:rPr>
                <w:color w:val="010101"/>
                <w:szCs w:val="24"/>
              </w:rPr>
            </w:pPr>
            <w:r>
              <w:rPr>
                <w:color w:val="010101"/>
                <w:szCs w:val="24"/>
              </w:rPr>
              <w:t>Discussions with health department leaders/managers</w:t>
            </w:r>
          </w:p>
        </w:tc>
      </w:tr>
      <w:tr w:rsidR="007E7F9B" w:rsidTr="00CE16C4">
        <w:tc>
          <w:tcPr>
            <w:tcW w:w="3145" w:type="dxa"/>
            <w:tcBorders>
              <w:top w:val="single" w:sz="4" w:space="0" w:color="A5A5A5" w:themeColor="accent3"/>
              <w:bottom w:val="single" w:sz="4" w:space="0" w:color="auto"/>
            </w:tcBorders>
          </w:tcPr>
          <w:p w:rsidR="007E7F9B" w:rsidRDefault="007E7F9B" w:rsidP="00871026">
            <w:pPr>
              <w:rPr>
                <w:color w:val="010101"/>
                <w:szCs w:val="24"/>
              </w:rPr>
            </w:pPr>
            <w:r>
              <w:rPr>
                <w:color w:val="010101"/>
                <w:szCs w:val="24"/>
              </w:rPr>
              <w:t>Created</w:t>
            </w:r>
            <w:r w:rsidR="00871026">
              <w:rPr>
                <w:color w:val="010101"/>
                <w:szCs w:val="24"/>
              </w:rPr>
              <w:t xml:space="preserve"> page to post </w:t>
            </w:r>
            <w:r w:rsidR="00AA1335">
              <w:rPr>
                <w:color w:val="010101"/>
                <w:szCs w:val="24"/>
              </w:rPr>
              <w:t xml:space="preserve">meeting </w:t>
            </w:r>
            <w:r w:rsidR="00871026">
              <w:rPr>
                <w:color w:val="010101"/>
                <w:szCs w:val="24"/>
              </w:rPr>
              <w:t>minutes and program documents to ensure</w:t>
            </w:r>
            <w:r>
              <w:rPr>
                <w:color w:val="010101"/>
                <w:szCs w:val="24"/>
              </w:rPr>
              <w:t xml:space="preserve"> transparency </w:t>
            </w:r>
            <w:r w:rsidR="00DF3507">
              <w:rPr>
                <w:color w:val="010101"/>
                <w:szCs w:val="24"/>
              </w:rPr>
              <w:t>and foster shared-gover</w:t>
            </w:r>
            <w:r w:rsidR="00AA1335">
              <w:rPr>
                <w:color w:val="010101"/>
                <w:szCs w:val="24"/>
              </w:rPr>
              <w:t>n</w:t>
            </w:r>
            <w:r w:rsidR="00DF3507">
              <w:rPr>
                <w:color w:val="010101"/>
                <w:szCs w:val="24"/>
              </w:rPr>
              <w:t>ance</w:t>
            </w:r>
          </w:p>
        </w:tc>
        <w:tc>
          <w:tcPr>
            <w:tcW w:w="6575" w:type="dxa"/>
            <w:tcBorders>
              <w:top w:val="single" w:sz="4" w:space="0" w:color="A5A5A5" w:themeColor="accent3"/>
              <w:bottom w:val="single" w:sz="4" w:space="0" w:color="auto"/>
            </w:tcBorders>
          </w:tcPr>
          <w:p w:rsidR="007E7F9B" w:rsidRDefault="000F2AF6" w:rsidP="00AB67C4">
            <w:pPr>
              <w:rPr>
                <w:color w:val="010101"/>
                <w:szCs w:val="24"/>
              </w:rPr>
            </w:pPr>
            <w:r>
              <w:rPr>
                <w:color w:val="010101"/>
                <w:szCs w:val="24"/>
              </w:rPr>
              <w:t>Accreditation site visit</w:t>
            </w:r>
            <w:r w:rsidR="00B87129">
              <w:rPr>
                <w:color w:val="010101"/>
                <w:szCs w:val="24"/>
              </w:rPr>
              <w:t xml:space="preserve"> report</w:t>
            </w:r>
          </w:p>
        </w:tc>
      </w:tr>
    </w:tbl>
    <w:p w:rsidR="00176C2B" w:rsidRDefault="00176C2B" w:rsidP="00AB67C4">
      <w:pPr>
        <w:spacing w:after="0"/>
        <w:rPr>
          <w:color w:val="010101"/>
          <w:szCs w:val="24"/>
        </w:rPr>
      </w:pPr>
    </w:p>
    <w:p w:rsidR="00D47191" w:rsidRPr="00D47191" w:rsidRDefault="00D47191" w:rsidP="00D47191">
      <w:pPr>
        <w:autoSpaceDE w:val="0"/>
        <w:autoSpaceDN w:val="0"/>
        <w:adjustRightInd w:val="0"/>
        <w:spacing w:after="0" w:line="240" w:lineRule="auto"/>
        <w:rPr>
          <w:rFonts w:ascii="Times New Roman" w:hAnsi="Times New Roman" w:cs="Times New Roman"/>
          <w:szCs w:val="24"/>
        </w:rPr>
      </w:pPr>
    </w:p>
    <w:p w:rsidR="00D47191" w:rsidRPr="00D47191" w:rsidRDefault="00D47191" w:rsidP="00D47191">
      <w:pPr>
        <w:autoSpaceDE w:val="0"/>
        <w:autoSpaceDN w:val="0"/>
        <w:adjustRightInd w:val="0"/>
        <w:spacing w:after="0" w:line="400" w:lineRule="atLeast"/>
        <w:rPr>
          <w:rFonts w:ascii="Times New Roman" w:hAnsi="Times New Roman" w:cs="Times New Roman"/>
          <w:szCs w:val="24"/>
        </w:rPr>
      </w:pPr>
    </w:p>
    <w:p w:rsidR="00BD1F47" w:rsidRDefault="00BD1F47">
      <w:pPr>
        <w:rPr>
          <w:szCs w:val="24"/>
        </w:rPr>
      </w:pPr>
      <w:r w:rsidRPr="00822881">
        <w:rPr>
          <w:szCs w:val="24"/>
        </w:rPr>
        <w:br w:type="page"/>
      </w:r>
    </w:p>
    <w:p w:rsidR="00822881" w:rsidRPr="00D30B12" w:rsidRDefault="00822881" w:rsidP="005327E4">
      <w:pPr>
        <w:pStyle w:val="Heading1"/>
      </w:pPr>
      <w:bookmarkStart w:id="2" w:name="_Toc490316869"/>
      <w:r w:rsidRPr="00D30B12">
        <w:lastRenderedPageBreak/>
        <w:t>B. Articulated and implemented procedures to regularly evaluate the program’s measurable objectives and to adjust targets as appropriate. (Criterion 1.2)</w:t>
      </w:r>
      <w:bookmarkEnd w:id="2"/>
      <w:r w:rsidRPr="00D30B12">
        <w:t xml:space="preserve"> </w:t>
      </w:r>
    </w:p>
    <w:p w:rsidR="002A1F8E" w:rsidRDefault="002A1F8E" w:rsidP="00AE0CBB">
      <w:pPr>
        <w:pStyle w:val="CEPHIR"/>
        <w:spacing w:after="0"/>
        <w:rPr>
          <w:b w:val="0"/>
        </w:rPr>
      </w:pPr>
    </w:p>
    <w:p w:rsidR="00B7007F" w:rsidRDefault="00756D63" w:rsidP="00AE0CBB">
      <w:pPr>
        <w:pStyle w:val="CEPHIR"/>
        <w:spacing w:after="0"/>
        <w:rPr>
          <w:b w:val="0"/>
        </w:rPr>
      </w:pPr>
      <w:r w:rsidRPr="002E2860">
        <w:rPr>
          <w:b w:val="0"/>
        </w:rPr>
        <w:t>The</w:t>
      </w:r>
      <w:r w:rsidR="00FF1E86">
        <w:rPr>
          <w:b w:val="0"/>
        </w:rPr>
        <w:t xml:space="preserve"> 2016 C</w:t>
      </w:r>
      <w:r w:rsidRPr="002E2860">
        <w:rPr>
          <w:b w:val="0"/>
        </w:rPr>
        <w:t xml:space="preserve">riteria promote a holistic </w:t>
      </w:r>
      <w:r w:rsidR="00C86F3A">
        <w:rPr>
          <w:b w:val="0"/>
        </w:rPr>
        <w:t>approach to evaluation</w:t>
      </w:r>
      <w:r w:rsidR="002E2860">
        <w:rPr>
          <w:b w:val="0"/>
        </w:rPr>
        <w:t xml:space="preserve"> and </w:t>
      </w:r>
      <w:r w:rsidR="00024852">
        <w:rPr>
          <w:b w:val="0"/>
        </w:rPr>
        <w:t>substantially revise</w:t>
      </w:r>
      <w:r w:rsidR="00B7007F">
        <w:rPr>
          <w:b w:val="0"/>
        </w:rPr>
        <w:t xml:space="preserve"> how evalua</w:t>
      </w:r>
      <w:r w:rsidR="007577A5">
        <w:rPr>
          <w:b w:val="0"/>
        </w:rPr>
        <w:t>tion practices are defined.</w:t>
      </w:r>
      <w:r w:rsidR="00B058D1">
        <w:rPr>
          <w:b w:val="0"/>
        </w:rPr>
        <w:t xml:space="preserve"> Very few criterion require targets; instead, the focus is on creating meaningful goals and measures, and using mixed-methods to assess the program’s </w:t>
      </w:r>
      <w:r w:rsidR="00B058D1" w:rsidRPr="000273FB">
        <w:rPr>
          <w:b w:val="0"/>
        </w:rPr>
        <w:t>performance.</w:t>
      </w:r>
      <w:r w:rsidR="007577A5">
        <w:rPr>
          <w:b w:val="0"/>
        </w:rPr>
        <w:t xml:space="preserve"> </w:t>
      </w:r>
      <w:r w:rsidR="00115073">
        <w:rPr>
          <w:b w:val="0"/>
        </w:rPr>
        <w:t>O</w:t>
      </w:r>
      <w:r w:rsidR="00477B7A">
        <w:rPr>
          <w:b w:val="0"/>
        </w:rPr>
        <w:t>ur</w:t>
      </w:r>
      <w:r w:rsidR="00B7007F">
        <w:rPr>
          <w:b w:val="0"/>
        </w:rPr>
        <w:t xml:space="preserve"> response </w:t>
      </w:r>
      <w:r w:rsidR="00477B7A">
        <w:rPr>
          <w:b w:val="0"/>
        </w:rPr>
        <w:t xml:space="preserve">herein </w:t>
      </w:r>
      <w:r w:rsidR="00115073">
        <w:rPr>
          <w:b w:val="0"/>
        </w:rPr>
        <w:t xml:space="preserve">details </w:t>
      </w:r>
      <w:r w:rsidR="00DF28E2">
        <w:rPr>
          <w:b w:val="0"/>
        </w:rPr>
        <w:t xml:space="preserve">our </w:t>
      </w:r>
      <w:r w:rsidR="00115073">
        <w:rPr>
          <w:b w:val="0"/>
        </w:rPr>
        <w:t>actions that comply</w:t>
      </w:r>
      <w:r w:rsidR="00B7007F">
        <w:rPr>
          <w:b w:val="0"/>
        </w:rPr>
        <w:t xml:space="preserve"> </w:t>
      </w:r>
      <w:r w:rsidR="00115073">
        <w:rPr>
          <w:b w:val="0"/>
        </w:rPr>
        <w:t>with 2016 Criteria B5 and B6</w:t>
      </w:r>
      <w:r w:rsidR="00B97481">
        <w:rPr>
          <w:b w:val="0"/>
        </w:rPr>
        <w:t>.</w:t>
      </w:r>
    </w:p>
    <w:p w:rsidR="00AE0CBB" w:rsidRDefault="00AE0CBB" w:rsidP="00861628">
      <w:pPr>
        <w:pStyle w:val="CEPHIR"/>
        <w:spacing w:after="0"/>
        <w:rPr>
          <w:b w:val="0"/>
          <w:u w:val="single"/>
        </w:rPr>
      </w:pPr>
    </w:p>
    <w:p w:rsidR="00861628" w:rsidRPr="00861628" w:rsidRDefault="00861628" w:rsidP="00861628">
      <w:pPr>
        <w:pStyle w:val="CEPHIR"/>
        <w:spacing w:after="0"/>
        <w:rPr>
          <w:b w:val="0"/>
          <w:u w:val="single"/>
        </w:rPr>
      </w:pPr>
      <w:r w:rsidRPr="00861628">
        <w:rPr>
          <w:b w:val="0"/>
          <w:u w:val="single"/>
        </w:rPr>
        <w:t>Overview of Evaluation Requirements by Criterion</w:t>
      </w:r>
    </w:p>
    <w:p w:rsidR="00A17BE3" w:rsidRPr="00115073" w:rsidRDefault="00B97481" w:rsidP="00861628">
      <w:pPr>
        <w:pStyle w:val="CEPHIR"/>
        <w:spacing w:after="0"/>
        <w:rPr>
          <w:b w:val="0"/>
        </w:rPr>
      </w:pPr>
      <w:r>
        <w:rPr>
          <w:b w:val="0"/>
        </w:rPr>
        <w:t xml:space="preserve">Following a thorough review of the 2016 Criteria, we crafted a table outlining data needs by criterion. </w:t>
      </w:r>
      <w:r w:rsidR="00912E76">
        <w:rPr>
          <w:b w:val="0"/>
        </w:rPr>
        <w:t>In its original form, the</w:t>
      </w:r>
      <w:r w:rsidR="00A6135E">
        <w:rPr>
          <w:b w:val="0"/>
        </w:rPr>
        <w:t xml:space="preserve"> table </w:t>
      </w:r>
      <w:r w:rsidR="00C83E1C">
        <w:rPr>
          <w:b w:val="0"/>
        </w:rPr>
        <w:t xml:space="preserve">served as </w:t>
      </w:r>
      <w:r w:rsidR="00AA1335">
        <w:rPr>
          <w:b w:val="0"/>
        </w:rPr>
        <w:t xml:space="preserve">a springboard for </w:t>
      </w:r>
      <w:r w:rsidR="00612663">
        <w:rPr>
          <w:b w:val="0"/>
        </w:rPr>
        <w:t xml:space="preserve">the </w:t>
      </w:r>
      <w:r w:rsidR="00B170B9">
        <w:rPr>
          <w:b w:val="0"/>
        </w:rPr>
        <w:t>changes ma</w:t>
      </w:r>
      <w:r w:rsidR="0049354F">
        <w:rPr>
          <w:b w:val="0"/>
        </w:rPr>
        <w:t>de to our evaluation practices</w:t>
      </w:r>
      <w:r w:rsidR="00912E76" w:rsidRPr="00685DFC">
        <w:rPr>
          <w:b w:val="0"/>
        </w:rPr>
        <w:t>. In</w:t>
      </w:r>
      <w:r w:rsidR="00B170B9" w:rsidRPr="00685DFC">
        <w:rPr>
          <w:b w:val="0"/>
        </w:rPr>
        <w:t xml:space="preserve"> its most current form,</w:t>
      </w:r>
      <w:r w:rsidR="00B170B9">
        <w:rPr>
          <w:b w:val="0"/>
        </w:rPr>
        <w:t xml:space="preserve"> </w:t>
      </w:r>
      <w:r w:rsidR="00B74CF0" w:rsidRPr="00927A2A">
        <w:rPr>
          <w:b w:val="0"/>
        </w:rPr>
        <w:t>the table</w:t>
      </w:r>
      <w:r w:rsidR="00B74CF0">
        <w:rPr>
          <w:b w:val="0"/>
        </w:rPr>
        <w:t xml:space="preserve">, </w:t>
      </w:r>
      <w:r w:rsidR="00B170B9">
        <w:rPr>
          <w:b w:val="0"/>
        </w:rPr>
        <w:t xml:space="preserve">located in </w:t>
      </w:r>
      <w:r w:rsidR="00B170B9" w:rsidRPr="00C54D30">
        <w:rPr>
          <w:b w:val="0"/>
        </w:rPr>
        <w:t>Appendi</w:t>
      </w:r>
      <w:r w:rsidR="00685DFC" w:rsidRPr="00C54D30">
        <w:rPr>
          <w:b w:val="0"/>
        </w:rPr>
        <w:t>x A</w:t>
      </w:r>
      <w:r w:rsidR="00912E76" w:rsidRPr="00685DFC">
        <w:rPr>
          <w:b w:val="0"/>
        </w:rPr>
        <w:t>, s</w:t>
      </w:r>
      <w:r w:rsidR="00912E76">
        <w:rPr>
          <w:b w:val="0"/>
        </w:rPr>
        <w:t>erves as an org</w:t>
      </w:r>
      <w:r w:rsidR="005C3790">
        <w:rPr>
          <w:b w:val="0"/>
        </w:rPr>
        <w:t xml:space="preserve">anizing </w:t>
      </w:r>
      <w:r w:rsidR="000273FB">
        <w:rPr>
          <w:b w:val="0"/>
        </w:rPr>
        <w:t>structure</w:t>
      </w:r>
      <w:r w:rsidR="005C3790">
        <w:rPr>
          <w:b w:val="0"/>
        </w:rPr>
        <w:t xml:space="preserve"> </w:t>
      </w:r>
      <w:r w:rsidR="00B97BBB">
        <w:rPr>
          <w:b w:val="0"/>
        </w:rPr>
        <w:t xml:space="preserve">for </w:t>
      </w:r>
      <w:r w:rsidR="00612663">
        <w:rPr>
          <w:b w:val="0"/>
        </w:rPr>
        <w:t>assessment activities.</w:t>
      </w:r>
    </w:p>
    <w:p w:rsidR="006444D5" w:rsidRDefault="006444D5" w:rsidP="002326BB">
      <w:pPr>
        <w:pStyle w:val="CEPHIR"/>
        <w:spacing w:after="0"/>
        <w:rPr>
          <w:b w:val="0"/>
          <w:u w:val="single"/>
        </w:rPr>
      </w:pPr>
    </w:p>
    <w:p w:rsidR="002326BB" w:rsidRPr="002326BB" w:rsidRDefault="002326BB" w:rsidP="002326BB">
      <w:pPr>
        <w:pStyle w:val="CEPHIR"/>
        <w:spacing w:after="0"/>
        <w:rPr>
          <w:b w:val="0"/>
          <w:u w:val="single"/>
        </w:rPr>
      </w:pPr>
      <w:r w:rsidRPr="002326BB">
        <w:rPr>
          <w:b w:val="0"/>
          <w:u w:val="single"/>
        </w:rPr>
        <w:t>Guiding Statements</w:t>
      </w:r>
    </w:p>
    <w:p w:rsidR="002326BB" w:rsidRDefault="00DF28E2" w:rsidP="006444D5">
      <w:pPr>
        <w:pStyle w:val="CEPHIR"/>
        <w:spacing w:after="0"/>
        <w:rPr>
          <w:b w:val="0"/>
        </w:rPr>
      </w:pPr>
      <w:r>
        <w:rPr>
          <w:b w:val="0"/>
        </w:rPr>
        <w:t>We crafted</w:t>
      </w:r>
      <w:r w:rsidR="00D97DA1">
        <w:rPr>
          <w:b w:val="0"/>
        </w:rPr>
        <w:t xml:space="preserve"> our g</w:t>
      </w:r>
      <w:r w:rsidR="002326BB">
        <w:rPr>
          <w:b w:val="0"/>
        </w:rPr>
        <w:t xml:space="preserve">uiding statements in collaboration with our Advisory Committee.  Prior to the meeting, committee members were </w:t>
      </w:r>
      <w:r w:rsidR="00B74CF0">
        <w:rPr>
          <w:b w:val="0"/>
        </w:rPr>
        <w:t xml:space="preserve">emailed and </w:t>
      </w:r>
      <w:r w:rsidR="00D97DA1">
        <w:rPr>
          <w:b w:val="0"/>
        </w:rPr>
        <w:t>tasked with</w:t>
      </w:r>
      <w:r w:rsidR="005C3790">
        <w:rPr>
          <w:b w:val="0"/>
        </w:rPr>
        <w:t xml:space="preserve"> reviewing current guid</w:t>
      </w:r>
      <w:r w:rsidR="006444D5">
        <w:rPr>
          <w:b w:val="0"/>
        </w:rPr>
        <w:t xml:space="preserve">ing statements and asked to come prepared with </w:t>
      </w:r>
      <w:r w:rsidR="006444D5" w:rsidRPr="006444D5">
        <w:rPr>
          <w:b w:val="0"/>
        </w:rPr>
        <w:t>suggestions (</w:t>
      </w:r>
      <w:r w:rsidR="00AE1D48" w:rsidRPr="00C54D30">
        <w:rPr>
          <w:b w:val="0"/>
        </w:rPr>
        <w:t xml:space="preserve">Appendix </w:t>
      </w:r>
      <w:r w:rsidR="00685DFC" w:rsidRPr="00C54D30">
        <w:rPr>
          <w:b w:val="0"/>
        </w:rPr>
        <w:t>B</w:t>
      </w:r>
      <w:r w:rsidR="00AE1D48" w:rsidRPr="006444D5">
        <w:rPr>
          <w:b w:val="0"/>
        </w:rPr>
        <w:t>).</w:t>
      </w:r>
      <w:r w:rsidR="00AE1D48">
        <w:rPr>
          <w:b w:val="0"/>
        </w:rPr>
        <w:t xml:space="preserve"> </w:t>
      </w:r>
      <w:r w:rsidR="00D97DA1">
        <w:rPr>
          <w:b w:val="0"/>
        </w:rPr>
        <w:t xml:space="preserve"> </w:t>
      </w:r>
      <w:r w:rsidR="006444D5">
        <w:rPr>
          <w:b w:val="0"/>
        </w:rPr>
        <w:t xml:space="preserve"> </w:t>
      </w:r>
      <w:r w:rsidR="00D97DA1">
        <w:rPr>
          <w:b w:val="0"/>
        </w:rPr>
        <w:t>A</w:t>
      </w:r>
      <w:r w:rsidR="005C3790">
        <w:rPr>
          <w:b w:val="0"/>
        </w:rPr>
        <w:t xml:space="preserve">t the meeting, a </w:t>
      </w:r>
      <w:r w:rsidR="00D97DA1">
        <w:rPr>
          <w:b w:val="0"/>
        </w:rPr>
        <w:t xml:space="preserve">modified nominal group technique was used </w:t>
      </w:r>
      <w:r w:rsidR="005C3790">
        <w:rPr>
          <w:b w:val="0"/>
        </w:rPr>
        <w:t>to develop the</w:t>
      </w:r>
      <w:r w:rsidR="00D97DA1">
        <w:rPr>
          <w:b w:val="0"/>
        </w:rPr>
        <w:t xml:space="preserve"> vision and goals.  The mission and values were reviewed</w:t>
      </w:r>
      <w:r w:rsidR="005C3790">
        <w:rPr>
          <w:b w:val="0"/>
        </w:rPr>
        <w:t xml:space="preserve"> and revised</w:t>
      </w:r>
      <w:r w:rsidR="00D97DA1">
        <w:rPr>
          <w:b w:val="0"/>
        </w:rPr>
        <w:t xml:space="preserve"> by </w:t>
      </w:r>
      <w:r w:rsidR="00494699">
        <w:rPr>
          <w:b w:val="0"/>
        </w:rPr>
        <w:t>the group at large. R</w:t>
      </w:r>
      <w:r w:rsidR="004833EA">
        <w:rPr>
          <w:b w:val="0"/>
        </w:rPr>
        <w:t>efinements</w:t>
      </w:r>
      <w:r w:rsidR="00494699">
        <w:rPr>
          <w:b w:val="0"/>
        </w:rPr>
        <w:t xml:space="preserve"> to guiding statements</w:t>
      </w:r>
      <w:r w:rsidR="004833EA">
        <w:rPr>
          <w:b w:val="0"/>
        </w:rPr>
        <w:t xml:space="preserve"> occurred during a jointly-held curriculum committee meeting</w:t>
      </w:r>
      <w:r w:rsidR="00494699">
        <w:rPr>
          <w:b w:val="0"/>
        </w:rPr>
        <w:t>,</w:t>
      </w:r>
      <w:r w:rsidR="004833EA">
        <w:rPr>
          <w:b w:val="0"/>
        </w:rPr>
        <w:t xml:space="preserve"> and </w:t>
      </w:r>
      <w:r w:rsidR="00494699">
        <w:rPr>
          <w:b w:val="0"/>
        </w:rPr>
        <w:t xml:space="preserve">were later </w:t>
      </w:r>
      <w:r w:rsidR="004833EA">
        <w:rPr>
          <w:b w:val="0"/>
        </w:rPr>
        <w:t xml:space="preserve">approved </w:t>
      </w:r>
      <w:r w:rsidR="00494699">
        <w:rPr>
          <w:b w:val="0"/>
        </w:rPr>
        <w:t xml:space="preserve">by the </w:t>
      </w:r>
      <w:hyperlink r:id="rId9" w:history="1">
        <w:r w:rsidR="00C86F3A">
          <w:rPr>
            <w:rStyle w:val="Hyperlink"/>
            <w:b w:val="0"/>
          </w:rPr>
          <w:t>Joint MPH-BSPH C</w:t>
        </w:r>
        <w:r w:rsidR="00494699" w:rsidRPr="002D1B9F">
          <w:rPr>
            <w:rStyle w:val="Hyperlink"/>
            <w:b w:val="0"/>
          </w:rPr>
          <w:t>ommittee</w:t>
        </w:r>
      </w:hyperlink>
      <w:r w:rsidR="00494699">
        <w:rPr>
          <w:b w:val="0"/>
        </w:rPr>
        <w:t xml:space="preserve">.  </w:t>
      </w:r>
    </w:p>
    <w:p w:rsidR="006444D5" w:rsidRDefault="006444D5" w:rsidP="000A39EC">
      <w:pPr>
        <w:pStyle w:val="CEPHIR"/>
        <w:spacing w:after="0"/>
        <w:rPr>
          <w:b w:val="0"/>
          <w:u w:val="single"/>
        </w:rPr>
      </w:pPr>
    </w:p>
    <w:p w:rsidR="00B77D84" w:rsidRDefault="00494699" w:rsidP="000A39EC">
      <w:pPr>
        <w:pStyle w:val="CEPHIR"/>
        <w:spacing w:after="0"/>
        <w:rPr>
          <w:b w:val="0"/>
          <w:u w:val="single"/>
        </w:rPr>
      </w:pPr>
      <w:r w:rsidRPr="000A39EC">
        <w:rPr>
          <w:b w:val="0"/>
          <w:u w:val="single"/>
        </w:rPr>
        <w:t>Measures</w:t>
      </w:r>
    </w:p>
    <w:p w:rsidR="00017462" w:rsidRDefault="00637FD8" w:rsidP="00B77D84">
      <w:pPr>
        <w:pStyle w:val="CEPHIR"/>
        <w:spacing w:after="0"/>
        <w:rPr>
          <w:b w:val="0"/>
        </w:rPr>
      </w:pPr>
      <w:r>
        <w:rPr>
          <w:b w:val="0"/>
        </w:rPr>
        <w:t>Unique m</w:t>
      </w:r>
      <w:r w:rsidR="002A3354">
        <w:rPr>
          <w:b w:val="0"/>
        </w:rPr>
        <w:t>e</w:t>
      </w:r>
      <w:r w:rsidR="00664AB3">
        <w:rPr>
          <w:b w:val="0"/>
        </w:rPr>
        <w:t>a</w:t>
      </w:r>
      <w:r w:rsidR="002A3354">
        <w:rPr>
          <w:b w:val="0"/>
        </w:rPr>
        <w:t>sures were creat</w:t>
      </w:r>
      <w:r w:rsidR="00DF28E2">
        <w:rPr>
          <w:b w:val="0"/>
        </w:rPr>
        <w:t>ed to operationalize our goal</w:t>
      </w:r>
      <w:r w:rsidR="005A5BA5">
        <w:rPr>
          <w:b w:val="0"/>
        </w:rPr>
        <w:t>s</w:t>
      </w:r>
      <w:r w:rsidR="008F2491">
        <w:rPr>
          <w:b w:val="0"/>
        </w:rPr>
        <w:t>.</w:t>
      </w:r>
      <w:r w:rsidR="006444D5">
        <w:rPr>
          <w:b w:val="0"/>
        </w:rPr>
        <w:t xml:space="preserve"> </w:t>
      </w:r>
      <w:r w:rsidR="00464390">
        <w:rPr>
          <w:b w:val="0"/>
        </w:rPr>
        <w:t xml:space="preserve">We </w:t>
      </w:r>
      <w:r w:rsidR="00C86F3A">
        <w:rPr>
          <w:b w:val="0"/>
        </w:rPr>
        <w:t>identified</w:t>
      </w:r>
      <w:r w:rsidR="00464390">
        <w:rPr>
          <w:b w:val="0"/>
        </w:rPr>
        <w:t xml:space="preserve"> multiple quantitative and qualitative</w:t>
      </w:r>
      <w:r>
        <w:rPr>
          <w:b w:val="0"/>
        </w:rPr>
        <w:t xml:space="preserve"> methods to </w:t>
      </w:r>
      <w:r w:rsidR="00464390">
        <w:rPr>
          <w:b w:val="0"/>
        </w:rPr>
        <w:t>collect data</w:t>
      </w:r>
      <w:r w:rsidR="00DF28E2">
        <w:rPr>
          <w:b w:val="0"/>
        </w:rPr>
        <w:t xml:space="preserve"> and triangulate </w:t>
      </w:r>
      <w:r w:rsidR="008F2491">
        <w:rPr>
          <w:b w:val="0"/>
        </w:rPr>
        <w:t>findings</w:t>
      </w:r>
      <w:r w:rsidR="000C3752">
        <w:rPr>
          <w:b w:val="0"/>
        </w:rPr>
        <w:t xml:space="preserve">. </w:t>
      </w:r>
      <w:r w:rsidR="00B77D84">
        <w:rPr>
          <w:b w:val="0"/>
        </w:rPr>
        <w:t xml:space="preserve">Measures, and the </w:t>
      </w:r>
      <w:r w:rsidR="000273FB">
        <w:rPr>
          <w:b w:val="0"/>
        </w:rPr>
        <w:t>methods through</w:t>
      </w:r>
      <w:r w:rsidR="00B77D84">
        <w:rPr>
          <w:b w:val="0"/>
        </w:rPr>
        <w:t xml:space="preserve"> which data </w:t>
      </w:r>
      <w:r w:rsidR="005B0E9C">
        <w:rPr>
          <w:b w:val="0"/>
        </w:rPr>
        <w:t>a</w:t>
      </w:r>
      <w:r w:rsidR="00B77D84">
        <w:rPr>
          <w:b w:val="0"/>
        </w:rPr>
        <w:t>re collected, will be reviewed annually</w:t>
      </w:r>
      <w:r w:rsidR="002A3354">
        <w:rPr>
          <w:b w:val="0"/>
        </w:rPr>
        <w:t xml:space="preserve"> </w:t>
      </w:r>
      <w:r w:rsidR="00B77D84">
        <w:rPr>
          <w:b w:val="0"/>
        </w:rPr>
        <w:t>as part of our strategic planning process</w:t>
      </w:r>
      <w:r w:rsidR="005A5BA5">
        <w:rPr>
          <w:b w:val="0"/>
        </w:rPr>
        <w:t>, and modified as needed</w:t>
      </w:r>
      <w:r w:rsidR="005B0E9C">
        <w:rPr>
          <w:b w:val="0"/>
        </w:rPr>
        <w:t>.</w:t>
      </w:r>
      <w:r w:rsidR="005A5BA5">
        <w:rPr>
          <w:b w:val="0"/>
        </w:rPr>
        <w:t xml:space="preserve"> </w:t>
      </w:r>
      <w:r w:rsidR="005B0E9C">
        <w:rPr>
          <w:b w:val="0"/>
        </w:rPr>
        <w:t xml:space="preserve">Instruments and tools are in the process of being </w:t>
      </w:r>
      <w:r w:rsidR="000273FB">
        <w:rPr>
          <w:b w:val="0"/>
        </w:rPr>
        <w:t xml:space="preserve">created, and will </w:t>
      </w:r>
      <w:r w:rsidR="005B0E9C">
        <w:rPr>
          <w:b w:val="0"/>
        </w:rPr>
        <w:t xml:space="preserve">launch in the 2017/2018 academic year. </w:t>
      </w:r>
    </w:p>
    <w:p w:rsidR="005B0E9C" w:rsidRDefault="005B0E9C" w:rsidP="00B77D84">
      <w:pPr>
        <w:pStyle w:val="CEPHIR"/>
        <w:spacing w:after="0"/>
        <w:rPr>
          <w:b w:val="0"/>
        </w:rPr>
      </w:pPr>
    </w:p>
    <w:p w:rsidR="005B0E9C" w:rsidRDefault="005B0E9C" w:rsidP="00B77D84">
      <w:pPr>
        <w:pStyle w:val="CEPHIR"/>
        <w:spacing w:after="0"/>
        <w:rPr>
          <w:b w:val="0"/>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790"/>
        <w:gridCol w:w="2880"/>
      </w:tblGrid>
      <w:tr w:rsidR="001C7895" w:rsidRPr="00237B4D" w:rsidTr="001C7895">
        <w:tc>
          <w:tcPr>
            <w:tcW w:w="9810" w:type="dxa"/>
            <w:gridSpan w:val="3"/>
            <w:tcBorders>
              <w:bottom w:val="single" w:sz="4" w:space="0" w:color="auto"/>
            </w:tcBorders>
            <w:shd w:val="clear" w:color="auto" w:fill="auto"/>
          </w:tcPr>
          <w:p w:rsidR="001C7895" w:rsidRPr="00F617F6" w:rsidRDefault="001C7895" w:rsidP="000E3566">
            <w:pPr>
              <w:rPr>
                <w:rFonts w:eastAsia="Times New Roman" w:cs="Times New Roman"/>
                <w:b/>
                <w:szCs w:val="24"/>
              </w:rPr>
            </w:pPr>
            <w:r w:rsidRPr="00F116C2">
              <w:rPr>
                <w:rFonts w:eastAsia="Times New Roman" w:cs="Times New Roman"/>
                <w:b/>
                <w:szCs w:val="24"/>
              </w:rPr>
              <w:t>Instructional Goal:</w:t>
            </w:r>
            <w:r w:rsidRPr="00F617F6">
              <w:rPr>
                <w:rFonts w:eastAsia="Times New Roman" w:cs="Times New Roman"/>
                <w:b/>
                <w:szCs w:val="24"/>
              </w:rPr>
              <w:t xml:space="preserve">  Cultivate an educational experience that is </w:t>
            </w:r>
            <w:r w:rsidR="0055286E">
              <w:rPr>
                <w:rFonts w:eastAsia="Times New Roman" w:cs="Times New Roman"/>
                <w:b/>
                <w:szCs w:val="24"/>
              </w:rPr>
              <w:t xml:space="preserve">integrative, comprehensive, </w:t>
            </w:r>
            <w:r w:rsidRPr="00F617F6">
              <w:rPr>
                <w:rFonts w:eastAsia="Times New Roman" w:cs="Times New Roman"/>
                <w:b/>
                <w:szCs w:val="24"/>
              </w:rPr>
              <w:t>interdisciplinary</w:t>
            </w:r>
            <w:r w:rsidR="0055286E">
              <w:rPr>
                <w:rFonts w:eastAsia="Times New Roman" w:cs="Times New Roman"/>
                <w:b/>
                <w:szCs w:val="24"/>
              </w:rPr>
              <w:t>,</w:t>
            </w:r>
            <w:r w:rsidRPr="00F617F6">
              <w:rPr>
                <w:rFonts w:eastAsia="Times New Roman" w:cs="Times New Roman"/>
                <w:b/>
                <w:szCs w:val="24"/>
              </w:rPr>
              <w:t xml:space="preserve"> </w:t>
            </w:r>
            <w:r w:rsidR="0055286E">
              <w:rPr>
                <w:rFonts w:eastAsia="Times New Roman" w:cs="Times New Roman"/>
                <w:b/>
                <w:szCs w:val="24"/>
              </w:rPr>
              <w:t xml:space="preserve">and </w:t>
            </w:r>
            <w:r w:rsidRPr="00F617F6">
              <w:rPr>
                <w:rFonts w:eastAsia="Times New Roman" w:cs="Times New Roman"/>
                <w:b/>
                <w:szCs w:val="24"/>
              </w:rPr>
              <w:t xml:space="preserve">based on current best practices in public health. </w:t>
            </w:r>
          </w:p>
        </w:tc>
      </w:tr>
      <w:tr w:rsidR="001C7895" w:rsidRPr="00237B4D" w:rsidTr="001C7895">
        <w:tc>
          <w:tcPr>
            <w:tcW w:w="414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Evaluation Measures</w:t>
            </w:r>
          </w:p>
        </w:tc>
        <w:tc>
          <w:tcPr>
            <w:tcW w:w="279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Data Collection Method</w:t>
            </w:r>
          </w:p>
        </w:tc>
        <w:tc>
          <w:tcPr>
            <w:tcW w:w="288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Responsible  for Review</w:t>
            </w:r>
          </w:p>
        </w:tc>
      </w:tr>
      <w:tr w:rsidR="001C7895" w:rsidRPr="00237B4D" w:rsidTr="001C7895">
        <w:tc>
          <w:tcPr>
            <w:tcW w:w="4140" w:type="dxa"/>
            <w:tcBorders>
              <w:top w:val="single" w:sz="4" w:space="0" w:color="auto"/>
              <w:bottom w:val="single" w:sz="4" w:space="0" w:color="D9D9D9" w:themeColor="background1" w:themeShade="D9"/>
            </w:tcBorders>
            <w:shd w:val="clear" w:color="auto" w:fill="auto"/>
          </w:tcPr>
          <w:p w:rsidR="001C7895" w:rsidRPr="003074B5" w:rsidRDefault="001C7895" w:rsidP="000E3566">
            <w:pPr>
              <w:rPr>
                <w:rFonts w:eastAsia="Times New Roman" w:cs="Times New Roman"/>
                <w:szCs w:val="24"/>
              </w:rPr>
            </w:pPr>
            <w:r>
              <w:rPr>
                <w:rFonts w:eastAsia="Times New Roman" w:cs="Times New Roman"/>
                <w:szCs w:val="24"/>
              </w:rPr>
              <w:t>Courses that embed</w:t>
            </w:r>
            <w:r w:rsidRPr="003074B5">
              <w:rPr>
                <w:rFonts w:eastAsia="Times New Roman" w:cs="Times New Roman"/>
                <w:szCs w:val="24"/>
              </w:rPr>
              <w:t xml:space="preserve"> applied practices experiences</w:t>
            </w:r>
          </w:p>
        </w:tc>
        <w:tc>
          <w:tcPr>
            <w:tcW w:w="2790" w:type="dxa"/>
            <w:tcBorders>
              <w:top w:val="single" w:sz="4" w:space="0" w:color="auto"/>
              <w:bottom w:val="single" w:sz="4" w:space="0" w:color="D9D9D9" w:themeColor="background1" w:themeShade="D9"/>
            </w:tcBorders>
            <w:shd w:val="clear" w:color="auto" w:fill="auto"/>
          </w:tcPr>
          <w:p w:rsidR="001C7895" w:rsidRDefault="00927A2A" w:rsidP="000E3566">
            <w:pPr>
              <w:rPr>
                <w:rFonts w:eastAsia="Times New Roman" w:cs="Times New Roman"/>
                <w:szCs w:val="24"/>
              </w:rPr>
            </w:pPr>
            <w:r>
              <w:rPr>
                <w:rFonts w:eastAsia="Times New Roman" w:cs="Times New Roman"/>
                <w:szCs w:val="24"/>
              </w:rPr>
              <w:t>Faculty A</w:t>
            </w:r>
            <w:r w:rsidR="001C7895" w:rsidRPr="00237B4D">
              <w:rPr>
                <w:rFonts w:eastAsia="Times New Roman" w:cs="Times New Roman"/>
                <w:szCs w:val="24"/>
              </w:rPr>
              <w:t>nnual</w:t>
            </w:r>
            <w:r>
              <w:rPr>
                <w:rFonts w:eastAsia="Times New Roman" w:cs="Times New Roman"/>
                <w:szCs w:val="24"/>
              </w:rPr>
              <w:t xml:space="preserve"> R</w:t>
            </w:r>
            <w:r w:rsidR="001C7895" w:rsidRPr="00237B4D">
              <w:rPr>
                <w:rFonts w:eastAsia="Times New Roman" w:cs="Times New Roman"/>
                <w:szCs w:val="24"/>
              </w:rPr>
              <w:t>eport</w:t>
            </w:r>
          </w:p>
          <w:p w:rsidR="000E21E6" w:rsidRPr="00237B4D" w:rsidRDefault="001C7895" w:rsidP="00927A2A">
            <w:pPr>
              <w:rPr>
                <w:rFonts w:eastAsia="Times New Roman" w:cs="Times New Roman"/>
                <w:szCs w:val="24"/>
              </w:rPr>
            </w:pPr>
            <w:r>
              <w:rPr>
                <w:rFonts w:eastAsia="Times New Roman" w:cs="Times New Roman"/>
                <w:szCs w:val="24"/>
              </w:rPr>
              <w:t xml:space="preserve">APE </w:t>
            </w:r>
            <w:r w:rsidR="00927A2A">
              <w:rPr>
                <w:rFonts w:eastAsia="Times New Roman" w:cs="Times New Roman"/>
                <w:szCs w:val="24"/>
              </w:rPr>
              <w:t>Forms</w:t>
            </w:r>
          </w:p>
        </w:tc>
        <w:tc>
          <w:tcPr>
            <w:tcW w:w="2880" w:type="dxa"/>
            <w:tcBorders>
              <w:top w:val="single" w:sz="4" w:space="0" w:color="auto"/>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Assessment Committee</w:t>
            </w:r>
          </w:p>
          <w:p w:rsidR="001C7895" w:rsidRPr="00237B4D" w:rsidRDefault="000E21E6" w:rsidP="000E3566">
            <w:pPr>
              <w:rPr>
                <w:rFonts w:eastAsia="Times New Roman" w:cs="Times New Roman"/>
                <w:szCs w:val="24"/>
              </w:rPr>
            </w:pPr>
            <w:r>
              <w:rPr>
                <w:rFonts w:eastAsia="Times New Roman" w:cs="Times New Roman"/>
                <w:szCs w:val="24"/>
              </w:rPr>
              <w:t>APE Coordinator</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127866" w:rsidRDefault="001C7895" w:rsidP="000E3566">
            <w:pPr>
              <w:rPr>
                <w:rFonts w:eastAsia="Times New Roman" w:cs="Times New Roman"/>
                <w:szCs w:val="24"/>
              </w:rPr>
            </w:pPr>
            <w:r>
              <w:rPr>
                <w:rFonts w:eastAsia="Times New Roman" w:cs="Times New Roman"/>
                <w:szCs w:val="24"/>
              </w:rPr>
              <w:t>Courses that use g</w:t>
            </w:r>
            <w:r w:rsidRPr="00127866">
              <w:rPr>
                <w:rFonts w:eastAsia="Times New Roman" w:cs="Times New Roman"/>
                <w:szCs w:val="24"/>
              </w:rPr>
              <w:t>uest lectures by PH practitioners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927A2A" w:rsidP="000E3566">
            <w:pPr>
              <w:rPr>
                <w:rFonts w:eastAsia="Times New Roman" w:cs="Times New Roman"/>
                <w:szCs w:val="24"/>
              </w:rPr>
            </w:pPr>
            <w:r>
              <w:rPr>
                <w:rFonts w:eastAsia="Times New Roman" w:cs="Times New Roman"/>
                <w:szCs w:val="24"/>
              </w:rPr>
              <w:t>Faculty Annual R</w:t>
            </w:r>
            <w:r w:rsidR="001C7895">
              <w:rPr>
                <w:rFonts w:eastAsia="Times New Roman" w:cs="Times New Roman"/>
                <w:szCs w:val="24"/>
              </w:rPr>
              <w:t>eport</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127866" w:rsidRDefault="001C7895" w:rsidP="000E3566">
            <w:pPr>
              <w:rPr>
                <w:rFonts w:eastAsia="Times New Roman" w:cs="Times New Roman"/>
                <w:szCs w:val="24"/>
              </w:rPr>
            </w:pPr>
            <w:r>
              <w:rPr>
                <w:rFonts w:eastAsia="Times New Roman" w:cs="Times New Roman"/>
                <w:szCs w:val="24"/>
              </w:rPr>
              <w:t>E</w:t>
            </w:r>
            <w:r w:rsidRPr="00127866">
              <w:rPr>
                <w:rFonts w:eastAsia="Times New Roman" w:cs="Times New Roman"/>
                <w:szCs w:val="24"/>
              </w:rPr>
              <w:t>xtracurricular workshops/ trainings by PH practitioners.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Announcements</w:t>
            </w:r>
            <w:r w:rsidR="000E21E6">
              <w:rPr>
                <w:rFonts w:eastAsia="Times New Roman" w:cs="Times New Roman"/>
                <w:szCs w:val="24"/>
              </w:rPr>
              <w:t xml:space="preserve"> Attendance Report</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Program Coordinators</w:t>
            </w:r>
          </w:p>
          <w:p w:rsidR="000E21E6" w:rsidRDefault="000E21E6" w:rsidP="000E3566">
            <w:pPr>
              <w:rPr>
                <w:rFonts w:eastAsia="Times New Roman" w:cs="Times New Roman"/>
                <w:szCs w:val="24"/>
              </w:rPr>
            </w:pP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55286E" w:rsidP="0055286E">
            <w:pPr>
              <w:rPr>
                <w:rFonts w:eastAsia="Times New Roman" w:cs="Times New Roman"/>
                <w:szCs w:val="24"/>
              </w:rPr>
            </w:pPr>
            <w:r>
              <w:rPr>
                <w:rFonts w:eastAsia="Times New Roman" w:cs="Times New Roman"/>
                <w:szCs w:val="24"/>
              </w:rPr>
              <w:lastRenderedPageBreak/>
              <w:t>Student perception of</w:t>
            </w:r>
            <w:r w:rsidR="001C7895">
              <w:rPr>
                <w:rFonts w:eastAsia="Times New Roman" w:cs="Times New Roman"/>
                <w:szCs w:val="24"/>
              </w:rPr>
              <w:t xml:space="preserve"> instructional quality </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Student Survey</w:t>
            </w:r>
            <w:r w:rsidR="006461FB">
              <w:rPr>
                <w:rFonts w:eastAsia="Times New Roman" w:cs="Times New Roman"/>
                <w:szCs w:val="24"/>
              </w:rPr>
              <w:t>s</w:t>
            </w:r>
          </w:p>
          <w:p w:rsidR="001C7895" w:rsidRPr="00237B4D" w:rsidRDefault="001C7895" w:rsidP="000E3566">
            <w:pPr>
              <w:rPr>
                <w:rFonts w:eastAsia="Times New Roman" w:cs="Times New Roman"/>
                <w:szCs w:val="24"/>
              </w:rPr>
            </w:pPr>
            <w:r>
              <w:rPr>
                <w:rFonts w:eastAsia="Times New Roman" w:cs="Times New Roman"/>
                <w:szCs w:val="24"/>
              </w:rPr>
              <w:t>Exit Survey</w:t>
            </w:r>
            <w:r w:rsidR="006461FB">
              <w:rPr>
                <w:rFonts w:eastAsia="Times New Roman" w:cs="Times New Roman"/>
                <w:szCs w:val="24"/>
              </w:rPr>
              <w:t>s</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Assessment Committee</w:t>
            </w:r>
          </w:p>
          <w:p w:rsidR="006461FB" w:rsidRPr="00237B4D" w:rsidRDefault="006461FB" w:rsidP="000E3566">
            <w:pPr>
              <w:rPr>
                <w:rFonts w:eastAsia="Times New Roman" w:cs="Times New Roman"/>
                <w:szCs w:val="24"/>
              </w:rPr>
            </w:pPr>
            <w:r>
              <w:rPr>
                <w:rFonts w:eastAsia="Times New Roman" w:cs="Times New Roman"/>
                <w:szCs w:val="24"/>
              </w:rPr>
              <w:t>Program Coordinators</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Higher-order learning objectives and assessments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927A2A">
            <w:pPr>
              <w:rPr>
                <w:rFonts w:eastAsia="Times New Roman" w:cs="Times New Roman"/>
                <w:szCs w:val="24"/>
              </w:rPr>
            </w:pPr>
            <w:r>
              <w:rPr>
                <w:rFonts w:eastAsia="Times New Roman" w:cs="Times New Roman"/>
                <w:szCs w:val="24"/>
              </w:rPr>
              <w:t xml:space="preserve">Syllabi Review </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Curriculum Committees</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55286E" w:rsidP="000E3566">
            <w:pPr>
              <w:rPr>
                <w:rFonts w:eastAsia="Times New Roman" w:cs="Times New Roman"/>
                <w:szCs w:val="24"/>
              </w:rPr>
            </w:pPr>
            <w:r>
              <w:rPr>
                <w:rFonts w:eastAsia="Times New Roman" w:cs="Times New Roman"/>
                <w:szCs w:val="24"/>
              </w:rPr>
              <w:t xml:space="preserve">Courses </w:t>
            </w:r>
            <w:r w:rsidR="001C7895">
              <w:rPr>
                <w:rFonts w:eastAsia="Times New Roman" w:cs="Times New Roman"/>
                <w:szCs w:val="24"/>
              </w:rPr>
              <w:t>employ</w:t>
            </w:r>
            <w:r w:rsidR="006B655C">
              <w:rPr>
                <w:rFonts w:eastAsia="Times New Roman" w:cs="Times New Roman"/>
                <w:szCs w:val="24"/>
              </w:rPr>
              <w:t>ing active-</w:t>
            </w:r>
            <w:r w:rsidR="001C7895">
              <w:rPr>
                <w:rFonts w:eastAsia="Times New Roman" w:cs="Times New Roman"/>
                <w:szCs w:val="24"/>
              </w:rPr>
              <w:t>learning techniques</w:t>
            </w:r>
            <w:r w:rsidR="006B655C">
              <w:rPr>
                <w:rFonts w:eastAsia="Times New Roman" w:cs="Times New Roman"/>
                <w:szCs w:val="24"/>
              </w:rPr>
              <w:t>.</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927A2A" w:rsidP="000E3566">
            <w:pPr>
              <w:rPr>
                <w:rFonts w:eastAsia="Times New Roman" w:cs="Times New Roman"/>
                <w:szCs w:val="24"/>
              </w:rPr>
            </w:pPr>
            <w:r>
              <w:rPr>
                <w:rFonts w:eastAsia="Times New Roman" w:cs="Times New Roman"/>
                <w:szCs w:val="24"/>
              </w:rPr>
              <w:t>Competency Alignments</w:t>
            </w:r>
          </w:p>
          <w:p w:rsidR="0055286E" w:rsidRDefault="0055286E" w:rsidP="000E3566">
            <w:pPr>
              <w:rPr>
                <w:rFonts w:eastAsia="Times New Roman" w:cs="Times New Roman"/>
                <w:szCs w:val="24"/>
              </w:rPr>
            </w:pPr>
            <w:r>
              <w:rPr>
                <w:rFonts w:eastAsia="Times New Roman" w:cs="Times New Roman"/>
                <w:szCs w:val="24"/>
              </w:rPr>
              <w:t>Faculty Annual Report</w:t>
            </w:r>
            <w:r w:rsidR="006461FB">
              <w:rPr>
                <w:rFonts w:eastAsia="Times New Roman" w:cs="Times New Roman"/>
                <w:szCs w:val="24"/>
              </w:rPr>
              <w:t>s</w:t>
            </w:r>
          </w:p>
          <w:p w:rsidR="006461FB" w:rsidRPr="00237B4D" w:rsidRDefault="006461FB" w:rsidP="000E3566">
            <w:pPr>
              <w:rPr>
                <w:rFonts w:eastAsia="Times New Roman" w:cs="Times New Roman"/>
                <w:szCs w:val="24"/>
              </w:rPr>
            </w:pPr>
            <w:r>
              <w:rPr>
                <w:rFonts w:eastAsia="Times New Roman" w:cs="Times New Roman"/>
                <w:szCs w:val="24"/>
              </w:rPr>
              <w:t>Student Surveys</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Curriculum Committees</w:t>
            </w:r>
          </w:p>
          <w:p w:rsidR="0055286E" w:rsidRDefault="0055286E" w:rsidP="000E3566">
            <w:pPr>
              <w:rPr>
                <w:rFonts w:eastAsia="Times New Roman" w:cs="Times New Roman"/>
                <w:szCs w:val="24"/>
              </w:rPr>
            </w:pPr>
            <w:r>
              <w:rPr>
                <w:rFonts w:eastAsia="Times New Roman" w:cs="Times New Roman"/>
                <w:szCs w:val="24"/>
              </w:rPr>
              <w:t>Assessment Committee</w:t>
            </w:r>
          </w:p>
          <w:p w:rsidR="006461FB" w:rsidRPr="00237B4D" w:rsidRDefault="006461FB" w:rsidP="000E3566">
            <w:pPr>
              <w:rPr>
                <w:rFonts w:eastAsia="Times New Roman" w:cs="Times New Roman"/>
                <w:szCs w:val="24"/>
              </w:rPr>
            </w:pPr>
            <w:r>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Interdisciplinary electives and certificates that complement public health practice.</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Course Catalogues</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Program Coordinators</w:t>
            </w:r>
          </w:p>
        </w:tc>
      </w:tr>
      <w:tr w:rsidR="001C7895" w:rsidRPr="00237B4D" w:rsidTr="0055286E">
        <w:trPr>
          <w:trHeight w:val="58"/>
        </w:trPr>
        <w:tc>
          <w:tcPr>
            <w:tcW w:w="414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participating in professional development related to instruction</w:t>
            </w:r>
          </w:p>
        </w:tc>
        <w:tc>
          <w:tcPr>
            <w:tcW w:w="279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Assessment Committee</w:t>
            </w:r>
          </w:p>
        </w:tc>
      </w:tr>
      <w:tr w:rsidR="0055286E" w:rsidRPr="00237B4D" w:rsidTr="001C7895">
        <w:tc>
          <w:tcPr>
            <w:tcW w:w="4140" w:type="dxa"/>
            <w:tcBorders>
              <w:top w:val="single" w:sz="4" w:space="0" w:color="D9D9D9" w:themeColor="background1" w:themeShade="D9"/>
            </w:tcBorders>
            <w:shd w:val="clear" w:color="auto" w:fill="auto"/>
          </w:tcPr>
          <w:p w:rsidR="0055286E" w:rsidRDefault="006461FB" w:rsidP="000E3566">
            <w:pPr>
              <w:rPr>
                <w:rFonts w:eastAsia="Times New Roman" w:cs="Times New Roman"/>
                <w:szCs w:val="24"/>
              </w:rPr>
            </w:pPr>
            <w:r>
              <w:rPr>
                <w:rFonts w:eastAsia="Times New Roman" w:cs="Times New Roman"/>
                <w:szCs w:val="24"/>
              </w:rPr>
              <w:t>P</w:t>
            </w:r>
            <w:r w:rsidR="0055286E">
              <w:rPr>
                <w:rFonts w:eastAsia="Times New Roman" w:cs="Times New Roman"/>
                <w:szCs w:val="24"/>
              </w:rPr>
              <w:t>erception of practice-ready preparation</w:t>
            </w:r>
          </w:p>
        </w:tc>
        <w:tc>
          <w:tcPr>
            <w:tcW w:w="2790" w:type="dxa"/>
            <w:tcBorders>
              <w:top w:val="single" w:sz="4" w:space="0" w:color="D9D9D9" w:themeColor="background1" w:themeShade="D9"/>
            </w:tcBorders>
            <w:shd w:val="clear" w:color="auto" w:fill="auto"/>
          </w:tcPr>
          <w:p w:rsidR="006461FB" w:rsidRDefault="006461FB" w:rsidP="000E3566">
            <w:pPr>
              <w:rPr>
                <w:rFonts w:eastAsia="Times New Roman" w:cs="Times New Roman"/>
                <w:szCs w:val="24"/>
              </w:rPr>
            </w:pPr>
            <w:r>
              <w:rPr>
                <w:rFonts w:eastAsia="Times New Roman" w:cs="Times New Roman"/>
                <w:szCs w:val="24"/>
              </w:rPr>
              <w:t>Exit Surveys</w:t>
            </w:r>
          </w:p>
          <w:p w:rsidR="0055286E" w:rsidRDefault="0055286E" w:rsidP="000E3566">
            <w:pPr>
              <w:rPr>
                <w:rFonts w:eastAsia="Times New Roman" w:cs="Times New Roman"/>
                <w:szCs w:val="24"/>
              </w:rPr>
            </w:pPr>
            <w:r>
              <w:rPr>
                <w:rFonts w:eastAsia="Times New Roman" w:cs="Times New Roman"/>
                <w:szCs w:val="24"/>
              </w:rPr>
              <w:t>3 year Alumni Survey</w:t>
            </w:r>
            <w:r w:rsidR="00927A2A">
              <w:rPr>
                <w:rFonts w:eastAsia="Times New Roman" w:cs="Times New Roman"/>
                <w:szCs w:val="24"/>
              </w:rPr>
              <w:t>s</w:t>
            </w:r>
          </w:p>
          <w:p w:rsidR="000E21E6" w:rsidRDefault="000E21E6" w:rsidP="000E3566">
            <w:pPr>
              <w:rPr>
                <w:rFonts w:eastAsia="Times New Roman" w:cs="Times New Roman"/>
                <w:szCs w:val="24"/>
              </w:rPr>
            </w:pPr>
            <w:r>
              <w:rPr>
                <w:rFonts w:eastAsia="Times New Roman" w:cs="Times New Roman"/>
                <w:szCs w:val="24"/>
              </w:rPr>
              <w:t>Alumni Testimonials</w:t>
            </w:r>
          </w:p>
        </w:tc>
        <w:tc>
          <w:tcPr>
            <w:tcW w:w="2880" w:type="dxa"/>
            <w:tcBorders>
              <w:top w:val="single" w:sz="4" w:space="0" w:color="D9D9D9" w:themeColor="background1" w:themeShade="D9"/>
            </w:tcBorders>
            <w:shd w:val="clear" w:color="auto" w:fill="auto"/>
          </w:tcPr>
          <w:p w:rsidR="0055286E" w:rsidRDefault="000E21E6" w:rsidP="000E3566">
            <w:pPr>
              <w:rPr>
                <w:rFonts w:eastAsia="Times New Roman" w:cs="Times New Roman"/>
                <w:szCs w:val="24"/>
              </w:rPr>
            </w:pPr>
            <w:r>
              <w:rPr>
                <w:rFonts w:eastAsia="Times New Roman" w:cs="Times New Roman"/>
                <w:szCs w:val="24"/>
              </w:rPr>
              <w:t>Program Coordinators</w:t>
            </w:r>
          </w:p>
          <w:p w:rsidR="000E21E6" w:rsidRDefault="006461FB" w:rsidP="000E3566">
            <w:pPr>
              <w:rPr>
                <w:rFonts w:eastAsia="Times New Roman" w:cs="Times New Roman"/>
                <w:szCs w:val="24"/>
              </w:rPr>
            </w:pPr>
            <w:r>
              <w:rPr>
                <w:rFonts w:eastAsia="Times New Roman" w:cs="Times New Roman"/>
                <w:szCs w:val="24"/>
              </w:rPr>
              <w:t>Program Coordinators</w:t>
            </w:r>
          </w:p>
          <w:p w:rsidR="006461FB" w:rsidRDefault="006461FB" w:rsidP="000E3566">
            <w:pPr>
              <w:rPr>
                <w:rFonts w:eastAsia="Times New Roman" w:cs="Times New Roman"/>
                <w:szCs w:val="24"/>
              </w:rPr>
            </w:pPr>
            <w:r>
              <w:rPr>
                <w:rFonts w:eastAsia="Times New Roman" w:cs="Times New Roman"/>
                <w:szCs w:val="24"/>
              </w:rPr>
              <w:t>Program Coordinators</w:t>
            </w:r>
          </w:p>
        </w:tc>
      </w:tr>
      <w:tr w:rsidR="006B655C" w:rsidRPr="00237B4D" w:rsidTr="001C7895">
        <w:tc>
          <w:tcPr>
            <w:tcW w:w="4140" w:type="dxa"/>
            <w:tcBorders>
              <w:top w:val="single" w:sz="4" w:space="0" w:color="D9D9D9" w:themeColor="background1" w:themeShade="D9"/>
            </w:tcBorders>
            <w:shd w:val="clear" w:color="auto" w:fill="auto"/>
          </w:tcPr>
          <w:p w:rsidR="006B655C" w:rsidRDefault="006B655C" w:rsidP="000E3566">
            <w:pPr>
              <w:rPr>
                <w:rFonts w:eastAsia="Times New Roman" w:cs="Times New Roman"/>
                <w:szCs w:val="24"/>
              </w:rPr>
            </w:pPr>
            <w:r>
              <w:rPr>
                <w:rFonts w:eastAsia="Times New Roman" w:cs="Times New Roman"/>
                <w:szCs w:val="24"/>
              </w:rPr>
              <w:t>Courses incorporating technology</w:t>
            </w:r>
          </w:p>
        </w:tc>
        <w:tc>
          <w:tcPr>
            <w:tcW w:w="2790" w:type="dxa"/>
            <w:tcBorders>
              <w:top w:val="single" w:sz="4" w:space="0" w:color="D9D9D9" w:themeColor="background1" w:themeShade="D9"/>
            </w:tcBorders>
            <w:shd w:val="clear" w:color="auto" w:fill="auto"/>
          </w:tcPr>
          <w:p w:rsidR="006B655C" w:rsidRDefault="006B655C"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tcBorders>
            <w:shd w:val="clear" w:color="auto" w:fill="auto"/>
          </w:tcPr>
          <w:p w:rsidR="006B655C" w:rsidRDefault="006B655C" w:rsidP="000E3566">
            <w:pPr>
              <w:rPr>
                <w:rFonts w:eastAsia="Times New Roman" w:cs="Times New Roman"/>
                <w:szCs w:val="24"/>
              </w:rPr>
            </w:pPr>
            <w:r>
              <w:rPr>
                <w:rFonts w:eastAsia="Times New Roman" w:cs="Times New Roman"/>
                <w:szCs w:val="24"/>
              </w:rPr>
              <w:t>Assessment Committee</w:t>
            </w:r>
          </w:p>
        </w:tc>
      </w:tr>
      <w:tr w:rsidR="001C7895" w:rsidRPr="00237B4D" w:rsidTr="001C7895">
        <w:tc>
          <w:tcPr>
            <w:tcW w:w="9810" w:type="dxa"/>
            <w:gridSpan w:val="3"/>
            <w:tcBorders>
              <w:bottom w:val="single" w:sz="4" w:space="0" w:color="auto"/>
            </w:tcBorders>
            <w:shd w:val="clear" w:color="auto" w:fill="auto"/>
          </w:tcPr>
          <w:p w:rsidR="00EB5DCB" w:rsidRDefault="00EB5DCB" w:rsidP="000E3566">
            <w:pPr>
              <w:rPr>
                <w:rFonts w:eastAsia="Times New Roman" w:cs="Times New Roman"/>
                <w:b/>
                <w:szCs w:val="24"/>
              </w:rPr>
            </w:pPr>
          </w:p>
          <w:p w:rsidR="001C7895" w:rsidRPr="00F617F6" w:rsidRDefault="001C7895" w:rsidP="000E3566">
            <w:pPr>
              <w:rPr>
                <w:rFonts w:eastAsia="Times New Roman" w:cs="Times New Roman"/>
                <w:b/>
                <w:szCs w:val="24"/>
              </w:rPr>
            </w:pPr>
            <w:r w:rsidRPr="00F116C2">
              <w:rPr>
                <w:rFonts w:eastAsia="Times New Roman" w:cs="Times New Roman"/>
                <w:b/>
                <w:szCs w:val="24"/>
              </w:rPr>
              <w:t>Service Goal:</w:t>
            </w:r>
            <w:r w:rsidRPr="00F617F6">
              <w:rPr>
                <w:rFonts w:eastAsia="Times New Roman" w:cs="Times New Roman"/>
                <w:b/>
                <w:szCs w:val="24"/>
              </w:rPr>
              <w:t xml:space="preserve"> Facilitate a culture of service that is collaborative, inclusive, and beneficial to diverse communities</w:t>
            </w:r>
          </w:p>
        </w:tc>
      </w:tr>
      <w:tr w:rsidR="001C7895" w:rsidRPr="00237B4D" w:rsidTr="001C7895">
        <w:tc>
          <w:tcPr>
            <w:tcW w:w="414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Evaluation Measures</w:t>
            </w:r>
          </w:p>
        </w:tc>
        <w:tc>
          <w:tcPr>
            <w:tcW w:w="279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Data Collection Method</w:t>
            </w:r>
          </w:p>
        </w:tc>
        <w:tc>
          <w:tcPr>
            <w:tcW w:w="288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Responsible  for Review</w:t>
            </w:r>
          </w:p>
        </w:tc>
      </w:tr>
      <w:tr w:rsidR="001C7895" w:rsidRPr="00237B4D" w:rsidTr="001C7895">
        <w:tc>
          <w:tcPr>
            <w:tcW w:w="4140" w:type="dxa"/>
            <w:tcBorders>
              <w:top w:val="single" w:sz="4" w:space="0" w:color="auto"/>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Applied practice experiences serving diverse communities.</w:t>
            </w:r>
          </w:p>
        </w:tc>
        <w:tc>
          <w:tcPr>
            <w:tcW w:w="2790" w:type="dxa"/>
            <w:tcBorders>
              <w:top w:val="single" w:sz="4" w:space="0" w:color="auto"/>
              <w:bottom w:val="single" w:sz="4" w:space="0" w:color="D9D9D9" w:themeColor="background1" w:themeShade="D9"/>
            </w:tcBorders>
            <w:shd w:val="clear" w:color="auto" w:fill="auto"/>
          </w:tcPr>
          <w:p w:rsidR="001C7895" w:rsidRDefault="008B3FCF" w:rsidP="000E3566">
            <w:pPr>
              <w:rPr>
                <w:rFonts w:eastAsia="Times New Roman" w:cs="Times New Roman"/>
                <w:szCs w:val="24"/>
              </w:rPr>
            </w:pPr>
            <w:r>
              <w:rPr>
                <w:rFonts w:eastAsia="Times New Roman" w:cs="Times New Roman"/>
                <w:szCs w:val="24"/>
              </w:rPr>
              <w:t>APE</w:t>
            </w:r>
            <w:r w:rsidR="00927A2A">
              <w:rPr>
                <w:rFonts w:eastAsia="Times New Roman" w:cs="Times New Roman"/>
                <w:szCs w:val="24"/>
              </w:rPr>
              <w:t xml:space="preserve"> F</w:t>
            </w:r>
            <w:r w:rsidR="001C7895">
              <w:rPr>
                <w:rFonts w:eastAsia="Times New Roman" w:cs="Times New Roman"/>
                <w:szCs w:val="24"/>
              </w:rPr>
              <w:t>orm</w:t>
            </w:r>
            <w:r w:rsidR="00927A2A">
              <w:rPr>
                <w:rFonts w:eastAsia="Times New Roman" w:cs="Times New Roman"/>
                <w:szCs w:val="24"/>
              </w:rPr>
              <w:t>s</w:t>
            </w:r>
          </w:p>
          <w:p w:rsidR="00927A2A" w:rsidRPr="00237B4D" w:rsidRDefault="00927A2A" w:rsidP="000E3566">
            <w:pPr>
              <w:rPr>
                <w:rFonts w:eastAsia="Times New Roman" w:cs="Times New Roman"/>
                <w:szCs w:val="24"/>
              </w:rPr>
            </w:pPr>
            <w:r>
              <w:rPr>
                <w:rFonts w:eastAsia="Times New Roman" w:cs="Times New Roman"/>
                <w:szCs w:val="24"/>
              </w:rPr>
              <w:t>Internship Forms</w:t>
            </w:r>
          </w:p>
        </w:tc>
        <w:tc>
          <w:tcPr>
            <w:tcW w:w="2880" w:type="dxa"/>
            <w:tcBorders>
              <w:top w:val="single" w:sz="4" w:space="0" w:color="auto"/>
              <w:bottom w:val="single" w:sz="4" w:space="0" w:color="D9D9D9" w:themeColor="background1" w:themeShade="D9"/>
            </w:tcBorders>
            <w:shd w:val="clear" w:color="auto" w:fill="auto"/>
          </w:tcPr>
          <w:p w:rsidR="001C7895" w:rsidRDefault="008B3FCF" w:rsidP="000E3566">
            <w:pPr>
              <w:rPr>
                <w:rFonts w:eastAsia="Times New Roman" w:cs="Times New Roman"/>
                <w:szCs w:val="24"/>
              </w:rPr>
            </w:pPr>
            <w:r>
              <w:rPr>
                <w:rFonts w:eastAsia="Times New Roman" w:cs="Times New Roman"/>
                <w:szCs w:val="24"/>
              </w:rPr>
              <w:t>APE</w:t>
            </w:r>
            <w:r w:rsidR="00927A2A">
              <w:rPr>
                <w:rFonts w:eastAsia="Times New Roman" w:cs="Times New Roman"/>
                <w:szCs w:val="24"/>
              </w:rPr>
              <w:t xml:space="preserve"> C</w:t>
            </w:r>
            <w:r w:rsidR="001C7895">
              <w:rPr>
                <w:rFonts w:eastAsia="Times New Roman" w:cs="Times New Roman"/>
                <w:szCs w:val="24"/>
              </w:rPr>
              <w:t>oordinator</w:t>
            </w:r>
          </w:p>
          <w:p w:rsidR="00927A2A" w:rsidRPr="00237B4D" w:rsidRDefault="00927A2A" w:rsidP="000E3566">
            <w:pPr>
              <w:rPr>
                <w:rFonts w:eastAsia="Times New Roman" w:cs="Times New Roman"/>
                <w:szCs w:val="24"/>
              </w:rPr>
            </w:pPr>
            <w:r>
              <w:rPr>
                <w:rFonts w:eastAsia="Times New Roman" w:cs="Times New Roman"/>
                <w:szCs w:val="24"/>
              </w:rPr>
              <w:t>BSPH Coordinator</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and student service collaborations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Faculty Annual Report</w:t>
            </w:r>
          </w:p>
          <w:p w:rsidR="001C7895" w:rsidRPr="00237B4D" w:rsidRDefault="001C7895" w:rsidP="000E3566">
            <w:pPr>
              <w:rPr>
                <w:rFonts w:eastAsia="Times New Roman" w:cs="Times New Roman"/>
                <w:szCs w:val="24"/>
              </w:rPr>
            </w:pPr>
            <w:r>
              <w:rPr>
                <w:rFonts w:eastAsia="Times New Roman" w:cs="Times New Roman"/>
                <w:szCs w:val="24"/>
              </w:rPr>
              <w:t>Student Survey</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7E7142">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Community-based service projects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7E7142">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Service to profession</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Faculty Annual Report</w:t>
            </w:r>
          </w:p>
          <w:p w:rsidR="001C7895" w:rsidRPr="00237B4D" w:rsidRDefault="001C7895" w:rsidP="000E3566">
            <w:pPr>
              <w:rPr>
                <w:rFonts w:eastAsia="Times New Roman" w:cs="Times New Roman"/>
                <w:szCs w:val="24"/>
              </w:rPr>
            </w:pPr>
            <w:r>
              <w:rPr>
                <w:rFonts w:eastAsia="Times New Roman" w:cs="Times New Roman"/>
                <w:szCs w:val="24"/>
              </w:rPr>
              <w:t>Student Survey</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7E7142">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Student extracurricular service projects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Student Survey</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7E7142">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Professional development workshops/trainings provided to priority populations</w:t>
            </w:r>
          </w:p>
        </w:tc>
        <w:tc>
          <w:tcPr>
            <w:tcW w:w="2790" w:type="dxa"/>
            <w:tcBorders>
              <w:top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Faculty Annual Report</w:t>
            </w:r>
          </w:p>
          <w:p w:rsidR="001C7895" w:rsidRPr="00237B4D" w:rsidRDefault="001C7895" w:rsidP="000E3566">
            <w:pPr>
              <w:rPr>
                <w:rFonts w:eastAsia="Times New Roman" w:cs="Times New Roman"/>
                <w:szCs w:val="24"/>
              </w:rPr>
            </w:pPr>
            <w:r>
              <w:rPr>
                <w:rFonts w:eastAsia="Times New Roman" w:cs="Times New Roman"/>
                <w:szCs w:val="24"/>
              </w:rPr>
              <w:t>Sign-In Sheets</w:t>
            </w:r>
          </w:p>
        </w:tc>
        <w:tc>
          <w:tcPr>
            <w:tcW w:w="2880" w:type="dxa"/>
            <w:tcBorders>
              <w:top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Assessment Committee</w:t>
            </w:r>
          </w:p>
          <w:p w:rsidR="001C7895" w:rsidRPr="00237B4D" w:rsidRDefault="001C7895" w:rsidP="000E3566">
            <w:pPr>
              <w:rPr>
                <w:rFonts w:eastAsia="Times New Roman" w:cs="Times New Roman"/>
                <w:szCs w:val="24"/>
              </w:rPr>
            </w:pPr>
            <w:r>
              <w:rPr>
                <w:rFonts w:eastAsia="Times New Roman" w:cs="Times New Roman"/>
                <w:szCs w:val="24"/>
              </w:rPr>
              <w:t>Faculty</w:t>
            </w:r>
          </w:p>
        </w:tc>
      </w:tr>
      <w:tr w:rsidR="001C7895" w:rsidRPr="00237B4D" w:rsidTr="001C7895">
        <w:tc>
          <w:tcPr>
            <w:tcW w:w="4140" w:type="dxa"/>
            <w:tcBorders>
              <w:top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 xml:space="preserve">Students participate in student organizations </w:t>
            </w:r>
          </w:p>
        </w:tc>
        <w:tc>
          <w:tcPr>
            <w:tcW w:w="2790" w:type="dxa"/>
            <w:tcBorders>
              <w:top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Membership Lists</w:t>
            </w:r>
          </w:p>
          <w:p w:rsidR="001C7895" w:rsidRDefault="001C7895" w:rsidP="000E3566">
            <w:pPr>
              <w:rPr>
                <w:rFonts w:eastAsia="Times New Roman" w:cs="Times New Roman"/>
                <w:szCs w:val="24"/>
              </w:rPr>
            </w:pPr>
            <w:r>
              <w:rPr>
                <w:rFonts w:eastAsia="Times New Roman" w:cs="Times New Roman"/>
                <w:szCs w:val="24"/>
              </w:rPr>
              <w:t>Committee Reports</w:t>
            </w:r>
          </w:p>
        </w:tc>
        <w:tc>
          <w:tcPr>
            <w:tcW w:w="2880" w:type="dxa"/>
            <w:tcBorders>
              <w:top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Student Organization Leadership;  Faculty sponsor</w:t>
            </w:r>
          </w:p>
        </w:tc>
      </w:tr>
      <w:tr w:rsidR="001C7895" w:rsidRPr="00237B4D" w:rsidTr="001C7895">
        <w:tc>
          <w:tcPr>
            <w:tcW w:w="9810" w:type="dxa"/>
            <w:gridSpan w:val="3"/>
            <w:tcBorders>
              <w:bottom w:val="single" w:sz="4" w:space="0" w:color="auto"/>
            </w:tcBorders>
            <w:shd w:val="clear" w:color="auto" w:fill="auto"/>
          </w:tcPr>
          <w:p w:rsidR="001C7895" w:rsidRPr="00F617F6" w:rsidRDefault="001C7895" w:rsidP="000E3566">
            <w:pPr>
              <w:rPr>
                <w:rFonts w:eastAsia="Times New Roman" w:cs="Times New Roman"/>
                <w:b/>
                <w:szCs w:val="24"/>
              </w:rPr>
            </w:pPr>
            <w:r w:rsidRPr="00F116C2">
              <w:rPr>
                <w:rFonts w:eastAsia="Times New Roman" w:cs="Times New Roman"/>
                <w:b/>
                <w:szCs w:val="24"/>
              </w:rPr>
              <w:t>Scholarship Goal</w:t>
            </w:r>
            <w:r w:rsidRPr="00F617F6">
              <w:rPr>
                <w:rFonts w:eastAsia="Times New Roman" w:cs="Times New Roman"/>
                <w:b/>
                <w:szCs w:val="24"/>
                <w:u w:val="single"/>
              </w:rPr>
              <w:t>:</w:t>
            </w:r>
            <w:r w:rsidRPr="00F617F6">
              <w:rPr>
                <w:rFonts w:eastAsia="Times New Roman" w:cs="Times New Roman"/>
                <w:b/>
                <w:szCs w:val="24"/>
              </w:rPr>
              <w:t xml:space="preserve"> Promote a collaborative environment conducive to timely and innovative scholarship that contributes to evidence-based public health practices and policies. </w:t>
            </w:r>
          </w:p>
        </w:tc>
      </w:tr>
      <w:tr w:rsidR="001C7895" w:rsidRPr="00237B4D" w:rsidTr="001C7895">
        <w:tc>
          <w:tcPr>
            <w:tcW w:w="414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Evaluation Measures</w:t>
            </w:r>
          </w:p>
        </w:tc>
        <w:tc>
          <w:tcPr>
            <w:tcW w:w="279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Data Collection Method</w:t>
            </w:r>
          </w:p>
        </w:tc>
        <w:tc>
          <w:tcPr>
            <w:tcW w:w="2880" w:type="dxa"/>
            <w:tcBorders>
              <w:top w:val="single" w:sz="4" w:space="0" w:color="auto"/>
              <w:bottom w:val="single" w:sz="4" w:space="0" w:color="auto"/>
            </w:tcBorders>
            <w:shd w:val="pct12" w:color="auto" w:fill="auto"/>
          </w:tcPr>
          <w:p w:rsidR="001C7895" w:rsidRPr="00F617F6" w:rsidRDefault="001C7895" w:rsidP="000E3566">
            <w:pPr>
              <w:rPr>
                <w:rFonts w:eastAsia="Times New Roman" w:cs="Times New Roman"/>
                <w:b/>
                <w:szCs w:val="24"/>
              </w:rPr>
            </w:pPr>
            <w:r w:rsidRPr="00F617F6">
              <w:rPr>
                <w:rFonts w:eastAsia="Times New Roman" w:cs="Times New Roman"/>
                <w:b/>
                <w:szCs w:val="24"/>
              </w:rPr>
              <w:t>Responsible  for Review</w:t>
            </w:r>
          </w:p>
        </w:tc>
      </w:tr>
      <w:tr w:rsidR="001C7895" w:rsidRPr="00237B4D" w:rsidTr="001C7895">
        <w:tc>
          <w:tcPr>
            <w:tcW w:w="4140" w:type="dxa"/>
            <w:tcBorders>
              <w:top w:val="single" w:sz="4" w:space="0" w:color="auto"/>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MPH students complete CITI training</w:t>
            </w:r>
          </w:p>
        </w:tc>
        <w:tc>
          <w:tcPr>
            <w:tcW w:w="2790" w:type="dxa"/>
            <w:tcBorders>
              <w:top w:val="single" w:sz="4" w:space="0" w:color="auto"/>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Completion Forms</w:t>
            </w:r>
          </w:p>
        </w:tc>
        <w:tc>
          <w:tcPr>
            <w:tcW w:w="2880" w:type="dxa"/>
            <w:tcBorders>
              <w:top w:val="single" w:sz="4" w:space="0" w:color="auto"/>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MPH Coordinator</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Student research collaborations with faculty and other students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Faculty Annual Report</w:t>
            </w:r>
          </w:p>
          <w:p w:rsidR="001C7895" w:rsidRPr="00237B4D" w:rsidRDefault="001C7895" w:rsidP="000E3566">
            <w:pPr>
              <w:rPr>
                <w:rFonts w:eastAsia="Times New Roman" w:cs="Times New Roman"/>
                <w:szCs w:val="24"/>
              </w:rPr>
            </w:pPr>
            <w:r>
              <w:rPr>
                <w:rFonts w:eastAsia="Times New Roman" w:cs="Times New Roman"/>
                <w:szCs w:val="24"/>
              </w:rPr>
              <w:t>Student Survey</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AD4D3A">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Students and faculty disseminate research through presentations and publications.</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pPr>
              <w:rPr>
                <w:rFonts w:eastAsia="Times New Roman" w:cs="Times New Roman"/>
                <w:szCs w:val="24"/>
              </w:rPr>
            </w:pPr>
            <w:r>
              <w:rPr>
                <w:rFonts w:eastAsia="Times New Roman" w:cs="Times New Roman"/>
                <w:szCs w:val="24"/>
              </w:rPr>
              <w:t>Student Survey</w:t>
            </w:r>
          </w:p>
          <w:p w:rsidR="001C7895" w:rsidRPr="00237B4D" w:rsidRDefault="001C7895"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AD4D3A">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lastRenderedPageBreak/>
              <w:t>Primary faculty teaching load conducive to research</w:t>
            </w:r>
          </w:p>
        </w:tc>
        <w:tc>
          <w:tcPr>
            <w:tcW w:w="2790" w:type="dxa"/>
            <w:tcBorders>
              <w:top w:val="single" w:sz="4" w:space="0" w:color="D9D9D9" w:themeColor="background1" w:themeShade="D9"/>
              <w:bottom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bottom w:val="single" w:sz="4" w:space="0" w:color="D9D9D9" w:themeColor="background1" w:themeShade="D9"/>
            </w:tcBorders>
            <w:shd w:val="clear" w:color="auto" w:fill="auto"/>
          </w:tcPr>
          <w:p w:rsidR="001C7895" w:rsidRDefault="001C7895" w:rsidP="000E3566">
            <w:r w:rsidRPr="00AD4D3A">
              <w:rPr>
                <w:rFonts w:eastAsia="Times New Roman" w:cs="Times New Roman"/>
                <w:szCs w:val="24"/>
              </w:rPr>
              <w:t>Assessment Committee</w:t>
            </w:r>
          </w:p>
        </w:tc>
      </w:tr>
      <w:tr w:rsidR="001C7895" w:rsidRPr="00237B4D" w:rsidTr="001C7895">
        <w:tc>
          <w:tcPr>
            <w:tcW w:w="414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grant applications</w:t>
            </w:r>
          </w:p>
        </w:tc>
        <w:tc>
          <w:tcPr>
            <w:tcW w:w="2790" w:type="dxa"/>
            <w:tcBorders>
              <w:top w:val="single" w:sz="4" w:space="0" w:color="D9D9D9" w:themeColor="background1" w:themeShade="D9"/>
            </w:tcBorders>
            <w:shd w:val="clear" w:color="auto" w:fill="auto"/>
          </w:tcPr>
          <w:p w:rsidR="001C7895" w:rsidRPr="00237B4D" w:rsidRDefault="001C7895" w:rsidP="000E3566">
            <w:pPr>
              <w:rPr>
                <w:rFonts w:eastAsia="Times New Roman" w:cs="Times New Roman"/>
                <w:szCs w:val="24"/>
              </w:rPr>
            </w:pPr>
            <w:r>
              <w:rPr>
                <w:rFonts w:eastAsia="Times New Roman" w:cs="Times New Roman"/>
                <w:szCs w:val="24"/>
              </w:rPr>
              <w:t>Faculty Annual Report</w:t>
            </w:r>
          </w:p>
        </w:tc>
        <w:tc>
          <w:tcPr>
            <w:tcW w:w="2880" w:type="dxa"/>
            <w:tcBorders>
              <w:top w:val="single" w:sz="4" w:space="0" w:color="D9D9D9" w:themeColor="background1" w:themeShade="D9"/>
            </w:tcBorders>
            <w:shd w:val="clear" w:color="auto" w:fill="auto"/>
          </w:tcPr>
          <w:p w:rsidR="001C7895" w:rsidRDefault="001C7895" w:rsidP="000E3566">
            <w:r w:rsidRPr="00AD4D3A">
              <w:rPr>
                <w:rFonts w:eastAsia="Times New Roman" w:cs="Times New Roman"/>
                <w:szCs w:val="24"/>
              </w:rPr>
              <w:t>Assessment Committee</w:t>
            </w:r>
          </w:p>
        </w:tc>
      </w:tr>
      <w:tr w:rsidR="001C7895" w:rsidRPr="00237B4D" w:rsidTr="001C7895">
        <w:tc>
          <w:tcPr>
            <w:tcW w:w="4140" w:type="dxa"/>
            <w:shd w:val="clear" w:color="auto" w:fill="auto"/>
          </w:tcPr>
          <w:p w:rsidR="001C7895" w:rsidRPr="00237B4D" w:rsidRDefault="001C7895" w:rsidP="000E3566">
            <w:pPr>
              <w:rPr>
                <w:rFonts w:eastAsia="Times New Roman" w:cs="Times New Roman"/>
                <w:szCs w:val="24"/>
              </w:rPr>
            </w:pPr>
          </w:p>
        </w:tc>
        <w:tc>
          <w:tcPr>
            <w:tcW w:w="2790" w:type="dxa"/>
            <w:shd w:val="clear" w:color="auto" w:fill="auto"/>
          </w:tcPr>
          <w:p w:rsidR="001C7895" w:rsidRPr="00237B4D" w:rsidRDefault="001C7895" w:rsidP="000E3566">
            <w:pPr>
              <w:rPr>
                <w:rFonts w:eastAsia="Times New Roman" w:cs="Times New Roman"/>
                <w:szCs w:val="24"/>
              </w:rPr>
            </w:pPr>
          </w:p>
        </w:tc>
        <w:tc>
          <w:tcPr>
            <w:tcW w:w="2880" w:type="dxa"/>
            <w:shd w:val="clear" w:color="auto" w:fill="auto"/>
          </w:tcPr>
          <w:p w:rsidR="001C7895" w:rsidRPr="00237B4D" w:rsidRDefault="001C7895" w:rsidP="000E3566">
            <w:pPr>
              <w:rPr>
                <w:rFonts w:eastAsia="Times New Roman" w:cs="Times New Roman"/>
                <w:szCs w:val="24"/>
              </w:rPr>
            </w:pPr>
          </w:p>
        </w:tc>
      </w:tr>
      <w:tr w:rsidR="001C7895" w:rsidRPr="00237B4D" w:rsidTr="001C7895">
        <w:tc>
          <w:tcPr>
            <w:tcW w:w="4140" w:type="dxa"/>
            <w:shd w:val="clear" w:color="auto" w:fill="auto"/>
          </w:tcPr>
          <w:p w:rsidR="001C7895" w:rsidRDefault="001C7895" w:rsidP="000E3566">
            <w:pPr>
              <w:rPr>
                <w:rFonts w:eastAsia="Times New Roman" w:cs="Times New Roman"/>
                <w:szCs w:val="24"/>
              </w:rPr>
            </w:pPr>
          </w:p>
          <w:p w:rsidR="00A41AFD" w:rsidRPr="00237B4D" w:rsidRDefault="00A41AFD" w:rsidP="000E3566">
            <w:pPr>
              <w:rPr>
                <w:rFonts w:eastAsia="Times New Roman" w:cs="Times New Roman"/>
                <w:szCs w:val="24"/>
              </w:rPr>
            </w:pPr>
          </w:p>
        </w:tc>
        <w:tc>
          <w:tcPr>
            <w:tcW w:w="2790" w:type="dxa"/>
            <w:shd w:val="clear" w:color="auto" w:fill="auto"/>
          </w:tcPr>
          <w:p w:rsidR="001C7895" w:rsidRPr="00237B4D" w:rsidRDefault="001C7895" w:rsidP="000E3566">
            <w:pPr>
              <w:rPr>
                <w:rFonts w:eastAsia="Times New Roman" w:cs="Times New Roman"/>
                <w:szCs w:val="24"/>
              </w:rPr>
            </w:pPr>
          </w:p>
        </w:tc>
        <w:tc>
          <w:tcPr>
            <w:tcW w:w="2880" w:type="dxa"/>
            <w:shd w:val="clear" w:color="auto" w:fill="auto"/>
          </w:tcPr>
          <w:p w:rsidR="001C7895" w:rsidRPr="00237B4D" w:rsidRDefault="001C7895" w:rsidP="000E3566">
            <w:pPr>
              <w:rPr>
                <w:rFonts w:eastAsia="Times New Roman" w:cs="Times New Roman"/>
                <w:szCs w:val="24"/>
              </w:rPr>
            </w:pPr>
          </w:p>
        </w:tc>
      </w:tr>
    </w:tbl>
    <w:p w:rsidR="00F73FAA" w:rsidRPr="000C3752" w:rsidRDefault="000C3752" w:rsidP="000C3752">
      <w:pPr>
        <w:pStyle w:val="CEPHIR"/>
        <w:spacing w:after="0"/>
        <w:rPr>
          <w:b w:val="0"/>
          <w:u w:val="single"/>
        </w:rPr>
      </w:pPr>
      <w:r w:rsidRPr="000C3752">
        <w:rPr>
          <w:b w:val="0"/>
          <w:u w:val="single"/>
        </w:rPr>
        <w:t>Assessment Plan</w:t>
      </w:r>
    </w:p>
    <w:p w:rsidR="00A41AFD" w:rsidRDefault="005A5BA5" w:rsidP="005A5BA5">
      <w:pPr>
        <w:spacing w:after="0"/>
        <w:rPr>
          <w:szCs w:val="24"/>
        </w:rPr>
      </w:pPr>
      <w:r w:rsidRPr="00614D93">
        <w:rPr>
          <w:szCs w:val="24"/>
        </w:rPr>
        <w:t>The</w:t>
      </w:r>
      <w:r>
        <w:rPr>
          <w:szCs w:val="24"/>
        </w:rPr>
        <w:t xml:space="preserve"> following</w:t>
      </w:r>
      <w:r w:rsidRPr="00614D93">
        <w:rPr>
          <w:szCs w:val="24"/>
        </w:rPr>
        <w:t xml:space="preserve"> table summarizes the</w:t>
      </w:r>
      <w:r w:rsidR="00236A8F">
        <w:rPr>
          <w:szCs w:val="24"/>
        </w:rPr>
        <w:t xml:space="preserve"> assessment plan, approve</w:t>
      </w:r>
      <w:r w:rsidR="00064E50">
        <w:rPr>
          <w:szCs w:val="24"/>
        </w:rPr>
        <w:t>d a</w:t>
      </w:r>
      <w:r w:rsidR="00FB7AA1">
        <w:rPr>
          <w:szCs w:val="24"/>
        </w:rPr>
        <w:t>t the</w:t>
      </w:r>
      <w:r w:rsidR="00064E50">
        <w:rPr>
          <w:szCs w:val="24"/>
        </w:rPr>
        <w:t xml:space="preserve"> </w:t>
      </w:r>
      <w:hyperlink r:id="rId10" w:history="1">
        <w:r w:rsidR="00054FFE">
          <w:rPr>
            <w:rStyle w:val="Hyperlink"/>
            <w:szCs w:val="24"/>
          </w:rPr>
          <w:t>May J</w:t>
        </w:r>
        <w:r w:rsidR="00064E50" w:rsidRPr="00FB7AA1">
          <w:rPr>
            <w:rStyle w:val="Hyperlink"/>
            <w:szCs w:val="24"/>
          </w:rPr>
          <w:t xml:space="preserve">oint MPH-BSPH </w:t>
        </w:r>
        <w:r w:rsidR="00054FFE">
          <w:rPr>
            <w:rStyle w:val="Hyperlink"/>
            <w:szCs w:val="24"/>
          </w:rPr>
          <w:t xml:space="preserve">Committee </w:t>
        </w:r>
        <w:r w:rsidR="00064E50" w:rsidRPr="00FB7AA1">
          <w:rPr>
            <w:rStyle w:val="Hyperlink"/>
            <w:szCs w:val="24"/>
          </w:rPr>
          <w:t>meeting</w:t>
        </w:r>
      </w:hyperlink>
      <w:r w:rsidR="00064E50">
        <w:rPr>
          <w:szCs w:val="24"/>
        </w:rPr>
        <w:t>, and</w:t>
      </w:r>
      <w:r w:rsidR="00927A2A">
        <w:rPr>
          <w:szCs w:val="24"/>
        </w:rPr>
        <w:t xml:space="preserve"> </w:t>
      </w:r>
      <w:r w:rsidR="00054FFE">
        <w:rPr>
          <w:szCs w:val="24"/>
        </w:rPr>
        <w:t xml:space="preserve">the </w:t>
      </w:r>
      <w:r w:rsidR="00927A2A">
        <w:rPr>
          <w:szCs w:val="24"/>
        </w:rPr>
        <w:t>instruments/</w:t>
      </w:r>
      <w:r w:rsidRPr="00614D93">
        <w:rPr>
          <w:szCs w:val="24"/>
        </w:rPr>
        <w:t>tools that will be used</w:t>
      </w:r>
      <w:r w:rsidR="00552199">
        <w:rPr>
          <w:szCs w:val="24"/>
        </w:rPr>
        <w:t xml:space="preserve"> to monitor program activities.</w:t>
      </w:r>
      <w:r w:rsidR="00A41AFD">
        <w:rPr>
          <w:szCs w:val="24"/>
        </w:rPr>
        <w:t xml:space="preserve"> </w:t>
      </w:r>
      <w:r w:rsidRPr="00614D93">
        <w:rPr>
          <w:szCs w:val="24"/>
        </w:rPr>
        <w:t xml:space="preserve">Select summary findings </w:t>
      </w:r>
      <w:r w:rsidR="005B0E9C">
        <w:rPr>
          <w:szCs w:val="24"/>
        </w:rPr>
        <w:t xml:space="preserve">from each of these instruments/tools </w:t>
      </w:r>
      <w:r w:rsidR="00064E50">
        <w:rPr>
          <w:szCs w:val="24"/>
        </w:rPr>
        <w:t>will be compiled into a comprehensive</w:t>
      </w:r>
      <w:r w:rsidRPr="00614D93">
        <w:rPr>
          <w:szCs w:val="24"/>
        </w:rPr>
        <w:t xml:space="preserve"> </w:t>
      </w:r>
      <w:r w:rsidRPr="00552199">
        <w:rPr>
          <w:szCs w:val="24"/>
        </w:rPr>
        <w:t>annual report</w:t>
      </w:r>
      <w:r w:rsidR="00A41AFD">
        <w:rPr>
          <w:szCs w:val="24"/>
        </w:rPr>
        <w:t xml:space="preserve"> during the summer; the MPH and BSPH coordinators are jointly responsible</w:t>
      </w:r>
      <w:r w:rsidR="00214CE4">
        <w:rPr>
          <w:szCs w:val="24"/>
        </w:rPr>
        <w:t xml:space="preserve"> for producing this report</w:t>
      </w:r>
      <w:r w:rsidR="00A41AFD">
        <w:rPr>
          <w:szCs w:val="24"/>
        </w:rPr>
        <w:t>.</w:t>
      </w:r>
      <w:r w:rsidR="00214CE4">
        <w:rPr>
          <w:szCs w:val="24"/>
        </w:rPr>
        <w:t xml:space="preserve">  Data used to inform the report will be stored on the shared drive.</w:t>
      </w:r>
    </w:p>
    <w:p w:rsidR="00A41AFD" w:rsidRDefault="00A41AFD" w:rsidP="005A5BA5">
      <w:pPr>
        <w:spacing w:after="0"/>
        <w:rPr>
          <w:szCs w:val="24"/>
        </w:rPr>
      </w:pPr>
    </w:p>
    <w:p w:rsidR="00064E50" w:rsidRDefault="00A41AFD" w:rsidP="005A5BA5">
      <w:pPr>
        <w:spacing w:after="0"/>
        <w:rPr>
          <w:szCs w:val="24"/>
        </w:rPr>
      </w:pPr>
      <w:r>
        <w:rPr>
          <w:szCs w:val="24"/>
        </w:rPr>
        <w:t>The annual report will be presented during the August workday and used for</w:t>
      </w:r>
      <w:r w:rsidR="005A5BA5" w:rsidRPr="00614D93">
        <w:rPr>
          <w:szCs w:val="24"/>
        </w:rPr>
        <w:t xml:space="preserve"> strategic planning </w:t>
      </w:r>
      <w:r>
        <w:rPr>
          <w:szCs w:val="24"/>
        </w:rPr>
        <w:t>for</w:t>
      </w:r>
      <w:r w:rsidR="005A5BA5" w:rsidRPr="00614D93">
        <w:rPr>
          <w:szCs w:val="24"/>
        </w:rPr>
        <w:t xml:space="preserve"> program improvements</w:t>
      </w:r>
      <w:r>
        <w:rPr>
          <w:szCs w:val="24"/>
        </w:rPr>
        <w:t>. It</w:t>
      </w:r>
      <w:r w:rsidR="00FB7AA1">
        <w:rPr>
          <w:szCs w:val="24"/>
        </w:rPr>
        <w:t xml:space="preserve"> </w:t>
      </w:r>
      <w:r w:rsidR="005A5BA5" w:rsidRPr="00614D93">
        <w:rPr>
          <w:szCs w:val="24"/>
        </w:rPr>
        <w:t xml:space="preserve">will be disseminated to the external advisory committee, </w:t>
      </w:r>
      <w:r w:rsidR="005A5BA5">
        <w:rPr>
          <w:szCs w:val="24"/>
        </w:rPr>
        <w:t xml:space="preserve">departmental and college </w:t>
      </w:r>
      <w:r w:rsidR="005A5BA5" w:rsidRPr="00614D93">
        <w:rPr>
          <w:szCs w:val="24"/>
        </w:rPr>
        <w:t>administrators, and electronically on the program web</w:t>
      </w:r>
      <w:r w:rsidR="005A5BA5">
        <w:rPr>
          <w:szCs w:val="24"/>
        </w:rPr>
        <w:t>page</w:t>
      </w:r>
      <w:r w:rsidR="005A5BA5" w:rsidRPr="00614D93">
        <w:rPr>
          <w:szCs w:val="24"/>
        </w:rPr>
        <w:t xml:space="preserve">. </w:t>
      </w:r>
    </w:p>
    <w:tbl>
      <w:tblPr>
        <w:tblStyle w:val="TableGrid"/>
        <w:tblpPr w:leftFromText="180" w:rightFromText="180" w:vertAnchor="text" w:horzAnchor="margin" w:tblpXSpec="center" w:tblpY="703"/>
        <w:tblW w:w="9535" w:type="dxa"/>
        <w:tblLayout w:type="fixed"/>
        <w:tblLook w:val="04A0" w:firstRow="1" w:lastRow="0" w:firstColumn="1" w:lastColumn="0" w:noHBand="0" w:noVBand="1"/>
      </w:tblPr>
      <w:tblGrid>
        <w:gridCol w:w="6575"/>
        <w:gridCol w:w="1170"/>
        <w:gridCol w:w="1790"/>
      </w:tblGrid>
      <w:tr w:rsidR="00064E50" w:rsidTr="0025154E">
        <w:tc>
          <w:tcPr>
            <w:tcW w:w="6575" w:type="dxa"/>
            <w:shd w:val="clear" w:color="auto" w:fill="E7E6E6" w:themeFill="background2"/>
          </w:tcPr>
          <w:p w:rsidR="00064E50" w:rsidRPr="006262D7" w:rsidRDefault="00064E50" w:rsidP="00E37211">
            <w:pPr>
              <w:rPr>
                <w:b/>
              </w:rPr>
            </w:pPr>
            <w:r w:rsidRPr="006262D7">
              <w:rPr>
                <w:b/>
              </w:rPr>
              <w:t>PROGRAM SURVEYS</w:t>
            </w:r>
          </w:p>
        </w:tc>
        <w:tc>
          <w:tcPr>
            <w:tcW w:w="1170" w:type="dxa"/>
            <w:shd w:val="clear" w:color="auto" w:fill="E7E6E6" w:themeFill="background2"/>
          </w:tcPr>
          <w:p w:rsidR="00064E50" w:rsidRPr="007F55B9" w:rsidRDefault="00064E50" w:rsidP="00E37211">
            <w:pPr>
              <w:rPr>
                <w:b/>
              </w:rPr>
            </w:pPr>
            <w:r w:rsidRPr="007F55B9">
              <w:rPr>
                <w:b/>
              </w:rPr>
              <w:t>When</w:t>
            </w:r>
          </w:p>
        </w:tc>
        <w:tc>
          <w:tcPr>
            <w:tcW w:w="1790" w:type="dxa"/>
            <w:shd w:val="clear" w:color="auto" w:fill="E7E6E6" w:themeFill="background2"/>
          </w:tcPr>
          <w:p w:rsidR="00064E50" w:rsidRPr="007F55B9" w:rsidRDefault="00064E50" w:rsidP="00E37211">
            <w:pPr>
              <w:rPr>
                <w:b/>
              </w:rPr>
            </w:pPr>
            <w:r w:rsidRPr="007F55B9">
              <w:rPr>
                <w:b/>
              </w:rPr>
              <w:t>By Whom</w:t>
            </w:r>
          </w:p>
        </w:tc>
      </w:tr>
      <w:tr w:rsidR="00064E50" w:rsidTr="0025154E">
        <w:tc>
          <w:tcPr>
            <w:tcW w:w="6575" w:type="dxa"/>
          </w:tcPr>
          <w:p w:rsidR="00064E50" w:rsidRDefault="00064E50" w:rsidP="00E37211">
            <w:r w:rsidRPr="00C72E26">
              <w:rPr>
                <w:b/>
                <w:i/>
              </w:rPr>
              <w:t>1 yr alumni survey:</w:t>
            </w:r>
            <w:r>
              <w:t xml:space="preserve"> Census of alumni, approximately one year post-graduation, identified through institutional research (IR) reports and social media, to determine current status (working, continuing education, looking/applying, not looking/applying).   Informs CEPH annual report and B3-1.</w:t>
            </w:r>
          </w:p>
        </w:tc>
        <w:tc>
          <w:tcPr>
            <w:tcW w:w="1170" w:type="dxa"/>
          </w:tcPr>
          <w:p w:rsidR="00064E50" w:rsidRDefault="00064E50" w:rsidP="00E37211">
            <w:r>
              <w:t>Annually</w:t>
            </w:r>
          </w:p>
        </w:tc>
        <w:tc>
          <w:tcPr>
            <w:tcW w:w="1790" w:type="dxa"/>
          </w:tcPr>
          <w:p w:rsidR="00064E50" w:rsidRDefault="00064E50" w:rsidP="00E37211">
            <w:r>
              <w:t>MPH Coord</w:t>
            </w:r>
          </w:p>
          <w:p w:rsidR="00064E50" w:rsidRDefault="00064E50" w:rsidP="00E37211">
            <w:r>
              <w:t>BSPH Coord</w:t>
            </w:r>
          </w:p>
        </w:tc>
      </w:tr>
      <w:tr w:rsidR="00064E50" w:rsidTr="0025154E">
        <w:tc>
          <w:tcPr>
            <w:tcW w:w="6575" w:type="dxa"/>
          </w:tcPr>
          <w:p w:rsidR="00064E50" w:rsidRDefault="00064E50" w:rsidP="00E37211">
            <w:r>
              <w:rPr>
                <w:b/>
                <w:i/>
              </w:rPr>
              <w:t xml:space="preserve">MPH </w:t>
            </w:r>
            <w:r w:rsidRPr="00C72E26">
              <w:rPr>
                <w:b/>
                <w:i/>
              </w:rPr>
              <w:t>3 yr alumni survey:</w:t>
            </w:r>
            <w:r w:rsidRPr="002777BF">
              <w:rPr>
                <w:i/>
              </w:rPr>
              <w:t xml:space="preserve"> </w:t>
            </w:r>
            <w:r>
              <w:t>Census of alumni, approximately three years post-graduation and identified through IR reports and social media, to determine perceptions of success in achieving program competencies and ability to apply competencies in post-graduation placements (B4); use of career services (H4); participation in student mentoring and alumni activities.</w:t>
            </w:r>
          </w:p>
        </w:tc>
        <w:tc>
          <w:tcPr>
            <w:tcW w:w="1170" w:type="dxa"/>
          </w:tcPr>
          <w:p w:rsidR="00064E50" w:rsidRDefault="00064E50" w:rsidP="00E37211">
            <w:r>
              <w:t>Annually</w:t>
            </w:r>
          </w:p>
        </w:tc>
        <w:tc>
          <w:tcPr>
            <w:tcW w:w="1790" w:type="dxa"/>
          </w:tcPr>
          <w:p w:rsidR="00064E50" w:rsidRDefault="00064E50" w:rsidP="00E37211">
            <w:r>
              <w:t>MPH Coord</w:t>
            </w:r>
          </w:p>
        </w:tc>
      </w:tr>
      <w:tr w:rsidR="00064E50" w:rsidTr="0025154E">
        <w:tc>
          <w:tcPr>
            <w:tcW w:w="6575" w:type="dxa"/>
          </w:tcPr>
          <w:p w:rsidR="00064E50" w:rsidRDefault="00064E50" w:rsidP="00E37211">
            <w:r>
              <w:rPr>
                <w:b/>
                <w:i/>
              </w:rPr>
              <w:t xml:space="preserve">BSPH </w:t>
            </w:r>
            <w:r w:rsidRPr="00C72E26">
              <w:rPr>
                <w:b/>
                <w:i/>
              </w:rPr>
              <w:t>3 yr alumni survey:</w:t>
            </w:r>
            <w:r w:rsidRPr="002777BF">
              <w:rPr>
                <w:i/>
              </w:rPr>
              <w:t xml:space="preserve"> </w:t>
            </w:r>
            <w:r>
              <w:t>Census of alumni, approximately three years post-graduation and identified through IR reports and social media, to determine perceptions of success in meeting foundational domains and program competencies, and ability to apply them in post-graduation placements (B4); use of career services (H4).</w:t>
            </w:r>
          </w:p>
        </w:tc>
        <w:tc>
          <w:tcPr>
            <w:tcW w:w="1170" w:type="dxa"/>
          </w:tcPr>
          <w:p w:rsidR="00064E50" w:rsidRDefault="00064E50" w:rsidP="00E37211">
            <w:r>
              <w:t>Annually</w:t>
            </w:r>
          </w:p>
        </w:tc>
        <w:tc>
          <w:tcPr>
            <w:tcW w:w="1790" w:type="dxa"/>
          </w:tcPr>
          <w:p w:rsidR="00064E50" w:rsidRDefault="00064E50" w:rsidP="00E37211">
            <w:r>
              <w:t>BSPH Coord</w:t>
            </w:r>
          </w:p>
        </w:tc>
      </w:tr>
      <w:tr w:rsidR="00064E50" w:rsidTr="0025154E">
        <w:tc>
          <w:tcPr>
            <w:tcW w:w="6575" w:type="dxa"/>
          </w:tcPr>
          <w:p w:rsidR="00064E50" w:rsidRPr="00360CF1" w:rsidRDefault="00064E50" w:rsidP="00E37211">
            <w:pPr>
              <w:rPr>
                <w:color w:val="C00000"/>
              </w:rPr>
            </w:pPr>
            <w:r w:rsidRPr="00C72E26">
              <w:rPr>
                <w:b/>
                <w:i/>
              </w:rPr>
              <w:t>Student Survey:</w:t>
            </w:r>
            <w:r>
              <w:t xml:space="preserve">  Census of continuing MPH and BSPH students. Measures perceptions of class size and availability of faculty (C2); involvement in service beyond APE/internship (F2); inclusivity/ culture (G1); satisfaction with advising (H1); satisfaction with </w:t>
            </w:r>
            <w:r>
              <w:lastRenderedPageBreak/>
              <w:t xml:space="preserve">career advising (H2); </w:t>
            </w:r>
            <w:r w:rsidRPr="00F11831">
              <w:t>student</w:t>
            </w:r>
            <w:r>
              <w:t xml:space="preserve"> governance (A3); and, student goal measures</w:t>
            </w:r>
          </w:p>
        </w:tc>
        <w:tc>
          <w:tcPr>
            <w:tcW w:w="1170" w:type="dxa"/>
          </w:tcPr>
          <w:p w:rsidR="00064E50" w:rsidRDefault="00064E50" w:rsidP="00E37211">
            <w:r>
              <w:lastRenderedPageBreak/>
              <w:t>Each April</w:t>
            </w:r>
          </w:p>
        </w:tc>
        <w:tc>
          <w:tcPr>
            <w:tcW w:w="1790" w:type="dxa"/>
          </w:tcPr>
          <w:p w:rsidR="00064E50" w:rsidRDefault="00064E50" w:rsidP="00E37211">
            <w:r>
              <w:t>MPH Coord</w:t>
            </w:r>
          </w:p>
          <w:p w:rsidR="00064E50" w:rsidRDefault="00064E50" w:rsidP="00E37211">
            <w:r>
              <w:t>BSPH Coord</w:t>
            </w:r>
          </w:p>
        </w:tc>
      </w:tr>
      <w:tr w:rsidR="00064E50" w:rsidTr="0025154E">
        <w:tc>
          <w:tcPr>
            <w:tcW w:w="6575" w:type="dxa"/>
          </w:tcPr>
          <w:p w:rsidR="00064E50" w:rsidRPr="00EE7FFA" w:rsidRDefault="00064E50" w:rsidP="00927A2A">
            <w:r w:rsidRPr="00EE7FFA">
              <w:rPr>
                <w:b/>
                <w:i/>
              </w:rPr>
              <w:t>MPH Exit Survey:</w:t>
            </w:r>
            <w:r w:rsidRPr="00EE7FFA">
              <w:t xml:space="preserve"> Census of graduating MPH Students to determine perception of how well program prepared on</w:t>
            </w:r>
            <w:r w:rsidR="00927A2A">
              <w:t xml:space="preserve"> c</w:t>
            </w:r>
            <w:r w:rsidRPr="00EE7FFA">
              <w:t>ompetencies, career preparation, perceptions on advising, class size , instruction, innovations.</w:t>
            </w:r>
          </w:p>
        </w:tc>
        <w:tc>
          <w:tcPr>
            <w:tcW w:w="1170" w:type="dxa"/>
          </w:tcPr>
          <w:p w:rsidR="00064E50" w:rsidRDefault="00064E50" w:rsidP="00E37211">
            <w:r>
              <w:t>End of each semester</w:t>
            </w:r>
          </w:p>
        </w:tc>
        <w:tc>
          <w:tcPr>
            <w:tcW w:w="1790" w:type="dxa"/>
          </w:tcPr>
          <w:p w:rsidR="00064E50" w:rsidRDefault="00064E50" w:rsidP="00E37211">
            <w:r>
              <w:t>MPH Coord</w:t>
            </w:r>
          </w:p>
        </w:tc>
      </w:tr>
      <w:tr w:rsidR="00064E50" w:rsidTr="0025154E">
        <w:tc>
          <w:tcPr>
            <w:tcW w:w="6575" w:type="dxa"/>
          </w:tcPr>
          <w:p w:rsidR="00064E50" w:rsidRPr="00EE7FFA" w:rsidRDefault="00064E50" w:rsidP="00E37211">
            <w:r w:rsidRPr="00EE7FFA">
              <w:rPr>
                <w:b/>
                <w:i/>
              </w:rPr>
              <w:t xml:space="preserve">BSPH Exit Survey: </w:t>
            </w:r>
            <w:r w:rsidRPr="00EE7FFA">
              <w:t xml:space="preserve"> Census of graduating students BSPH Students to determine perception of how well program prepared on competencies and foundational knowledge, career preparation, perceptions on advising, class size, instruction, innovations.</w:t>
            </w:r>
          </w:p>
        </w:tc>
        <w:tc>
          <w:tcPr>
            <w:tcW w:w="1170" w:type="dxa"/>
          </w:tcPr>
          <w:p w:rsidR="00064E50" w:rsidRDefault="00064E50" w:rsidP="00E37211">
            <w:r>
              <w:t>End of each semester</w:t>
            </w:r>
          </w:p>
        </w:tc>
        <w:tc>
          <w:tcPr>
            <w:tcW w:w="1790" w:type="dxa"/>
          </w:tcPr>
          <w:p w:rsidR="00064E50" w:rsidRDefault="00064E50" w:rsidP="00E37211">
            <w:r>
              <w:t>BSPH Coord</w:t>
            </w:r>
          </w:p>
        </w:tc>
      </w:tr>
      <w:tr w:rsidR="00064E50" w:rsidTr="0025154E">
        <w:tc>
          <w:tcPr>
            <w:tcW w:w="6575" w:type="dxa"/>
          </w:tcPr>
          <w:p w:rsidR="00064E50" w:rsidRDefault="00064E50" w:rsidP="00E37211">
            <w:r w:rsidRPr="00C72E26">
              <w:rPr>
                <w:b/>
                <w:i/>
              </w:rPr>
              <w:t>Orientation Survey</w:t>
            </w:r>
            <w:r w:rsidRPr="002777BF">
              <w:rPr>
                <w:i/>
              </w:rPr>
              <w:t>:</w:t>
            </w:r>
            <w:r>
              <w:t xml:space="preserve">  Census of newly matriculating MPH students and newly admitted BSPH students to inform advising and assess prior experience in health/PH (H4), if multilingual (H4), and if member of priority diversity population(s) (G1).</w:t>
            </w:r>
          </w:p>
        </w:tc>
        <w:tc>
          <w:tcPr>
            <w:tcW w:w="1170" w:type="dxa"/>
          </w:tcPr>
          <w:p w:rsidR="00064E50" w:rsidRDefault="00064E50" w:rsidP="00E37211">
            <w:r>
              <w:t xml:space="preserve">Start of each semester </w:t>
            </w:r>
          </w:p>
        </w:tc>
        <w:tc>
          <w:tcPr>
            <w:tcW w:w="1790" w:type="dxa"/>
          </w:tcPr>
          <w:p w:rsidR="00064E50" w:rsidRDefault="00064E50" w:rsidP="00E37211">
            <w:r>
              <w:t>MPH Coord</w:t>
            </w:r>
          </w:p>
          <w:p w:rsidR="00064E50" w:rsidRDefault="00064E50" w:rsidP="00E37211">
            <w:r>
              <w:t>BSPH Coord</w:t>
            </w:r>
          </w:p>
        </w:tc>
      </w:tr>
      <w:tr w:rsidR="00064E50" w:rsidTr="0025154E">
        <w:tc>
          <w:tcPr>
            <w:tcW w:w="6575" w:type="dxa"/>
          </w:tcPr>
          <w:p w:rsidR="00064E50" w:rsidRDefault="00064E50" w:rsidP="00E37211">
            <w:r w:rsidRPr="00001E2D">
              <w:rPr>
                <w:b/>
                <w:i/>
              </w:rPr>
              <w:t xml:space="preserve">Faculty </w:t>
            </w:r>
            <w:r>
              <w:rPr>
                <w:b/>
                <w:i/>
              </w:rPr>
              <w:t>Annual Repor</w:t>
            </w:r>
            <w:r w:rsidRPr="00001E2D">
              <w:rPr>
                <w:b/>
                <w:i/>
              </w:rPr>
              <w:t>t:</w:t>
            </w:r>
            <w:r>
              <w:t xml:space="preserve"> Census of primary faculty assessing goal measures for scholarship, service, instruction; professional development; measures for </w:t>
            </w:r>
            <w:r w:rsidRPr="00B03598">
              <w:t xml:space="preserve">E3, E4, E5.  </w:t>
            </w:r>
          </w:p>
        </w:tc>
        <w:tc>
          <w:tcPr>
            <w:tcW w:w="1170" w:type="dxa"/>
          </w:tcPr>
          <w:p w:rsidR="00064E50" w:rsidRDefault="00064E50" w:rsidP="00E37211">
            <w:r>
              <w:t>Each May</w:t>
            </w:r>
          </w:p>
        </w:tc>
        <w:tc>
          <w:tcPr>
            <w:tcW w:w="1790" w:type="dxa"/>
          </w:tcPr>
          <w:p w:rsidR="00064E50" w:rsidRDefault="00064E50" w:rsidP="00E37211">
            <w:r>
              <w:t>Assess Comm</w:t>
            </w:r>
          </w:p>
        </w:tc>
      </w:tr>
      <w:tr w:rsidR="00064E50" w:rsidTr="0025154E">
        <w:tc>
          <w:tcPr>
            <w:tcW w:w="6575" w:type="dxa"/>
            <w:shd w:val="clear" w:color="auto" w:fill="E7E6E6" w:themeFill="background2"/>
          </w:tcPr>
          <w:p w:rsidR="00064E50" w:rsidRPr="00D46EA6" w:rsidRDefault="00064E50" w:rsidP="00E37211">
            <w:pPr>
              <w:rPr>
                <w:b/>
                <w:i/>
              </w:rPr>
            </w:pPr>
            <w:r>
              <w:rPr>
                <w:b/>
              </w:rPr>
              <w:t>INTERNAL ASSESSMENTS (non-survey)</w:t>
            </w:r>
          </w:p>
        </w:tc>
        <w:tc>
          <w:tcPr>
            <w:tcW w:w="1170" w:type="dxa"/>
            <w:shd w:val="clear" w:color="auto" w:fill="E7E6E6" w:themeFill="background2"/>
          </w:tcPr>
          <w:p w:rsidR="00064E50" w:rsidRDefault="00064E50" w:rsidP="00E37211"/>
        </w:tc>
        <w:tc>
          <w:tcPr>
            <w:tcW w:w="1790" w:type="dxa"/>
            <w:shd w:val="clear" w:color="auto" w:fill="E7E6E6" w:themeFill="background2"/>
          </w:tcPr>
          <w:p w:rsidR="00064E50" w:rsidRDefault="00064E50" w:rsidP="00E37211"/>
        </w:tc>
      </w:tr>
      <w:tr w:rsidR="00064E50" w:rsidTr="0025154E">
        <w:tc>
          <w:tcPr>
            <w:tcW w:w="6575" w:type="dxa"/>
          </w:tcPr>
          <w:p w:rsidR="00064E50" w:rsidRDefault="00064E50" w:rsidP="00E37211">
            <w:r>
              <w:rPr>
                <w:b/>
                <w:i/>
              </w:rPr>
              <w:t xml:space="preserve">MPH </w:t>
            </w:r>
            <w:r w:rsidRPr="00D46EA6">
              <w:rPr>
                <w:b/>
                <w:i/>
              </w:rPr>
              <w:t>Syllabi Review:</w:t>
            </w:r>
            <w:r>
              <w:t xml:space="preserve">  higher order objectives; learning objective alignments to competencies, foundational knowledge (MPH), foundational domains (BSPH); assessment alignments.</w:t>
            </w:r>
          </w:p>
        </w:tc>
        <w:tc>
          <w:tcPr>
            <w:tcW w:w="1170" w:type="dxa"/>
          </w:tcPr>
          <w:p w:rsidR="00064E50" w:rsidRDefault="00064E50" w:rsidP="00E37211">
            <w:r>
              <w:t>Annually</w:t>
            </w:r>
          </w:p>
        </w:tc>
        <w:tc>
          <w:tcPr>
            <w:tcW w:w="1790" w:type="dxa"/>
          </w:tcPr>
          <w:p w:rsidR="00064E50" w:rsidRDefault="00064E50" w:rsidP="00E37211">
            <w:r>
              <w:t>MPH Curriculum Committee(CC)</w:t>
            </w:r>
          </w:p>
        </w:tc>
      </w:tr>
      <w:tr w:rsidR="00064E50" w:rsidTr="0025154E">
        <w:tc>
          <w:tcPr>
            <w:tcW w:w="6575" w:type="dxa"/>
          </w:tcPr>
          <w:p w:rsidR="00064E50" w:rsidRDefault="00064E50" w:rsidP="00E37211">
            <w:pPr>
              <w:rPr>
                <w:b/>
                <w:i/>
              </w:rPr>
            </w:pPr>
            <w:r>
              <w:rPr>
                <w:b/>
                <w:i/>
              </w:rPr>
              <w:t xml:space="preserve">BSPH </w:t>
            </w:r>
            <w:r w:rsidRPr="00D46EA6">
              <w:rPr>
                <w:b/>
                <w:i/>
              </w:rPr>
              <w:t>Syllabi Review:</w:t>
            </w:r>
            <w:r>
              <w:t xml:space="preserve">  higher order objectives; learning objective alignments to competencies, foundational domains (BSPH); assessment alignments.</w:t>
            </w:r>
          </w:p>
        </w:tc>
        <w:tc>
          <w:tcPr>
            <w:tcW w:w="1170" w:type="dxa"/>
          </w:tcPr>
          <w:p w:rsidR="00064E50" w:rsidRDefault="00064E50" w:rsidP="00E37211">
            <w:r>
              <w:t>Annually</w:t>
            </w:r>
          </w:p>
        </w:tc>
        <w:tc>
          <w:tcPr>
            <w:tcW w:w="1790" w:type="dxa"/>
          </w:tcPr>
          <w:p w:rsidR="00064E50" w:rsidRDefault="00064E50" w:rsidP="00E37211">
            <w:r>
              <w:t>BSPH CC</w:t>
            </w:r>
          </w:p>
        </w:tc>
      </w:tr>
      <w:tr w:rsidR="00064E50" w:rsidTr="0025154E">
        <w:tc>
          <w:tcPr>
            <w:tcW w:w="6575" w:type="dxa"/>
          </w:tcPr>
          <w:p w:rsidR="00064E50" w:rsidRPr="001A4266" w:rsidRDefault="00064E50" w:rsidP="00E37211">
            <w:r>
              <w:rPr>
                <w:b/>
                <w:i/>
              </w:rPr>
              <w:t xml:space="preserve">MPH Competency Alignment: </w:t>
            </w:r>
            <w:r>
              <w:t>content review vis a vis competencies and foundational knowledge.</w:t>
            </w:r>
          </w:p>
        </w:tc>
        <w:tc>
          <w:tcPr>
            <w:tcW w:w="1170" w:type="dxa"/>
          </w:tcPr>
          <w:p w:rsidR="00064E50" w:rsidRDefault="00064E50" w:rsidP="00E37211">
            <w:r>
              <w:t xml:space="preserve"> 3.5 yrs</w:t>
            </w:r>
          </w:p>
        </w:tc>
        <w:tc>
          <w:tcPr>
            <w:tcW w:w="1790" w:type="dxa"/>
          </w:tcPr>
          <w:p w:rsidR="00064E50" w:rsidRDefault="00064E50" w:rsidP="00E37211">
            <w:r>
              <w:t>MPH CC</w:t>
            </w:r>
          </w:p>
        </w:tc>
      </w:tr>
      <w:tr w:rsidR="00064E50" w:rsidTr="0025154E">
        <w:tc>
          <w:tcPr>
            <w:tcW w:w="6575" w:type="dxa"/>
          </w:tcPr>
          <w:p w:rsidR="00064E50" w:rsidRPr="00826E06" w:rsidRDefault="00064E50" w:rsidP="00E37211">
            <w:r>
              <w:rPr>
                <w:b/>
                <w:i/>
              </w:rPr>
              <w:t xml:space="preserve">BSPH Competency Alignment: </w:t>
            </w:r>
            <w:r>
              <w:t xml:space="preserve"> content review vis a vis competencies and foundational domains.</w:t>
            </w:r>
          </w:p>
        </w:tc>
        <w:tc>
          <w:tcPr>
            <w:tcW w:w="1170" w:type="dxa"/>
          </w:tcPr>
          <w:p w:rsidR="00064E50" w:rsidRDefault="00064E50" w:rsidP="00E37211">
            <w:r>
              <w:t>3.5 yrs</w:t>
            </w:r>
          </w:p>
        </w:tc>
        <w:tc>
          <w:tcPr>
            <w:tcW w:w="1790" w:type="dxa"/>
          </w:tcPr>
          <w:p w:rsidR="00064E50" w:rsidRDefault="00064E50" w:rsidP="00E37211">
            <w:r>
              <w:t>BSPH CC</w:t>
            </w:r>
          </w:p>
        </w:tc>
      </w:tr>
      <w:tr w:rsidR="00064E50" w:rsidTr="0025154E">
        <w:tc>
          <w:tcPr>
            <w:tcW w:w="6575" w:type="dxa"/>
          </w:tcPr>
          <w:p w:rsidR="00064E50" w:rsidRPr="00385BDD" w:rsidRDefault="00064E50" w:rsidP="00E37211">
            <w:r>
              <w:rPr>
                <w:b/>
                <w:i/>
              </w:rPr>
              <w:t>BSPH Internship Forms:</w:t>
            </w:r>
            <w:r>
              <w:t xml:space="preserve"> Annual summary of placements; Preceptor perception of students’ readiness for practice</w:t>
            </w:r>
          </w:p>
        </w:tc>
        <w:tc>
          <w:tcPr>
            <w:tcW w:w="1170" w:type="dxa"/>
          </w:tcPr>
          <w:p w:rsidR="00064E50" w:rsidRDefault="00064E50" w:rsidP="00E37211">
            <w:r>
              <w:t>Annual</w:t>
            </w:r>
          </w:p>
        </w:tc>
        <w:tc>
          <w:tcPr>
            <w:tcW w:w="1790" w:type="dxa"/>
          </w:tcPr>
          <w:p w:rsidR="00064E50" w:rsidRDefault="00064E50" w:rsidP="00E37211">
            <w:r>
              <w:t>BSPH Coord</w:t>
            </w:r>
          </w:p>
        </w:tc>
      </w:tr>
      <w:tr w:rsidR="00064E50" w:rsidTr="0025154E">
        <w:tc>
          <w:tcPr>
            <w:tcW w:w="6575" w:type="dxa"/>
          </w:tcPr>
          <w:p w:rsidR="00064E50" w:rsidRPr="006667F3" w:rsidRDefault="00064E50" w:rsidP="00E37211">
            <w:r>
              <w:rPr>
                <w:b/>
                <w:i/>
              </w:rPr>
              <w:t>Institutional Research Reports:</w:t>
            </w:r>
            <w:r>
              <w:t xml:space="preserve"> Graduation data; some diversity data; advisee headcounts; SAT/ACT (BSPH); GRE/TOEFEL (MPH); </w:t>
            </w:r>
          </w:p>
        </w:tc>
        <w:tc>
          <w:tcPr>
            <w:tcW w:w="1170" w:type="dxa"/>
          </w:tcPr>
          <w:p w:rsidR="00064E50" w:rsidRDefault="00064E50" w:rsidP="00E37211">
            <w:r>
              <w:t>Annual</w:t>
            </w:r>
          </w:p>
        </w:tc>
        <w:tc>
          <w:tcPr>
            <w:tcW w:w="1790" w:type="dxa"/>
          </w:tcPr>
          <w:p w:rsidR="00064E50" w:rsidRDefault="00064E50" w:rsidP="00E37211">
            <w:r>
              <w:t>MPH Coord</w:t>
            </w:r>
          </w:p>
          <w:p w:rsidR="00064E50" w:rsidRDefault="00064E50" w:rsidP="00E37211">
            <w:r>
              <w:t>BSPH Coord</w:t>
            </w:r>
          </w:p>
        </w:tc>
      </w:tr>
      <w:tr w:rsidR="00064E50" w:rsidTr="0025154E">
        <w:tc>
          <w:tcPr>
            <w:tcW w:w="6575" w:type="dxa"/>
          </w:tcPr>
          <w:p w:rsidR="00064E50" w:rsidRPr="00FB5208" w:rsidRDefault="00064E50" w:rsidP="00E37211">
            <w:r>
              <w:rPr>
                <w:b/>
                <w:i/>
              </w:rPr>
              <w:t xml:space="preserve">Virtual Suggestion Box: </w:t>
            </w:r>
            <w:r>
              <w:t xml:space="preserve">Anonymous online venue to share suggestions, complaints, etc.  </w:t>
            </w:r>
          </w:p>
        </w:tc>
        <w:tc>
          <w:tcPr>
            <w:tcW w:w="1170" w:type="dxa"/>
          </w:tcPr>
          <w:p w:rsidR="00064E50" w:rsidRDefault="00064E50" w:rsidP="00E37211">
            <w:r>
              <w:t>Ongoing</w:t>
            </w:r>
          </w:p>
        </w:tc>
        <w:tc>
          <w:tcPr>
            <w:tcW w:w="1790" w:type="dxa"/>
          </w:tcPr>
          <w:p w:rsidR="00064E50" w:rsidRDefault="00064E50" w:rsidP="00E37211">
            <w:r>
              <w:t>MPH Coord</w:t>
            </w:r>
          </w:p>
          <w:p w:rsidR="00064E50" w:rsidRDefault="00064E50" w:rsidP="00E37211">
            <w:r>
              <w:t>BSPH Coord</w:t>
            </w:r>
          </w:p>
        </w:tc>
      </w:tr>
      <w:tr w:rsidR="00064E50" w:rsidTr="0025154E">
        <w:tc>
          <w:tcPr>
            <w:tcW w:w="6575" w:type="dxa"/>
          </w:tcPr>
          <w:p w:rsidR="00064E50" w:rsidRPr="00FB5208" w:rsidRDefault="00064E50" w:rsidP="00E37211">
            <w:r>
              <w:rPr>
                <w:b/>
                <w:i/>
              </w:rPr>
              <w:t xml:space="preserve">Student Forums/Focus Groups: </w:t>
            </w:r>
            <w:r>
              <w:t>Provide student feedback and suggestions on issues related to program operations and curricula.</w:t>
            </w:r>
          </w:p>
        </w:tc>
        <w:tc>
          <w:tcPr>
            <w:tcW w:w="1170" w:type="dxa"/>
          </w:tcPr>
          <w:p w:rsidR="00064E50" w:rsidRDefault="00064E50" w:rsidP="00E37211">
            <w:r>
              <w:t>Ongoing</w:t>
            </w:r>
          </w:p>
          <w:p w:rsidR="00064E50" w:rsidRDefault="00064E50" w:rsidP="00E37211"/>
        </w:tc>
        <w:tc>
          <w:tcPr>
            <w:tcW w:w="1790" w:type="dxa"/>
          </w:tcPr>
          <w:p w:rsidR="00064E50" w:rsidRDefault="00064E50" w:rsidP="00E37211">
            <w:r>
              <w:t>MPH Coord BSPH Coord PHUGAS</w:t>
            </w:r>
          </w:p>
        </w:tc>
      </w:tr>
      <w:tr w:rsidR="00064E50" w:rsidTr="0025154E">
        <w:tc>
          <w:tcPr>
            <w:tcW w:w="6575" w:type="dxa"/>
          </w:tcPr>
          <w:p w:rsidR="00064E50" w:rsidRPr="00D70516" w:rsidRDefault="00064E50" w:rsidP="00E37211">
            <w:r>
              <w:rPr>
                <w:b/>
                <w:i/>
              </w:rPr>
              <w:t xml:space="preserve">Diversity: </w:t>
            </w:r>
            <w:r>
              <w:t>tracking form to monitor priority populations from IR reports and orientation survey</w:t>
            </w:r>
          </w:p>
        </w:tc>
        <w:tc>
          <w:tcPr>
            <w:tcW w:w="1170" w:type="dxa"/>
          </w:tcPr>
          <w:p w:rsidR="00064E50" w:rsidRDefault="00064E50" w:rsidP="00E37211">
            <w:r>
              <w:t>Annual</w:t>
            </w:r>
          </w:p>
        </w:tc>
        <w:tc>
          <w:tcPr>
            <w:tcW w:w="1790" w:type="dxa"/>
          </w:tcPr>
          <w:p w:rsidR="00064E50" w:rsidRDefault="00064E50" w:rsidP="00E37211">
            <w:r>
              <w:t>Diversity Comm</w:t>
            </w:r>
          </w:p>
        </w:tc>
      </w:tr>
      <w:tr w:rsidR="00064E50" w:rsidTr="0025154E">
        <w:tc>
          <w:tcPr>
            <w:tcW w:w="6575" w:type="dxa"/>
          </w:tcPr>
          <w:p w:rsidR="00064E50" w:rsidRPr="003233B6" w:rsidRDefault="00064E50" w:rsidP="00E37211">
            <w:r>
              <w:rPr>
                <w:b/>
                <w:i/>
              </w:rPr>
              <w:t>APE Forms:</w:t>
            </w:r>
            <w:r>
              <w:t xml:space="preserve"> APE agreements; project officer’s assessment; student reflections</w:t>
            </w:r>
          </w:p>
        </w:tc>
        <w:tc>
          <w:tcPr>
            <w:tcW w:w="1170" w:type="dxa"/>
          </w:tcPr>
          <w:p w:rsidR="00064E50" w:rsidRDefault="00064E50" w:rsidP="00E37211">
            <w:r>
              <w:t>Ongoing</w:t>
            </w:r>
          </w:p>
        </w:tc>
        <w:tc>
          <w:tcPr>
            <w:tcW w:w="1790" w:type="dxa"/>
          </w:tcPr>
          <w:p w:rsidR="00064E50" w:rsidRDefault="00064E50" w:rsidP="00E37211">
            <w:r>
              <w:t>APE Coord</w:t>
            </w:r>
          </w:p>
        </w:tc>
      </w:tr>
      <w:tr w:rsidR="00064E50" w:rsidTr="0025154E">
        <w:tc>
          <w:tcPr>
            <w:tcW w:w="6575" w:type="dxa"/>
          </w:tcPr>
          <w:p w:rsidR="00064E50" w:rsidRDefault="00064E50" w:rsidP="00E37211">
            <w:pPr>
              <w:rPr>
                <w:b/>
                <w:i/>
              </w:rPr>
            </w:pPr>
            <w:r>
              <w:rPr>
                <w:b/>
                <w:i/>
              </w:rPr>
              <w:t>MPH Internship Forms:</w:t>
            </w:r>
            <w:r>
              <w:t xml:space="preserve"> Internship agreements; preceptor evaluations; internship report</w:t>
            </w:r>
          </w:p>
        </w:tc>
        <w:tc>
          <w:tcPr>
            <w:tcW w:w="1170" w:type="dxa"/>
          </w:tcPr>
          <w:p w:rsidR="00064E50" w:rsidRDefault="00064E50" w:rsidP="00E37211">
            <w:r>
              <w:t>Ongoing</w:t>
            </w:r>
          </w:p>
        </w:tc>
        <w:tc>
          <w:tcPr>
            <w:tcW w:w="1790" w:type="dxa"/>
          </w:tcPr>
          <w:p w:rsidR="00064E50" w:rsidRDefault="00064E50" w:rsidP="00E37211">
            <w:r>
              <w:t>APE Coord</w:t>
            </w:r>
          </w:p>
          <w:p w:rsidR="00064E50" w:rsidRDefault="00064E50" w:rsidP="00E37211">
            <w:r>
              <w:t>BSPH Coord</w:t>
            </w:r>
          </w:p>
        </w:tc>
      </w:tr>
      <w:tr w:rsidR="00064E50" w:rsidTr="0025154E">
        <w:tc>
          <w:tcPr>
            <w:tcW w:w="6575" w:type="dxa"/>
          </w:tcPr>
          <w:p w:rsidR="00064E50" w:rsidRPr="002219E4" w:rsidRDefault="00064E50" w:rsidP="00E37211">
            <w:r>
              <w:rPr>
                <w:b/>
                <w:i/>
              </w:rPr>
              <w:lastRenderedPageBreak/>
              <w:t xml:space="preserve">ILE Tracking Form: </w:t>
            </w:r>
            <w:r>
              <w:t>Summary of ILE projects; faculty ratings</w:t>
            </w:r>
          </w:p>
        </w:tc>
        <w:tc>
          <w:tcPr>
            <w:tcW w:w="1170" w:type="dxa"/>
          </w:tcPr>
          <w:p w:rsidR="00064E50" w:rsidRDefault="00064E50" w:rsidP="00E37211">
            <w:r>
              <w:t>Each Sem</w:t>
            </w:r>
          </w:p>
        </w:tc>
        <w:tc>
          <w:tcPr>
            <w:tcW w:w="1790" w:type="dxa"/>
          </w:tcPr>
          <w:p w:rsidR="00064E50" w:rsidRDefault="00064E50" w:rsidP="00E37211">
            <w:r>
              <w:t>MPH Coord</w:t>
            </w:r>
          </w:p>
        </w:tc>
      </w:tr>
      <w:tr w:rsidR="00064E50" w:rsidTr="0025154E">
        <w:tc>
          <w:tcPr>
            <w:tcW w:w="6575" w:type="dxa"/>
            <w:shd w:val="clear" w:color="auto" w:fill="E7E6E6" w:themeFill="background2"/>
          </w:tcPr>
          <w:p w:rsidR="00064E50" w:rsidRPr="006262D7" w:rsidRDefault="00064E50" w:rsidP="00E37211">
            <w:pPr>
              <w:rPr>
                <w:b/>
              </w:rPr>
            </w:pPr>
            <w:r w:rsidRPr="006262D7">
              <w:rPr>
                <w:b/>
              </w:rPr>
              <w:t>EXTERNAL ASSESSMENTS</w:t>
            </w:r>
            <w:r>
              <w:rPr>
                <w:b/>
              </w:rPr>
              <w:t xml:space="preserve"> (non-survey)</w:t>
            </w:r>
          </w:p>
        </w:tc>
        <w:tc>
          <w:tcPr>
            <w:tcW w:w="1170" w:type="dxa"/>
            <w:shd w:val="clear" w:color="auto" w:fill="E7E6E6" w:themeFill="background2"/>
          </w:tcPr>
          <w:p w:rsidR="00064E50" w:rsidRDefault="00064E50" w:rsidP="00E37211"/>
        </w:tc>
        <w:tc>
          <w:tcPr>
            <w:tcW w:w="1790" w:type="dxa"/>
            <w:shd w:val="clear" w:color="auto" w:fill="E7E6E6" w:themeFill="background2"/>
          </w:tcPr>
          <w:p w:rsidR="00064E50" w:rsidRDefault="00064E50" w:rsidP="00E37211"/>
        </w:tc>
      </w:tr>
      <w:tr w:rsidR="00064E50" w:rsidTr="0025154E">
        <w:tc>
          <w:tcPr>
            <w:tcW w:w="6575" w:type="dxa"/>
          </w:tcPr>
          <w:p w:rsidR="00064E50" w:rsidRPr="00EB0629" w:rsidRDefault="00064E50" w:rsidP="00E37211">
            <w:pPr>
              <w:rPr>
                <w:b/>
                <w:i/>
              </w:rPr>
            </w:pPr>
            <w:r>
              <w:rPr>
                <w:b/>
                <w:i/>
              </w:rPr>
              <w:t xml:space="preserve">External Advisory Meetings: </w:t>
            </w:r>
            <w:r>
              <w:t xml:space="preserve"> Review annual report; assess perceptions of graduates’ readiness for practice; review guiding statements  and measures; professional development needs (F4); APE projects/internships;</w:t>
            </w:r>
          </w:p>
        </w:tc>
        <w:tc>
          <w:tcPr>
            <w:tcW w:w="1170" w:type="dxa"/>
          </w:tcPr>
          <w:p w:rsidR="00064E50" w:rsidRDefault="00064E50" w:rsidP="00E37211">
            <w:r>
              <w:t>Annual</w:t>
            </w:r>
          </w:p>
        </w:tc>
        <w:tc>
          <w:tcPr>
            <w:tcW w:w="1790" w:type="dxa"/>
          </w:tcPr>
          <w:p w:rsidR="00064E50" w:rsidRDefault="00064E50" w:rsidP="00E37211">
            <w:r>
              <w:t>Faculty</w:t>
            </w:r>
          </w:p>
        </w:tc>
      </w:tr>
      <w:tr w:rsidR="00064E50" w:rsidTr="0025154E">
        <w:tc>
          <w:tcPr>
            <w:tcW w:w="6575" w:type="dxa"/>
          </w:tcPr>
          <w:p w:rsidR="00064E50" w:rsidRPr="00AF0643" w:rsidRDefault="00064E50" w:rsidP="00E37211">
            <w:r>
              <w:rPr>
                <w:b/>
                <w:i/>
              </w:rPr>
              <w:t xml:space="preserve">Academic Health Department Meetings: </w:t>
            </w:r>
            <w:r>
              <w:t>Professional development needs (F4); APE projects/internships; perception of graduates</w:t>
            </w:r>
          </w:p>
        </w:tc>
        <w:tc>
          <w:tcPr>
            <w:tcW w:w="1170" w:type="dxa"/>
          </w:tcPr>
          <w:p w:rsidR="00064E50" w:rsidRDefault="00064E50" w:rsidP="00E37211">
            <w:r>
              <w:t>Annual</w:t>
            </w:r>
          </w:p>
        </w:tc>
        <w:tc>
          <w:tcPr>
            <w:tcW w:w="1790" w:type="dxa"/>
          </w:tcPr>
          <w:p w:rsidR="00064E50" w:rsidRDefault="00064E50" w:rsidP="00E37211">
            <w:r>
              <w:t>AHD liaisons</w:t>
            </w:r>
          </w:p>
        </w:tc>
      </w:tr>
      <w:tr w:rsidR="00064E50" w:rsidTr="0025154E">
        <w:tc>
          <w:tcPr>
            <w:tcW w:w="6575" w:type="dxa"/>
          </w:tcPr>
          <w:p w:rsidR="00064E50" w:rsidRPr="00FB5208" w:rsidRDefault="00064E50" w:rsidP="00E37211">
            <w:r>
              <w:rPr>
                <w:b/>
                <w:i/>
              </w:rPr>
              <w:t xml:space="preserve">Key Informant Interviews: </w:t>
            </w:r>
            <w:r>
              <w:t>Provide professional opinions on program and curricula, on an as needed basis.</w:t>
            </w:r>
          </w:p>
        </w:tc>
        <w:tc>
          <w:tcPr>
            <w:tcW w:w="1170" w:type="dxa"/>
          </w:tcPr>
          <w:p w:rsidR="00064E50" w:rsidRDefault="00064E50" w:rsidP="00E37211">
            <w:r>
              <w:t>Ongoing</w:t>
            </w:r>
          </w:p>
        </w:tc>
        <w:tc>
          <w:tcPr>
            <w:tcW w:w="1790" w:type="dxa"/>
          </w:tcPr>
          <w:p w:rsidR="00064E50" w:rsidRDefault="00064E50" w:rsidP="00E37211">
            <w:r>
              <w:t>MPH Coord</w:t>
            </w:r>
          </w:p>
          <w:p w:rsidR="00064E50" w:rsidRDefault="00064E50" w:rsidP="00E37211">
            <w:r>
              <w:t>BSPH Coord</w:t>
            </w:r>
          </w:p>
        </w:tc>
      </w:tr>
    </w:tbl>
    <w:p w:rsidR="00064E50" w:rsidRDefault="00064E50" w:rsidP="005A5BA5">
      <w:pPr>
        <w:spacing w:after="0"/>
        <w:rPr>
          <w:szCs w:val="24"/>
        </w:rPr>
      </w:pPr>
    </w:p>
    <w:p w:rsidR="00236A8F" w:rsidRPr="00614D93" w:rsidRDefault="00236A8F" w:rsidP="005A5BA5">
      <w:pPr>
        <w:spacing w:after="0"/>
        <w:rPr>
          <w:szCs w:val="24"/>
        </w:rPr>
      </w:pPr>
    </w:p>
    <w:p w:rsidR="00E37211" w:rsidRDefault="00E37211" w:rsidP="009D3456">
      <w:pPr>
        <w:pStyle w:val="CEPHIR"/>
        <w:rPr>
          <w:b w:val="0"/>
        </w:rPr>
      </w:pPr>
      <w:r>
        <w:rPr>
          <w:b w:val="0"/>
        </w:rPr>
        <w:t xml:space="preserve">By charge, the Assessment Committee is responsible for developing assessment instruments and tools, in conjunction with the committees/coordinators responsible for collecting the data.  </w:t>
      </w:r>
    </w:p>
    <w:p w:rsidR="00F73FAA" w:rsidRDefault="00214CE4" w:rsidP="009D3456">
      <w:pPr>
        <w:pStyle w:val="CEPHIR"/>
        <w:rPr>
          <w:b w:val="0"/>
        </w:rPr>
      </w:pPr>
      <w:r>
        <w:rPr>
          <w:b w:val="0"/>
        </w:rPr>
        <w:t xml:space="preserve">The assessment plan </w:t>
      </w:r>
      <w:r w:rsidR="00E37211">
        <w:rPr>
          <w:b w:val="0"/>
        </w:rPr>
        <w:t xml:space="preserve">and instruments/tools </w:t>
      </w:r>
      <w:r>
        <w:rPr>
          <w:b w:val="0"/>
        </w:rPr>
        <w:t>will be re</w:t>
      </w:r>
      <w:r w:rsidR="00E37211">
        <w:rPr>
          <w:b w:val="0"/>
        </w:rPr>
        <w:t>viewed annually.  Recommendations to modify the assessment plan must be approved through the Joint MPH-BSPH Committee, per policy.</w:t>
      </w:r>
    </w:p>
    <w:p w:rsidR="00552199" w:rsidRDefault="00552199" w:rsidP="009D3456">
      <w:pPr>
        <w:pStyle w:val="CEPHIR"/>
        <w:rPr>
          <w:b w:val="0"/>
        </w:rPr>
      </w:pPr>
    </w:p>
    <w:p w:rsidR="00822881" w:rsidRDefault="00822881" w:rsidP="009D3456">
      <w:pPr>
        <w:pStyle w:val="CEPHIR"/>
      </w:pPr>
      <w:r>
        <w:br w:type="page"/>
      </w:r>
    </w:p>
    <w:p w:rsidR="00822881" w:rsidRPr="00D30B12" w:rsidRDefault="00822881" w:rsidP="005327E4">
      <w:pPr>
        <w:pStyle w:val="Heading1"/>
      </w:pPr>
      <w:bookmarkStart w:id="3" w:name="_Toc490316870"/>
      <w:r w:rsidRPr="00D30B12">
        <w:lastRenderedPageBreak/>
        <w:t>C. Implemented an evaluation plan for the BSPH program to consistently evaluate program targets, outcomes and the program’s effectiveness and to adjust strategies or targets as appropriate. The evaluation plan must include surveys or other data collection of community stakeholders, as well as program students and alumni. The report must include preliminary data from all instruments. (Criterion 1.2)</w:t>
      </w:r>
      <w:bookmarkEnd w:id="3"/>
      <w:r w:rsidRPr="00D30B12">
        <w:t xml:space="preserve"> </w:t>
      </w:r>
    </w:p>
    <w:p w:rsidR="002A1F8E" w:rsidRDefault="002A1F8E" w:rsidP="00B058D1">
      <w:pPr>
        <w:spacing w:after="0"/>
        <w:rPr>
          <w:szCs w:val="24"/>
        </w:rPr>
      </w:pPr>
    </w:p>
    <w:p w:rsidR="00862D0E" w:rsidRDefault="006E4181" w:rsidP="00B058D1">
      <w:pPr>
        <w:spacing w:after="0"/>
        <w:rPr>
          <w:szCs w:val="24"/>
        </w:rPr>
      </w:pPr>
      <w:r>
        <w:rPr>
          <w:szCs w:val="24"/>
        </w:rPr>
        <w:t>Mod</w:t>
      </w:r>
      <w:r w:rsidR="008D0421">
        <w:rPr>
          <w:szCs w:val="24"/>
        </w:rPr>
        <w:t>ifying our governance structure</w:t>
      </w:r>
      <w:r w:rsidR="005B0E9C">
        <w:rPr>
          <w:szCs w:val="24"/>
        </w:rPr>
        <w:t xml:space="preserve"> (discussed in our response to </w:t>
      </w:r>
      <w:r w:rsidR="006B04E1">
        <w:rPr>
          <w:szCs w:val="24"/>
        </w:rPr>
        <w:t>compliance issue</w:t>
      </w:r>
      <w:r w:rsidR="00BD6115">
        <w:rPr>
          <w:szCs w:val="24"/>
        </w:rPr>
        <w:t xml:space="preserve"> D)</w:t>
      </w:r>
      <w:r w:rsidR="008D0421">
        <w:rPr>
          <w:szCs w:val="24"/>
        </w:rPr>
        <w:t>, and having common or similar data collection methods</w:t>
      </w:r>
      <w:r w:rsidR="002B39E3">
        <w:rPr>
          <w:szCs w:val="24"/>
        </w:rPr>
        <w:t xml:space="preserve"> as the MPH</w:t>
      </w:r>
      <w:r w:rsidR="000E31CF">
        <w:rPr>
          <w:szCs w:val="24"/>
        </w:rPr>
        <w:t xml:space="preserve">, </w:t>
      </w:r>
      <w:r w:rsidR="008D0421">
        <w:rPr>
          <w:szCs w:val="24"/>
        </w:rPr>
        <w:t>will ensure the BSPH program is consistently evaluate</w:t>
      </w:r>
      <w:r w:rsidR="002B39E3">
        <w:rPr>
          <w:szCs w:val="24"/>
        </w:rPr>
        <w:t>d henceforth, as described in the previous section.  Our response</w:t>
      </w:r>
      <w:r w:rsidR="00AF55FB">
        <w:rPr>
          <w:szCs w:val="24"/>
        </w:rPr>
        <w:t xml:space="preserve"> herein</w:t>
      </w:r>
      <w:r w:rsidR="00353023">
        <w:rPr>
          <w:szCs w:val="24"/>
        </w:rPr>
        <w:t xml:space="preserve"> </w:t>
      </w:r>
      <w:r w:rsidR="002B39E3">
        <w:rPr>
          <w:szCs w:val="24"/>
        </w:rPr>
        <w:t>focus</w:t>
      </w:r>
      <w:r w:rsidR="00353023">
        <w:rPr>
          <w:szCs w:val="24"/>
        </w:rPr>
        <w:t>es</w:t>
      </w:r>
      <w:r w:rsidR="002B39E3">
        <w:rPr>
          <w:szCs w:val="24"/>
        </w:rPr>
        <w:t xml:space="preserve"> on the </w:t>
      </w:r>
      <w:r w:rsidR="00353023">
        <w:rPr>
          <w:szCs w:val="24"/>
        </w:rPr>
        <w:t xml:space="preserve">BSPH </w:t>
      </w:r>
      <w:r w:rsidR="002B39E3">
        <w:rPr>
          <w:szCs w:val="24"/>
        </w:rPr>
        <w:t>data collected since our accreditation site visit</w:t>
      </w:r>
      <w:r w:rsidR="00353023">
        <w:rPr>
          <w:szCs w:val="24"/>
        </w:rPr>
        <w:t>.</w:t>
      </w:r>
      <w:r w:rsidR="002B39E3">
        <w:rPr>
          <w:szCs w:val="24"/>
        </w:rPr>
        <w:t xml:space="preserve"> </w:t>
      </w:r>
    </w:p>
    <w:p w:rsidR="00353023" w:rsidRDefault="00353023" w:rsidP="00B058D1">
      <w:pPr>
        <w:spacing w:after="0"/>
        <w:rPr>
          <w:szCs w:val="24"/>
        </w:rPr>
      </w:pPr>
    </w:p>
    <w:p w:rsidR="00831337" w:rsidRDefault="00831337" w:rsidP="00D20CFE">
      <w:pPr>
        <w:pStyle w:val="CEPHIR"/>
        <w:spacing w:after="0"/>
        <w:rPr>
          <w:b w:val="0"/>
        </w:rPr>
      </w:pPr>
      <w:r>
        <w:rPr>
          <w:b w:val="0"/>
          <w:u w:val="single"/>
        </w:rPr>
        <w:t>BSPH Student Exit Survey</w:t>
      </w:r>
      <w:r w:rsidR="00D20CFE">
        <w:rPr>
          <w:b w:val="0"/>
        </w:rPr>
        <w:t xml:space="preserve">  </w:t>
      </w:r>
    </w:p>
    <w:p w:rsidR="00F31059" w:rsidRDefault="00F31059" w:rsidP="00F31059">
      <w:pPr>
        <w:pStyle w:val="CEPHIR"/>
        <w:spacing w:after="0"/>
        <w:rPr>
          <w:b w:val="0"/>
          <w:u w:val="single"/>
        </w:rPr>
      </w:pPr>
      <w:r>
        <w:rPr>
          <w:b w:val="0"/>
        </w:rPr>
        <w:t xml:space="preserve">The BSPH Exit Survey captures data related to several </w:t>
      </w:r>
      <w:r w:rsidR="00EB4695">
        <w:rPr>
          <w:b w:val="0"/>
        </w:rPr>
        <w:t>objectives</w:t>
      </w:r>
      <w:r>
        <w:rPr>
          <w:b w:val="0"/>
        </w:rPr>
        <w:t xml:space="preserve"> in 2011 Criterion 1.2. </w:t>
      </w:r>
      <w:r w:rsidR="00EB4695">
        <w:rPr>
          <w:b w:val="0"/>
        </w:rPr>
        <w:t xml:space="preserve"> </w:t>
      </w:r>
      <w:r w:rsidR="005327E4">
        <w:rPr>
          <w:b w:val="0"/>
        </w:rPr>
        <w:t xml:space="preserve">A </w:t>
      </w:r>
      <w:r w:rsidR="00B072C0">
        <w:rPr>
          <w:b w:val="0"/>
        </w:rPr>
        <w:t>baseline</w:t>
      </w:r>
      <w:r w:rsidR="00862D0E">
        <w:rPr>
          <w:b w:val="0"/>
        </w:rPr>
        <w:t xml:space="preserve"> </w:t>
      </w:r>
      <w:r w:rsidR="00D20CFE">
        <w:rPr>
          <w:b w:val="0"/>
        </w:rPr>
        <w:t xml:space="preserve">administration </w:t>
      </w:r>
      <w:r w:rsidR="005327E4">
        <w:rPr>
          <w:b w:val="0"/>
        </w:rPr>
        <w:t xml:space="preserve">of the BSPH </w:t>
      </w:r>
      <w:r w:rsidR="00831337">
        <w:rPr>
          <w:b w:val="0"/>
        </w:rPr>
        <w:t>Exit Survey</w:t>
      </w:r>
      <w:r w:rsidR="00D20CFE">
        <w:rPr>
          <w:b w:val="0"/>
        </w:rPr>
        <w:t xml:space="preserve"> </w:t>
      </w:r>
      <w:r w:rsidR="00FE79E7">
        <w:rPr>
          <w:b w:val="0"/>
        </w:rPr>
        <w:t xml:space="preserve">was </w:t>
      </w:r>
      <w:r w:rsidR="00D20CFE" w:rsidRPr="00D20CFE">
        <w:rPr>
          <w:b w:val="0"/>
        </w:rPr>
        <w:t>conducted</w:t>
      </w:r>
      <w:r w:rsidR="009054A5" w:rsidRPr="00D20CFE">
        <w:rPr>
          <w:b w:val="0"/>
        </w:rPr>
        <w:t xml:space="preserve"> in August 2016</w:t>
      </w:r>
      <w:r w:rsidR="00D20CFE" w:rsidRPr="00D20CFE">
        <w:rPr>
          <w:b w:val="0"/>
        </w:rPr>
        <w:t xml:space="preserve"> with</w:t>
      </w:r>
      <w:r w:rsidR="00FE79E7" w:rsidRPr="00D20CFE">
        <w:rPr>
          <w:b w:val="0"/>
        </w:rPr>
        <w:t xml:space="preserve"> </w:t>
      </w:r>
      <w:r w:rsidR="001D5116" w:rsidRPr="00D20CFE">
        <w:rPr>
          <w:b w:val="0"/>
        </w:rPr>
        <w:t xml:space="preserve">the </w:t>
      </w:r>
      <w:r w:rsidR="00CF040B" w:rsidRPr="00831337">
        <w:rPr>
          <w:b w:val="0"/>
        </w:rPr>
        <w:t xml:space="preserve">sixteen </w:t>
      </w:r>
      <w:r w:rsidR="00E4179B" w:rsidRPr="00831337">
        <w:rPr>
          <w:b w:val="0"/>
        </w:rPr>
        <w:t>2015/</w:t>
      </w:r>
      <w:r w:rsidR="00353023" w:rsidRPr="00831337">
        <w:rPr>
          <w:b w:val="0"/>
        </w:rPr>
        <w:t xml:space="preserve">2016 </w:t>
      </w:r>
      <w:r w:rsidR="00CF040B" w:rsidRPr="00831337">
        <w:rPr>
          <w:b w:val="0"/>
        </w:rPr>
        <w:t>graduates; ni</w:t>
      </w:r>
      <w:r w:rsidR="005D4626" w:rsidRPr="00831337">
        <w:rPr>
          <w:b w:val="0"/>
        </w:rPr>
        <w:t xml:space="preserve">ne </w:t>
      </w:r>
      <w:r w:rsidR="008F1859" w:rsidRPr="00831337">
        <w:rPr>
          <w:b w:val="0"/>
        </w:rPr>
        <w:t>(</w:t>
      </w:r>
      <w:r w:rsidR="005D4626" w:rsidRPr="00831337">
        <w:rPr>
          <w:b w:val="0"/>
        </w:rPr>
        <w:t>56.3</w:t>
      </w:r>
      <w:r w:rsidR="008F1859" w:rsidRPr="00831337">
        <w:rPr>
          <w:b w:val="0"/>
        </w:rPr>
        <w:t>%)</w:t>
      </w:r>
      <w:r w:rsidR="00FE79E7" w:rsidRPr="00831337">
        <w:rPr>
          <w:b w:val="0"/>
        </w:rPr>
        <w:t xml:space="preserve"> completed the survey</w:t>
      </w:r>
      <w:r w:rsidR="00CF040B" w:rsidRPr="00831337">
        <w:rPr>
          <w:b w:val="0"/>
        </w:rPr>
        <w:t>.</w:t>
      </w:r>
      <w:r w:rsidR="009054A5" w:rsidRPr="00831337">
        <w:rPr>
          <w:b w:val="0"/>
        </w:rPr>
        <w:t xml:space="preserve"> </w:t>
      </w:r>
      <w:r w:rsidR="00D20CFE" w:rsidRPr="00831337">
        <w:rPr>
          <w:b w:val="0"/>
        </w:rPr>
        <w:t xml:space="preserve"> The survey was </w:t>
      </w:r>
      <w:r w:rsidR="00D20CFE" w:rsidRPr="005327E4">
        <w:rPr>
          <w:b w:val="0"/>
        </w:rPr>
        <w:t>administered again in June 2017 with the sixteen 2016/2017 graduates; ten (62.5%) completed the survey.</w:t>
      </w:r>
      <w:r w:rsidR="00D20CFE">
        <w:rPr>
          <w:b w:val="0"/>
        </w:rPr>
        <w:t xml:space="preserve">  </w:t>
      </w:r>
      <w:r w:rsidR="005327E4">
        <w:rPr>
          <w:b w:val="0"/>
        </w:rPr>
        <w:t xml:space="preserve">A summary report for each iteration is located in </w:t>
      </w:r>
      <w:r w:rsidR="005327E4" w:rsidRPr="00C54D30">
        <w:rPr>
          <w:b w:val="0"/>
        </w:rPr>
        <w:t>Appendices C</w:t>
      </w:r>
      <w:r w:rsidR="005327E4">
        <w:rPr>
          <w:b w:val="0"/>
        </w:rPr>
        <w:t xml:space="preserve"> and </w:t>
      </w:r>
      <w:r w:rsidR="005327E4" w:rsidRPr="00C54D30">
        <w:rPr>
          <w:b w:val="0"/>
        </w:rPr>
        <w:t>D</w:t>
      </w:r>
      <w:r w:rsidR="005327E4">
        <w:rPr>
          <w:b w:val="0"/>
        </w:rPr>
        <w:t xml:space="preserve"> respectively.</w:t>
      </w:r>
    </w:p>
    <w:p w:rsidR="00F31059" w:rsidRDefault="00F31059" w:rsidP="00F31059">
      <w:pPr>
        <w:pStyle w:val="CEPHIR"/>
        <w:spacing w:after="0"/>
        <w:rPr>
          <w:b w:val="0"/>
          <w:u w:val="single"/>
        </w:rPr>
      </w:pPr>
    </w:p>
    <w:p w:rsidR="00BC4075" w:rsidRPr="00F31059" w:rsidRDefault="00BC4075" w:rsidP="00F31059">
      <w:pPr>
        <w:pStyle w:val="CEPHIR"/>
        <w:spacing w:after="0"/>
        <w:rPr>
          <w:b w:val="0"/>
          <w:u w:val="single"/>
        </w:rPr>
      </w:pPr>
      <w:r>
        <w:rPr>
          <w:b w:val="0"/>
        </w:rPr>
        <w:t>S</w:t>
      </w:r>
      <w:r w:rsidR="00CF040B">
        <w:rPr>
          <w:b w:val="0"/>
        </w:rPr>
        <w:t xml:space="preserve">tudents’ perception of proficiency </w:t>
      </w:r>
      <w:r w:rsidR="008E1777">
        <w:rPr>
          <w:b w:val="0"/>
        </w:rPr>
        <w:t>on</w:t>
      </w:r>
      <w:r w:rsidR="00CF040B">
        <w:rPr>
          <w:b w:val="0"/>
        </w:rPr>
        <w:t xml:space="preserve"> each</w:t>
      </w:r>
      <w:r w:rsidR="003F7345">
        <w:rPr>
          <w:b w:val="0"/>
        </w:rPr>
        <w:t xml:space="preserve"> of the 70</w:t>
      </w:r>
      <w:r w:rsidR="008F3953">
        <w:rPr>
          <w:b w:val="0"/>
        </w:rPr>
        <w:t xml:space="preserve"> </w:t>
      </w:r>
      <w:r w:rsidR="003F7345">
        <w:rPr>
          <w:b w:val="0"/>
        </w:rPr>
        <w:t xml:space="preserve">individual </w:t>
      </w:r>
      <w:r w:rsidR="00CF040B">
        <w:rPr>
          <w:b w:val="0"/>
        </w:rPr>
        <w:t>compet</w:t>
      </w:r>
      <w:r w:rsidR="003F7345">
        <w:rPr>
          <w:b w:val="0"/>
        </w:rPr>
        <w:t>encies</w:t>
      </w:r>
      <w:r>
        <w:rPr>
          <w:b w:val="0"/>
        </w:rPr>
        <w:t xml:space="preserve"> was measured </w:t>
      </w:r>
      <w:r w:rsidR="00CF040B">
        <w:rPr>
          <w:b w:val="0"/>
        </w:rPr>
        <w:t>using a 5 point scale (1=not proficient, 5=</w:t>
      </w:r>
      <w:r w:rsidR="003F7345">
        <w:rPr>
          <w:b w:val="0"/>
        </w:rPr>
        <w:t xml:space="preserve">very proficient). </w:t>
      </w:r>
      <w:r w:rsidR="008F3953">
        <w:rPr>
          <w:b w:val="0"/>
        </w:rPr>
        <w:t>The identified target -- 80% of students rate</w:t>
      </w:r>
      <w:r w:rsidR="001C5073">
        <w:rPr>
          <w:b w:val="0"/>
        </w:rPr>
        <w:t xml:space="preserve"> proficiency as</w:t>
      </w:r>
      <w:r w:rsidR="008F3953">
        <w:rPr>
          <w:b w:val="0"/>
        </w:rPr>
        <w:t xml:space="preserve"> 4 (of 5) or higher – was set for the competency </w:t>
      </w:r>
      <w:r w:rsidR="008F3953" w:rsidRPr="00956F7C">
        <w:rPr>
          <w:b w:val="0"/>
          <w:i/>
        </w:rPr>
        <w:t>area</w:t>
      </w:r>
      <w:r w:rsidR="00DF192C">
        <w:rPr>
          <w:b w:val="0"/>
        </w:rPr>
        <w:t xml:space="preserve"> (</w:t>
      </w:r>
      <w:r w:rsidR="00C90F5A">
        <w:rPr>
          <w:b w:val="0"/>
        </w:rPr>
        <w:t>objective I</w:t>
      </w:r>
      <w:r w:rsidR="00DF192C">
        <w:rPr>
          <w:b w:val="0"/>
        </w:rPr>
        <w:t>1.1.e).</w:t>
      </w:r>
      <w:r w:rsidR="001C5073">
        <w:rPr>
          <w:b w:val="0"/>
        </w:rPr>
        <w:t xml:space="preserve"> </w:t>
      </w:r>
      <w:r w:rsidR="00D945DF">
        <w:rPr>
          <w:b w:val="0"/>
        </w:rPr>
        <w:t xml:space="preserve"> This </w:t>
      </w:r>
      <w:r w:rsidR="001342F1">
        <w:rPr>
          <w:b w:val="0"/>
        </w:rPr>
        <w:t xml:space="preserve">measurement </w:t>
      </w:r>
      <w:r w:rsidR="00D945DF">
        <w:rPr>
          <w:b w:val="0"/>
        </w:rPr>
        <w:t>disconnect was addressed by as such: E</w:t>
      </w:r>
      <w:r w:rsidR="00956F7C">
        <w:rPr>
          <w:b w:val="0"/>
        </w:rPr>
        <w:t xml:space="preserve">ach individual competency </w:t>
      </w:r>
      <w:r w:rsidR="00837A99">
        <w:rPr>
          <w:b w:val="0"/>
        </w:rPr>
        <w:t>rated as 4 or higher by at least 80% of respondents</w:t>
      </w:r>
      <w:r w:rsidR="00D945DF">
        <w:rPr>
          <w:b w:val="0"/>
        </w:rPr>
        <w:t xml:space="preserve"> was</w:t>
      </w:r>
      <w:r w:rsidR="00837A99">
        <w:rPr>
          <w:b w:val="0"/>
        </w:rPr>
        <w:t xml:space="preserve"> considered m</w:t>
      </w:r>
      <w:r w:rsidR="00C93B55">
        <w:rPr>
          <w:b w:val="0"/>
        </w:rPr>
        <w:t xml:space="preserve">et. </w:t>
      </w:r>
      <w:r w:rsidR="00D945DF">
        <w:rPr>
          <w:b w:val="0"/>
        </w:rPr>
        <w:t xml:space="preserve">Then, we calculated the </w:t>
      </w:r>
      <w:r w:rsidR="008C6949">
        <w:rPr>
          <w:b w:val="0"/>
        </w:rPr>
        <w:t xml:space="preserve">proportion </w:t>
      </w:r>
      <w:r w:rsidR="00D945DF">
        <w:rPr>
          <w:b w:val="0"/>
        </w:rPr>
        <w:t xml:space="preserve">of </w:t>
      </w:r>
      <w:r w:rsidR="00BA0695">
        <w:rPr>
          <w:b w:val="0"/>
        </w:rPr>
        <w:t xml:space="preserve">met </w:t>
      </w:r>
      <w:r w:rsidR="00D945DF">
        <w:rPr>
          <w:b w:val="0"/>
        </w:rPr>
        <w:t xml:space="preserve">competencies within each </w:t>
      </w:r>
      <w:r w:rsidR="00BA0695">
        <w:rPr>
          <w:b w:val="0"/>
        </w:rPr>
        <w:t xml:space="preserve">competency </w:t>
      </w:r>
      <w:r w:rsidR="00F20647">
        <w:rPr>
          <w:b w:val="0"/>
        </w:rPr>
        <w:t>area</w:t>
      </w:r>
      <w:r w:rsidR="00B87129">
        <w:rPr>
          <w:b w:val="0"/>
        </w:rPr>
        <w:t xml:space="preserve">. The summary data </w:t>
      </w:r>
      <w:r w:rsidR="0093566D">
        <w:rPr>
          <w:b w:val="0"/>
        </w:rPr>
        <w:t xml:space="preserve">for each year </w:t>
      </w:r>
      <w:r w:rsidR="00B87129">
        <w:rPr>
          <w:b w:val="0"/>
        </w:rPr>
        <w:t xml:space="preserve">are presented below. </w:t>
      </w:r>
      <w:r w:rsidR="00F31059">
        <w:rPr>
          <w:b w:val="0"/>
        </w:rPr>
        <w:t>Individual competencies not meeting the target are noted in</w:t>
      </w:r>
      <w:r w:rsidR="0093566D">
        <w:rPr>
          <w:b w:val="0"/>
        </w:rPr>
        <w:t xml:space="preserve"> the full reports.</w:t>
      </w:r>
      <w:r w:rsidR="00F31059">
        <w:rPr>
          <w:b w:val="0"/>
        </w:rPr>
        <w:t xml:space="preserve"> </w:t>
      </w:r>
    </w:p>
    <w:p w:rsidR="00BC4075" w:rsidRDefault="00BC4075" w:rsidP="00D13466">
      <w:pPr>
        <w:pStyle w:val="CEPHIR"/>
        <w:spacing w:after="0"/>
        <w:rPr>
          <w:b w:val="0"/>
        </w:rPr>
      </w:pPr>
    </w:p>
    <w:p w:rsidR="009054A5" w:rsidRPr="00B072C0" w:rsidRDefault="00B072C0" w:rsidP="00D13466">
      <w:pPr>
        <w:pStyle w:val="CEPHIR"/>
        <w:spacing w:after="0"/>
        <w:rPr>
          <w:b w:val="0"/>
          <w:i/>
        </w:rPr>
      </w:pPr>
      <w:r w:rsidRPr="00B072C0">
        <w:rPr>
          <w:b w:val="0"/>
          <w:i/>
        </w:rPr>
        <w:t>Competency-ar</w:t>
      </w:r>
      <w:r>
        <w:rPr>
          <w:b w:val="0"/>
          <w:i/>
        </w:rPr>
        <w:t>ea proficiency perceptions of BSPH Graduates</w:t>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4495"/>
        <w:gridCol w:w="1260"/>
        <w:gridCol w:w="810"/>
        <w:gridCol w:w="990"/>
        <w:gridCol w:w="900"/>
        <w:gridCol w:w="895"/>
      </w:tblGrid>
      <w:tr w:rsidR="009054A5" w:rsidRPr="007949FD" w:rsidTr="00EB77DF">
        <w:tc>
          <w:tcPr>
            <w:tcW w:w="4495" w:type="dxa"/>
            <w:vMerge w:val="restart"/>
            <w:tcBorders>
              <w:top w:val="single" w:sz="4" w:space="0" w:color="auto"/>
              <w:bottom w:val="nil"/>
            </w:tcBorders>
          </w:tcPr>
          <w:p w:rsidR="009054A5" w:rsidRDefault="009054A5" w:rsidP="00E4179B">
            <w:pPr>
              <w:pStyle w:val="CEPHIR"/>
            </w:pPr>
          </w:p>
          <w:p w:rsidR="009054A5" w:rsidRPr="007949FD" w:rsidRDefault="009054A5" w:rsidP="00E4179B">
            <w:pPr>
              <w:pStyle w:val="CEPHIR"/>
            </w:pPr>
            <w:r w:rsidRPr="007949FD">
              <w:t>Competency Area</w:t>
            </w:r>
          </w:p>
        </w:tc>
        <w:tc>
          <w:tcPr>
            <w:tcW w:w="1260" w:type="dxa"/>
            <w:vMerge w:val="restart"/>
            <w:tcBorders>
              <w:top w:val="single" w:sz="4" w:space="0" w:color="auto"/>
              <w:bottom w:val="nil"/>
            </w:tcBorders>
          </w:tcPr>
          <w:p w:rsidR="009054A5" w:rsidRPr="007949FD" w:rsidRDefault="009054A5" w:rsidP="001342F1">
            <w:pPr>
              <w:pStyle w:val="CEPHIR"/>
              <w:jc w:val="center"/>
            </w:pPr>
            <w:r>
              <w:t># Comp</w:t>
            </w:r>
            <w:r w:rsidR="001342F1">
              <w:t>e-tencies</w:t>
            </w:r>
          </w:p>
        </w:tc>
        <w:tc>
          <w:tcPr>
            <w:tcW w:w="1800" w:type="dxa"/>
            <w:gridSpan w:val="2"/>
            <w:tcBorders>
              <w:top w:val="single" w:sz="4" w:space="0" w:color="auto"/>
              <w:bottom w:val="nil"/>
            </w:tcBorders>
            <w:shd w:val="clear" w:color="auto" w:fill="F2F2F2" w:themeFill="background1" w:themeFillShade="F2"/>
          </w:tcPr>
          <w:p w:rsidR="009054A5" w:rsidRPr="007949FD" w:rsidRDefault="009054A5" w:rsidP="00E4179B">
            <w:pPr>
              <w:pStyle w:val="CEPHIR"/>
              <w:jc w:val="center"/>
            </w:pPr>
            <w:r>
              <w:t>AY 15-16</w:t>
            </w:r>
          </w:p>
        </w:tc>
        <w:tc>
          <w:tcPr>
            <w:tcW w:w="1795" w:type="dxa"/>
            <w:gridSpan w:val="2"/>
            <w:tcBorders>
              <w:top w:val="single" w:sz="4" w:space="0" w:color="auto"/>
              <w:bottom w:val="nil"/>
              <w:right w:val="nil"/>
            </w:tcBorders>
          </w:tcPr>
          <w:p w:rsidR="009054A5" w:rsidRPr="007949FD" w:rsidRDefault="009054A5" w:rsidP="00E4179B">
            <w:pPr>
              <w:pStyle w:val="CEPHIR"/>
              <w:jc w:val="center"/>
            </w:pPr>
            <w:r>
              <w:t xml:space="preserve"> AY 16-17</w:t>
            </w:r>
          </w:p>
        </w:tc>
      </w:tr>
      <w:tr w:rsidR="001342F1" w:rsidRPr="007949FD" w:rsidTr="00EB77DF">
        <w:tc>
          <w:tcPr>
            <w:tcW w:w="4495" w:type="dxa"/>
            <w:vMerge/>
            <w:tcBorders>
              <w:top w:val="nil"/>
              <w:bottom w:val="single" w:sz="4" w:space="0" w:color="auto"/>
            </w:tcBorders>
          </w:tcPr>
          <w:p w:rsidR="009054A5" w:rsidRPr="007949FD" w:rsidRDefault="009054A5" w:rsidP="00E4179B">
            <w:pPr>
              <w:pStyle w:val="CEPHIR"/>
            </w:pPr>
          </w:p>
        </w:tc>
        <w:tc>
          <w:tcPr>
            <w:tcW w:w="1260" w:type="dxa"/>
            <w:vMerge/>
            <w:tcBorders>
              <w:top w:val="nil"/>
              <w:bottom w:val="single" w:sz="4" w:space="0" w:color="auto"/>
            </w:tcBorders>
          </w:tcPr>
          <w:p w:rsidR="009054A5" w:rsidRPr="007949FD" w:rsidRDefault="009054A5" w:rsidP="00E4179B">
            <w:pPr>
              <w:pStyle w:val="CEPHIR"/>
              <w:jc w:val="center"/>
            </w:pPr>
          </w:p>
        </w:tc>
        <w:tc>
          <w:tcPr>
            <w:tcW w:w="810" w:type="dxa"/>
            <w:tcBorders>
              <w:top w:val="nil"/>
              <w:bottom w:val="single" w:sz="4" w:space="0" w:color="auto"/>
            </w:tcBorders>
            <w:shd w:val="clear" w:color="auto" w:fill="F2F2F2" w:themeFill="background1" w:themeFillShade="F2"/>
          </w:tcPr>
          <w:p w:rsidR="009054A5" w:rsidRPr="007949FD" w:rsidRDefault="009054A5" w:rsidP="00E4179B">
            <w:pPr>
              <w:pStyle w:val="CEPHIR"/>
              <w:jc w:val="center"/>
            </w:pPr>
            <w:r w:rsidRPr="007949FD">
              <w:t xml:space="preserve"># Met </w:t>
            </w:r>
          </w:p>
        </w:tc>
        <w:tc>
          <w:tcPr>
            <w:tcW w:w="990" w:type="dxa"/>
            <w:tcBorders>
              <w:top w:val="nil"/>
              <w:bottom w:val="single" w:sz="4" w:space="0" w:color="auto"/>
            </w:tcBorders>
            <w:shd w:val="clear" w:color="auto" w:fill="F2F2F2" w:themeFill="background1" w:themeFillShade="F2"/>
          </w:tcPr>
          <w:p w:rsidR="009054A5" w:rsidRPr="007949FD" w:rsidRDefault="009054A5" w:rsidP="00E4179B">
            <w:pPr>
              <w:pStyle w:val="CEPHIR"/>
              <w:jc w:val="center"/>
            </w:pPr>
            <w:r w:rsidRPr="007949FD">
              <w:t xml:space="preserve">% Met </w:t>
            </w:r>
          </w:p>
        </w:tc>
        <w:tc>
          <w:tcPr>
            <w:tcW w:w="900" w:type="dxa"/>
            <w:tcBorders>
              <w:top w:val="nil"/>
              <w:bottom w:val="single" w:sz="4" w:space="0" w:color="auto"/>
            </w:tcBorders>
          </w:tcPr>
          <w:p w:rsidR="009054A5" w:rsidRPr="007949FD" w:rsidRDefault="009054A5" w:rsidP="00E4179B">
            <w:pPr>
              <w:pStyle w:val="CEPHIR"/>
              <w:jc w:val="center"/>
            </w:pPr>
            <w:r w:rsidRPr="007949FD">
              <w:t># Met</w:t>
            </w:r>
          </w:p>
        </w:tc>
        <w:tc>
          <w:tcPr>
            <w:tcW w:w="895" w:type="dxa"/>
            <w:tcBorders>
              <w:top w:val="nil"/>
              <w:bottom w:val="single" w:sz="4" w:space="0" w:color="auto"/>
              <w:right w:val="nil"/>
            </w:tcBorders>
          </w:tcPr>
          <w:p w:rsidR="009054A5" w:rsidRPr="007949FD" w:rsidRDefault="009054A5" w:rsidP="00E4179B">
            <w:pPr>
              <w:pStyle w:val="CEPHIR"/>
              <w:jc w:val="center"/>
            </w:pPr>
            <w:r w:rsidRPr="007949FD">
              <w:t>% Met</w:t>
            </w:r>
          </w:p>
        </w:tc>
      </w:tr>
      <w:tr w:rsidR="001342F1" w:rsidRPr="007949FD" w:rsidTr="00EB77DF">
        <w:tc>
          <w:tcPr>
            <w:tcW w:w="4495" w:type="dxa"/>
            <w:tcBorders>
              <w:top w:val="single" w:sz="4" w:space="0" w:color="auto"/>
            </w:tcBorders>
          </w:tcPr>
          <w:p w:rsidR="009054A5" w:rsidRPr="007949FD" w:rsidRDefault="009054A5" w:rsidP="00E4179B">
            <w:pPr>
              <w:pStyle w:val="CEPHIR"/>
              <w:rPr>
                <w:b w:val="0"/>
              </w:rPr>
            </w:pPr>
            <w:r w:rsidRPr="007949FD">
              <w:rPr>
                <w:b w:val="0"/>
              </w:rPr>
              <w:t>Biostatistics</w:t>
            </w:r>
          </w:p>
        </w:tc>
        <w:tc>
          <w:tcPr>
            <w:tcW w:w="1260" w:type="dxa"/>
            <w:tcBorders>
              <w:top w:val="single" w:sz="4" w:space="0" w:color="auto"/>
            </w:tcBorders>
          </w:tcPr>
          <w:p w:rsidR="009054A5" w:rsidRPr="007949FD" w:rsidRDefault="009054A5" w:rsidP="00E4179B">
            <w:pPr>
              <w:pStyle w:val="CEPHIR"/>
              <w:jc w:val="center"/>
              <w:rPr>
                <w:b w:val="0"/>
              </w:rPr>
            </w:pPr>
            <w:r w:rsidRPr="007949FD">
              <w:rPr>
                <w:b w:val="0"/>
              </w:rPr>
              <w:t>8</w:t>
            </w:r>
          </w:p>
        </w:tc>
        <w:tc>
          <w:tcPr>
            <w:tcW w:w="810" w:type="dxa"/>
            <w:tcBorders>
              <w:top w:val="single" w:sz="4" w:space="0" w:color="auto"/>
            </w:tcBorders>
            <w:shd w:val="clear" w:color="auto" w:fill="F2F2F2" w:themeFill="background1" w:themeFillShade="F2"/>
          </w:tcPr>
          <w:p w:rsidR="009054A5" w:rsidRPr="007949FD" w:rsidRDefault="009054A5" w:rsidP="00E4179B">
            <w:pPr>
              <w:pStyle w:val="CEPHIR"/>
              <w:jc w:val="center"/>
              <w:rPr>
                <w:b w:val="0"/>
              </w:rPr>
            </w:pPr>
            <w:r w:rsidRPr="007949FD">
              <w:rPr>
                <w:b w:val="0"/>
              </w:rPr>
              <w:t>0</w:t>
            </w:r>
          </w:p>
        </w:tc>
        <w:tc>
          <w:tcPr>
            <w:tcW w:w="990" w:type="dxa"/>
            <w:tcBorders>
              <w:top w:val="single" w:sz="4" w:space="0" w:color="auto"/>
            </w:tcBorders>
            <w:shd w:val="clear" w:color="auto" w:fill="F2F2F2" w:themeFill="background1" w:themeFillShade="F2"/>
          </w:tcPr>
          <w:p w:rsidR="009054A5" w:rsidRPr="007949FD" w:rsidRDefault="009054A5" w:rsidP="00E4179B">
            <w:pPr>
              <w:pStyle w:val="CEPHIR"/>
              <w:jc w:val="center"/>
              <w:rPr>
                <w:b w:val="0"/>
              </w:rPr>
            </w:pPr>
            <w:r w:rsidRPr="007949FD">
              <w:rPr>
                <w:b w:val="0"/>
              </w:rPr>
              <w:t>0%</w:t>
            </w:r>
            <w:r w:rsidR="00970D37">
              <w:rPr>
                <w:b w:val="0"/>
              </w:rPr>
              <w:t>*</w:t>
            </w:r>
          </w:p>
        </w:tc>
        <w:tc>
          <w:tcPr>
            <w:tcW w:w="900" w:type="dxa"/>
            <w:tcBorders>
              <w:top w:val="single" w:sz="4" w:space="0" w:color="auto"/>
            </w:tcBorders>
          </w:tcPr>
          <w:p w:rsidR="009054A5" w:rsidRPr="007949FD" w:rsidRDefault="004232E0" w:rsidP="00E4179B">
            <w:pPr>
              <w:pStyle w:val="CEPHIR"/>
              <w:jc w:val="center"/>
              <w:rPr>
                <w:b w:val="0"/>
              </w:rPr>
            </w:pPr>
            <w:r>
              <w:rPr>
                <w:b w:val="0"/>
              </w:rPr>
              <w:t>0</w:t>
            </w:r>
          </w:p>
        </w:tc>
        <w:tc>
          <w:tcPr>
            <w:tcW w:w="895" w:type="dxa"/>
            <w:tcBorders>
              <w:top w:val="single" w:sz="4" w:space="0" w:color="auto"/>
              <w:right w:val="nil"/>
            </w:tcBorders>
          </w:tcPr>
          <w:p w:rsidR="009054A5" w:rsidRPr="007949FD" w:rsidRDefault="004232E0" w:rsidP="00E4179B">
            <w:pPr>
              <w:pStyle w:val="CEPHIR"/>
              <w:jc w:val="center"/>
              <w:rPr>
                <w:b w:val="0"/>
              </w:rPr>
            </w:pPr>
            <w:r>
              <w:rPr>
                <w:b w:val="0"/>
              </w:rPr>
              <w:t>0%</w:t>
            </w:r>
            <w:r w:rsidR="00970D37">
              <w:rPr>
                <w:b w:val="0"/>
              </w:rPr>
              <w:t>*</w:t>
            </w:r>
          </w:p>
        </w:tc>
      </w:tr>
      <w:tr w:rsidR="001342F1" w:rsidRPr="007949FD" w:rsidTr="00EB77DF">
        <w:tc>
          <w:tcPr>
            <w:tcW w:w="4495" w:type="dxa"/>
          </w:tcPr>
          <w:p w:rsidR="009054A5" w:rsidRPr="007949FD" w:rsidRDefault="009054A5" w:rsidP="00E4179B">
            <w:pPr>
              <w:pStyle w:val="CEPHIR"/>
              <w:rPr>
                <w:b w:val="0"/>
              </w:rPr>
            </w:pPr>
            <w:r w:rsidRPr="007949FD">
              <w:rPr>
                <w:b w:val="0"/>
              </w:rPr>
              <w:t>Epidemiology</w:t>
            </w:r>
          </w:p>
        </w:tc>
        <w:tc>
          <w:tcPr>
            <w:tcW w:w="1260" w:type="dxa"/>
          </w:tcPr>
          <w:p w:rsidR="009054A5" w:rsidRPr="007949FD" w:rsidRDefault="009054A5" w:rsidP="00E4179B">
            <w:pPr>
              <w:pStyle w:val="CEPHIR"/>
              <w:jc w:val="center"/>
              <w:rPr>
                <w:b w:val="0"/>
              </w:rPr>
            </w:pPr>
            <w:r w:rsidRPr="007949FD">
              <w:rPr>
                <w:b w:val="0"/>
              </w:rPr>
              <w:t>9</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7</w:t>
            </w:r>
          </w:p>
        </w:tc>
        <w:tc>
          <w:tcPr>
            <w:tcW w:w="990" w:type="dxa"/>
            <w:shd w:val="clear" w:color="auto" w:fill="F2F2F2" w:themeFill="background1" w:themeFillShade="F2"/>
          </w:tcPr>
          <w:p w:rsidR="009054A5" w:rsidRPr="007949FD" w:rsidRDefault="009054A5" w:rsidP="00E4179B">
            <w:pPr>
              <w:pStyle w:val="CEPHIR"/>
              <w:jc w:val="center"/>
              <w:rPr>
                <w:b w:val="0"/>
              </w:rPr>
            </w:pPr>
            <w:r w:rsidRPr="007949FD">
              <w:rPr>
                <w:b w:val="0"/>
              </w:rPr>
              <w:t>78%</w:t>
            </w:r>
            <w:r w:rsidR="00970D37">
              <w:rPr>
                <w:b w:val="0"/>
              </w:rPr>
              <w:t>*</w:t>
            </w:r>
          </w:p>
        </w:tc>
        <w:tc>
          <w:tcPr>
            <w:tcW w:w="900" w:type="dxa"/>
          </w:tcPr>
          <w:p w:rsidR="009054A5" w:rsidRPr="007949FD" w:rsidRDefault="004232E0" w:rsidP="00E4179B">
            <w:pPr>
              <w:pStyle w:val="CEPHIR"/>
              <w:jc w:val="center"/>
              <w:rPr>
                <w:b w:val="0"/>
              </w:rPr>
            </w:pPr>
            <w:r>
              <w:rPr>
                <w:b w:val="0"/>
              </w:rPr>
              <w:t>3</w:t>
            </w:r>
          </w:p>
        </w:tc>
        <w:tc>
          <w:tcPr>
            <w:tcW w:w="895" w:type="dxa"/>
            <w:tcBorders>
              <w:right w:val="nil"/>
            </w:tcBorders>
          </w:tcPr>
          <w:p w:rsidR="009054A5" w:rsidRPr="00D10657" w:rsidRDefault="004232E0" w:rsidP="00E4179B">
            <w:pPr>
              <w:pStyle w:val="CEPHIR"/>
              <w:jc w:val="center"/>
              <w:rPr>
                <w:b w:val="0"/>
                <w:color w:val="auto"/>
              </w:rPr>
            </w:pPr>
            <w:r w:rsidRPr="00D10657">
              <w:rPr>
                <w:b w:val="0"/>
                <w:color w:val="auto"/>
              </w:rPr>
              <w:t>33%</w:t>
            </w:r>
            <w:r w:rsidR="00970D37">
              <w:rPr>
                <w:b w:val="0"/>
                <w:color w:val="auto"/>
              </w:rPr>
              <w:t>*</w:t>
            </w:r>
          </w:p>
        </w:tc>
      </w:tr>
      <w:tr w:rsidR="001342F1" w:rsidRPr="007949FD" w:rsidTr="00EB77DF">
        <w:tc>
          <w:tcPr>
            <w:tcW w:w="4495" w:type="dxa"/>
          </w:tcPr>
          <w:p w:rsidR="009054A5" w:rsidRPr="007949FD" w:rsidRDefault="009054A5" w:rsidP="00E4179B">
            <w:pPr>
              <w:pStyle w:val="CEPHIR"/>
              <w:rPr>
                <w:b w:val="0"/>
              </w:rPr>
            </w:pPr>
            <w:r w:rsidRPr="007949FD">
              <w:rPr>
                <w:b w:val="0"/>
              </w:rPr>
              <w:t>Public Health Administration</w:t>
            </w:r>
          </w:p>
        </w:tc>
        <w:tc>
          <w:tcPr>
            <w:tcW w:w="1260" w:type="dxa"/>
          </w:tcPr>
          <w:p w:rsidR="009054A5" w:rsidRPr="007949FD" w:rsidRDefault="009054A5" w:rsidP="00E4179B">
            <w:pPr>
              <w:pStyle w:val="CEPHIR"/>
              <w:jc w:val="center"/>
              <w:rPr>
                <w:b w:val="0"/>
              </w:rPr>
            </w:pPr>
            <w:r w:rsidRPr="007949FD">
              <w:rPr>
                <w:b w:val="0"/>
              </w:rPr>
              <w:t>9</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9</w:t>
            </w:r>
          </w:p>
        </w:tc>
        <w:tc>
          <w:tcPr>
            <w:tcW w:w="990" w:type="dxa"/>
            <w:shd w:val="clear" w:color="auto" w:fill="F2F2F2" w:themeFill="background1" w:themeFillShade="F2"/>
          </w:tcPr>
          <w:p w:rsidR="009054A5" w:rsidRPr="007949FD" w:rsidRDefault="009054A5" w:rsidP="00E4179B">
            <w:pPr>
              <w:pStyle w:val="CEPHIR"/>
              <w:jc w:val="center"/>
              <w:rPr>
                <w:b w:val="0"/>
              </w:rPr>
            </w:pPr>
            <w:r w:rsidRPr="007949FD">
              <w:rPr>
                <w:b w:val="0"/>
              </w:rPr>
              <w:t>100%</w:t>
            </w:r>
          </w:p>
        </w:tc>
        <w:tc>
          <w:tcPr>
            <w:tcW w:w="900" w:type="dxa"/>
          </w:tcPr>
          <w:p w:rsidR="009054A5" w:rsidRPr="007949FD" w:rsidRDefault="00006C57" w:rsidP="00E4179B">
            <w:pPr>
              <w:pStyle w:val="CEPHIR"/>
              <w:jc w:val="center"/>
              <w:rPr>
                <w:b w:val="0"/>
              </w:rPr>
            </w:pPr>
            <w:r>
              <w:rPr>
                <w:b w:val="0"/>
              </w:rPr>
              <w:t>6</w:t>
            </w:r>
          </w:p>
        </w:tc>
        <w:tc>
          <w:tcPr>
            <w:tcW w:w="895" w:type="dxa"/>
            <w:tcBorders>
              <w:right w:val="nil"/>
            </w:tcBorders>
          </w:tcPr>
          <w:p w:rsidR="009054A5" w:rsidRPr="00D10657" w:rsidRDefault="00006C57" w:rsidP="00E4179B">
            <w:pPr>
              <w:pStyle w:val="CEPHIR"/>
              <w:jc w:val="center"/>
              <w:rPr>
                <w:b w:val="0"/>
                <w:color w:val="auto"/>
              </w:rPr>
            </w:pPr>
            <w:r w:rsidRPr="00D10657">
              <w:rPr>
                <w:b w:val="0"/>
                <w:color w:val="auto"/>
              </w:rPr>
              <w:t>67%</w:t>
            </w:r>
            <w:r w:rsidR="00970D37">
              <w:rPr>
                <w:b w:val="0"/>
                <w:color w:val="auto"/>
              </w:rPr>
              <w:t>*</w:t>
            </w:r>
          </w:p>
        </w:tc>
      </w:tr>
      <w:tr w:rsidR="001342F1" w:rsidRPr="007949FD" w:rsidTr="00EB77DF">
        <w:tc>
          <w:tcPr>
            <w:tcW w:w="4495" w:type="dxa"/>
          </w:tcPr>
          <w:p w:rsidR="009054A5" w:rsidRPr="007949FD" w:rsidRDefault="009054A5" w:rsidP="00E4179B">
            <w:pPr>
              <w:pStyle w:val="CEPHIR"/>
              <w:rPr>
                <w:b w:val="0"/>
              </w:rPr>
            </w:pPr>
            <w:r w:rsidRPr="007949FD">
              <w:rPr>
                <w:b w:val="0"/>
              </w:rPr>
              <w:t>Environmental Health</w:t>
            </w:r>
          </w:p>
        </w:tc>
        <w:tc>
          <w:tcPr>
            <w:tcW w:w="1260" w:type="dxa"/>
          </w:tcPr>
          <w:p w:rsidR="009054A5" w:rsidRPr="007949FD" w:rsidRDefault="009054A5" w:rsidP="00E4179B">
            <w:pPr>
              <w:pStyle w:val="CEPHIR"/>
              <w:jc w:val="center"/>
              <w:rPr>
                <w:b w:val="0"/>
              </w:rPr>
            </w:pPr>
            <w:r w:rsidRPr="007949FD">
              <w:rPr>
                <w:b w:val="0"/>
              </w:rPr>
              <w:t>8</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1</w:t>
            </w:r>
          </w:p>
        </w:tc>
        <w:tc>
          <w:tcPr>
            <w:tcW w:w="990" w:type="dxa"/>
            <w:shd w:val="clear" w:color="auto" w:fill="F2F2F2" w:themeFill="background1" w:themeFillShade="F2"/>
          </w:tcPr>
          <w:p w:rsidR="009054A5" w:rsidRPr="007949FD" w:rsidRDefault="009054A5" w:rsidP="00E4179B">
            <w:pPr>
              <w:pStyle w:val="CEPHIR"/>
              <w:jc w:val="center"/>
              <w:rPr>
                <w:b w:val="0"/>
              </w:rPr>
            </w:pPr>
            <w:r w:rsidRPr="007949FD">
              <w:rPr>
                <w:b w:val="0"/>
              </w:rPr>
              <w:t>13%</w:t>
            </w:r>
            <w:r w:rsidR="00970D37">
              <w:rPr>
                <w:b w:val="0"/>
              </w:rPr>
              <w:t>*</w:t>
            </w:r>
          </w:p>
        </w:tc>
        <w:tc>
          <w:tcPr>
            <w:tcW w:w="900" w:type="dxa"/>
          </w:tcPr>
          <w:p w:rsidR="009054A5" w:rsidRPr="007949FD" w:rsidRDefault="006F7D69" w:rsidP="00E4179B">
            <w:pPr>
              <w:pStyle w:val="CEPHIR"/>
              <w:jc w:val="center"/>
              <w:rPr>
                <w:b w:val="0"/>
              </w:rPr>
            </w:pPr>
            <w:r>
              <w:rPr>
                <w:b w:val="0"/>
              </w:rPr>
              <w:t>4</w:t>
            </w:r>
          </w:p>
        </w:tc>
        <w:tc>
          <w:tcPr>
            <w:tcW w:w="895" w:type="dxa"/>
            <w:tcBorders>
              <w:right w:val="nil"/>
            </w:tcBorders>
          </w:tcPr>
          <w:p w:rsidR="009054A5" w:rsidRPr="00D10657" w:rsidRDefault="006F7D69" w:rsidP="00E4179B">
            <w:pPr>
              <w:pStyle w:val="CEPHIR"/>
              <w:jc w:val="center"/>
              <w:rPr>
                <w:b w:val="0"/>
                <w:color w:val="auto"/>
              </w:rPr>
            </w:pPr>
            <w:r w:rsidRPr="00D10657">
              <w:rPr>
                <w:b w:val="0"/>
                <w:color w:val="auto"/>
              </w:rPr>
              <w:t>50%</w:t>
            </w:r>
            <w:r w:rsidR="00970D37">
              <w:rPr>
                <w:b w:val="0"/>
                <w:color w:val="auto"/>
              </w:rPr>
              <w:t>*</w:t>
            </w:r>
          </w:p>
        </w:tc>
      </w:tr>
      <w:tr w:rsidR="001342F1" w:rsidRPr="007949FD" w:rsidTr="00EB77DF">
        <w:tc>
          <w:tcPr>
            <w:tcW w:w="4495" w:type="dxa"/>
          </w:tcPr>
          <w:p w:rsidR="009054A5" w:rsidRPr="007949FD" w:rsidRDefault="009054A5" w:rsidP="00E4179B">
            <w:pPr>
              <w:pStyle w:val="CEPHIR"/>
              <w:rPr>
                <w:b w:val="0"/>
              </w:rPr>
            </w:pPr>
            <w:r w:rsidRPr="007949FD">
              <w:rPr>
                <w:b w:val="0"/>
              </w:rPr>
              <w:t>Behavioral &amp; Social Sciences</w:t>
            </w:r>
          </w:p>
        </w:tc>
        <w:tc>
          <w:tcPr>
            <w:tcW w:w="1260" w:type="dxa"/>
          </w:tcPr>
          <w:p w:rsidR="009054A5" w:rsidRPr="007949FD" w:rsidRDefault="009054A5" w:rsidP="00E4179B">
            <w:pPr>
              <w:pStyle w:val="CEPHIR"/>
              <w:jc w:val="center"/>
              <w:rPr>
                <w:b w:val="0"/>
              </w:rPr>
            </w:pPr>
            <w:r w:rsidRPr="007949FD">
              <w:rPr>
                <w:b w:val="0"/>
              </w:rPr>
              <w:t>9</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9</w:t>
            </w:r>
          </w:p>
        </w:tc>
        <w:tc>
          <w:tcPr>
            <w:tcW w:w="990" w:type="dxa"/>
            <w:shd w:val="clear" w:color="auto" w:fill="F2F2F2" w:themeFill="background1" w:themeFillShade="F2"/>
          </w:tcPr>
          <w:p w:rsidR="009054A5" w:rsidRPr="007949FD" w:rsidRDefault="009054A5" w:rsidP="00E4179B">
            <w:pPr>
              <w:pStyle w:val="CEPHIR"/>
              <w:jc w:val="center"/>
              <w:rPr>
                <w:b w:val="0"/>
              </w:rPr>
            </w:pPr>
            <w:r w:rsidRPr="007949FD">
              <w:rPr>
                <w:b w:val="0"/>
              </w:rPr>
              <w:t>100%</w:t>
            </w:r>
          </w:p>
        </w:tc>
        <w:tc>
          <w:tcPr>
            <w:tcW w:w="900" w:type="dxa"/>
          </w:tcPr>
          <w:p w:rsidR="009054A5" w:rsidRPr="007949FD" w:rsidRDefault="00006C57" w:rsidP="00E4179B">
            <w:pPr>
              <w:pStyle w:val="CEPHIR"/>
              <w:jc w:val="center"/>
              <w:rPr>
                <w:b w:val="0"/>
              </w:rPr>
            </w:pPr>
            <w:r>
              <w:rPr>
                <w:b w:val="0"/>
              </w:rPr>
              <w:t>3</w:t>
            </w:r>
          </w:p>
        </w:tc>
        <w:tc>
          <w:tcPr>
            <w:tcW w:w="895" w:type="dxa"/>
            <w:tcBorders>
              <w:right w:val="nil"/>
            </w:tcBorders>
          </w:tcPr>
          <w:p w:rsidR="009054A5" w:rsidRPr="00D10657" w:rsidRDefault="00006C57" w:rsidP="00E4179B">
            <w:pPr>
              <w:pStyle w:val="CEPHIR"/>
              <w:jc w:val="center"/>
              <w:rPr>
                <w:b w:val="0"/>
                <w:color w:val="auto"/>
              </w:rPr>
            </w:pPr>
            <w:r w:rsidRPr="00D10657">
              <w:rPr>
                <w:b w:val="0"/>
                <w:color w:val="auto"/>
              </w:rPr>
              <w:t>33%</w:t>
            </w:r>
            <w:r w:rsidR="00970D37">
              <w:rPr>
                <w:b w:val="0"/>
                <w:color w:val="auto"/>
              </w:rPr>
              <w:t>*</w:t>
            </w:r>
          </w:p>
        </w:tc>
      </w:tr>
      <w:tr w:rsidR="001342F1" w:rsidRPr="007949FD" w:rsidTr="00EB77DF">
        <w:tc>
          <w:tcPr>
            <w:tcW w:w="4495" w:type="dxa"/>
          </w:tcPr>
          <w:p w:rsidR="009054A5" w:rsidRPr="007949FD" w:rsidRDefault="009054A5" w:rsidP="00E4179B">
            <w:pPr>
              <w:pStyle w:val="CEPHIR"/>
              <w:rPr>
                <w:b w:val="0"/>
              </w:rPr>
            </w:pPr>
            <w:r w:rsidRPr="007949FD">
              <w:rPr>
                <w:b w:val="0"/>
              </w:rPr>
              <w:t>Analytical Assessment &amp; Critical Thinking</w:t>
            </w:r>
          </w:p>
        </w:tc>
        <w:tc>
          <w:tcPr>
            <w:tcW w:w="1260" w:type="dxa"/>
          </w:tcPr>
          <w:p w:rsidR="009054A5" w:rsidRPr="007949FD" w:rsidRDefault="009054A5" w:rsidP="00E4179B">
            <w:pPr>
              <w:pStyle w:val="CEPHIR"/>
              <w:jc w:val="center"/>
              <w:rPr>
                <w:b w:val="0"/>
              </w:rPr>
            </w:pPr>
            <w:r w:rsidRPr="007949FD">
              <w:rPr>
                <w:b w:val="0"/>
              </w:rPr>
              <w:t>5</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3</w:t>
            </w:r>
          </w:p>
        </w:tc>
        <w:tc>
          <w:tcPr>
            <w:tcW w:w="990" w:type="dxa"/>
            <w:shd w:val="clear" w:color="auto" w:fill="F2F2F2" w:themeFill="background1" w:themeFillShade="F2"/>
          </w:tcPr>
          <w:p w:rsidR="009054A5" w:rsidRPr="007949FD" w:rsidRDefault="009054A5" w:rsidP="00E4179B">
            <w:pPr>
              <w:pStyle w:val="CEPHIR"/>
              <w:jc w:val="center"/>
              <w:rPr>
                <w:b w:val="0"/>
              </w:rPr>
            </w:pPr>
            <w:r w:rsidRPr="007949FD">
              <w:rPr>
                <w:b w:val="0"/>
              </w:rPr>
              <w:t>60%</w:t>
            </w:r>
            <w:r w:rsidR="00970D37">
              <w:rPr>
                <w:b w:val="0"/>
              </w:rPr>
              <w:t>*</w:t>
            </w:r>
          </w:p>
        </w:tc>
        <w:tc>
          <w:tcPr>
            <w:tcW w:w="900" w:type="dxa"/>
          </w:tcPr>
          <w:p w:rsidR="009054A5" w:rsidRPr="007949FD" w:rsidRDefault="00D10657" w:rsidP="00E4179B">
            <w:pPr>
              <w:pStyle w:val="CEPHIR"/>
              <w:jc w:val="center"/>
              <w:rPr>
                <w:b w:val="0"/>
              </w:rPr>
            </w:pPr>
            <w:r>
              <w:rPr>
                <w:b w:val="0"/>
              </w:rPr>
              <w:t>0</w:t>
            </w:r>
          </w:p>
        </w:tc>
        <w:tc>
          <w:tcPr>
            <w:tcW w:w="895" w:type="dxa"/>
            <w:tcBorders>
              <w:right w:val="nil"/>
            </w:tcBorders>
          </w:tcPr>
          <w:p w:rsidR="009054A5" w:rsidRPr="00D10657" w:rsidRDefault="00D10657" w:rsidP="00E4179B">
            <w:pPr>
              <w:pStyle w:val="CEPHIR"/>
              <w:jc w:val="center"/>
              <w:rPr>
                <w:b w:val="0"/>
                <w:color w:val="auto"/>
              </w:rPr>
            </w:pPr>
            <w:r w:rsidRPr="00D10657">
              <w:rPr>
                <w:b w:val="0"/>
                <w:color w:val="auto"/>
              </w:rPr>
              <w:t>0%</w:t>
            </w:r>
            <w:r w:rsidR="00970D37">
              <w:rPr>
                <w:b w:val="0"/>
                <w:color w:val="auto"/>
              </w:rPr>
              <w:t>*</w:t>
            </w:r>
          </w:p>
        </w:tc>
      </w:tr>
      <w:tr w:rsidR="001342F1" w:rsidRPr="007949FD" w:rsidTr="00EB77DF">
        <w:tc>
          <w:tcPr>
            <w:tcW w:w="4495" w:type="dxa"/>
          </w:tcPr>
          <w:p w:rsidR="009054A5" w:rsidRPr="007949FD" w:rsidRDefault="009054A5" w:rsidP="00E4179B">
            <w:pPr>
              <w:pStyle w:val="CEPHIR"/>
              <w:rPr>
                <w:b w:val="0"/>
              </w:rPr>
            </w:pPr>
            <w:r w:rsidRPr="007949FD">
              <w:rPr>
                <w:b w:val="0"/>
              </w:rPr>
              <w:t>Communication</w:t>
            </w:r>
          </w:p>
        </w:tc>
        <w:tc>
          <w:tcPr>
            <w:tcW w:w="1260" w:type="dxa"/>
          </w:tcPr>
          <w:p w:rsidR="009054A5" w:rsidRPr="007949FD" w:rsidRDefault="009054A5" w:rsidP="00E4179B">
            <w:pPr>
              <w:pStyle w:val="CEPHIR"/>
              <w:jc w:val="center"/>
              <w:rPr>
                <w:b w:val="0"/>
              </w:rPr>
            </w:pPr>
            <w:r w:rsidRPr="007949FD">
              <w:rPr>
                <w:b w:val="0"/>
              </w:rPr>
              <w:t>6</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6</w:t>
            </w:r>
          </w:p>
        </w:tc>
        <w:tc>
          <w:tcPr>
            <w:tcW w:w="990" w:type="dxa"/>
            <w:shd w:val="clear" w:color="auto" w:fill="F2F2F2" w:themeFill="background1" w:themeFillShade="F2"/>
          </w:tcPr>
          <w:p w:rsidR="009054A5" w:rsidRPr="007949FD" w:rsidRDefault="009054A5" w:rsidP="00E4179B">
            <w:pPr>
              <w:jc w:val="center"/>
              <w:rPr>
                <w:szCs w:val="24"/>
              </w:rPr>
            </w:pPr>
            <w:r w:rsidRPr="007949FD">
              <w:rPr>
                <w:szCs w:val="24"/>
              </w:rPr>
              <w:t>100%</w:t>
            </w:r>
          </w:p>
        </w:tc>
        <w:tc>
          <w:tcPr>
            <w:tcW w:w="900" w:type="dxa"/>
          </w:tcPr>
          <w:p w:rsidR="009054A5" w:rsidRPr="007949FD" w:rsidRDefault="00D10657" w:rsidP="00E4179B">
            <w:pPr>
              <w:jc w:val="center"/>
              <w:rPr>
                <w:szCs w:val="24"/>
              </w:rPr>
            </w:pPr>
            <w:r>
              <w:rPr>
                <w:szCs w:val="24"/>
              </w:rPr>
              <w:t>2</w:t>
            </w:r>
          </w:p>
        </w:tc>
        <w:tc>
          <w:tcPr>
            <w:tcW w:w="895" w:type="dxa"/>
            <w:tcBorders>
              <w:right w:val="nil"/>
            </w:tcBorders>
          </w:tcPr>
          <w:p w:rsidR="009054A5" w:rsidRPr="00D10657" w:rsidRDefault="00D10657" w:rsidP="00E4179B">
            <w:pPr>
              <w:jc w:val="center"/>
              <w:rPr>
                <w:szCs w:val="24"/>
              </w:rPr>
            </w:pPr>
            <w:r w:rsidRPr="00D10657">
              <w:rPr>
                <w:szCs w:val="24"/>
              </w:rPr>
              <w:t>33%</w:t>
            </w:r>
            <w:r w:rsidR="00970D37">
              <w:rPr>
                <w:szCs w:val="24"/>
              </w:rPr>
              <w:t>*</w:t>
            </w:r>
          </w:p>
        </w:tc>
      </w:tr>
      <w:tr w:rsidR="001342F1" w:rsidRPr="007949FD" w:rsidTr="00EB77DF">
        <w:tc>
          <w:tcPr>
            <w:tcW w:w="4495" w:type="dxa"/>
          </w:tcPr>
          <w:p w:rsidR="009054A5" w:rsidRPr="007949FD" w:rsidRDefault="009054A5" w:rsidP="00E4179B">
            <w:pPr>
              <w:pStyle w:val="CEPHIR"/>
              <w:rPr>
                <w:b w:val="0"/>
              </w:rPr>
            </w:pPr>
            <w:r w:rsidRPr="007949FD">
              <w:rPr>
                <w:b w:val="0"/>
              </w:rPr>
              <w:t>Cultural Competence</w:t>
            </w:r>
          </w:p>
        </w:tc>
        <w:tc>
          <w:tcPr>
            <w:tcW w:w="1260" w:type="dxa"/>
          </w:tcPr>
          <w:p w:rsidR="009054A5" w:rsidRPr="007949FD" w:rsidRDefault="009054A5" w:rsidP="00E4179B">
            <w:pPr>
              <w:pStyle w:val="CEPHIR"/>
              <w:jc w:val="center"/>
              <w:rPr>
                <w:b w:val="0"/>
              </w:rPr>
            </w:pPr>
            <w:r w:rsidRPr="007949FD">
              <w:rPr>
                <w:b w:val="0"/>
              </w:rPr>
              <w:t>4</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4</w:t>
            </w:r>
          </w:p>
        </w:tc>
        <w:tc>
          <w:tcPr>
            <w:tcW w:w="990" w:type="dxa"/>
            <w:shd w:val="clear" w:color="auto" w:fill="F2F2F2" w:themeFill="background1" w:themeFillShade="F2"/>
          </w:tcPr>
          <w:p w:rsidR="009054A5" w:rsidRPr="007949FD" w:rsidRDefault="009054A5" w:rsidP="00E4179B">
            <w:pPr>
              <w:jc w:val="center"/>
              <w:rPr>
                <w:szCs w:val="24"/>
              </w:rPr>
            </w:pPr>
            <w:r w:rsidRPr="007949FD">
              <w:rPr>
                <w:szCs w:val="24"/>
              </w:rPr>
              <w:t>100%</w:t>
            </w:r>
          </w:p>
        </w:tc>
        <w:tc>
          <w:tcPr>
            <w:tcW w:w="900" w:type="dxa"/>
          </w:tcPr>
          <w:p w:rsidR="009054A5" w:rsidRPr="007949FD" w:rsidRDefault="00D10657" w:rsidP="00E4179B">
            <w:pPr>
              <w:jc w:val="center"/>
              <w:rPr>
                <w:szCs w:val="24"/>
              </w:rPr>
            </w:pPr>
            <w:r>
              <w:rPr>
                <w:szCs w:val="24"/>
              </w:rPr>
              <w:t>4</w:t>
            </w:r>
          </w:p>
        </w:tc>
        <w:tc>
          <w:tcPr>
            <w:tcW w:w="895" w:type="dxa"/>
            <w:tcBorders>
              <w:right w:val="nil"/>
            </w:tcBorders>
          </w:tcPr>
          <w:p w:rsidR="009054A5" w:rsidRPr="00D10657" w:rsidRDefault="00D10657" w:rsidP="00E4179B">
            <w:pPr>
              <w:jc w:val="center"/>
              <w:rPr>
                <w:szCs w:val="24"/>
              </w:rPr>
            </w:pPr>
            <w:r w:rsidRPr="00D10657">
              <w:rPr>
                <w:szCs w:val="24"/>
              </w:rPr>
              <w:t>100%</w:t>
            </w:r>
          </w:p>
        </w:tc>
      </w:tr>
      <w:tr w:rsidR="001342F1" w:rsidRPr="007949FD" w:rsidTr="00EB77DF">
        <w:tc>
          <w:tcPr>
            <w:tcW w:w="4495" w:type="dxa"/>
          </w:tcPr>
          <w:p w:rsidR="009054A5" w:rsidRPr="007949FD" w:rsidRDefault="009054A5" w:rsidP="00E4179B">
            <w:pPr>
              <w:pStyle w:val="CEPHIR"/>
              <w:rPr>
                <w:b w:val="0"/>
              </w:rPr>
            </w:pPr>
            <w:r w:rsidRPr="007949FD">
              <w:rPr>
                <w:b w:val="0"/>
              </w:rPr>
              <w:t>Leadership and Professionalism</w:t>
            </w:r>
          </w:p>
        </w:tc>
        <w:tc>
          <w:tcPr>
            <w:tcW w:w="1260" w:type="dxa"/>
          </w:tcPr>
          <w:p w:rsidR="009054A5" w:rsidRPr="007949FD" w:rsidRDefault="009054A5" w:rsidP="00E4179B">
            <w:pPr>
              <w:pStyle w:val="CEPHIR"/>
              <w:jc w:val="center"/>
              <w:rPr>
                <w:b w:val="0"/>
              </w:rPr>
            </w:pPr>
            <w:r w:rsidRPr="007949FD">
              <w:rPr>
                <w:b w:val="0"/>
              </w:rPr>
              <w:t>6</w:t>
            </w:r>
          </w:p>
        </w:tc>
        <w:tc>
          <w:tcPr>
            <w:tcW w:w="810" w:type="dxa"/>
            <w:shd w:val="clear" w:color="auto" w:fill="F2F2F2" w:themeFill="background1" w:themeFillShade="F2"/>
          </w:tcPr>
          <w:p w:rsidR="009054A5" w:rsidRPr="007949FD" w:rsidRDefault="009054A5" w:rsidP="00E4179B">
            <w:pPr>
              <w:pStyle w:val="CEPHIR"/>
              <w:jc w:val="center"/>
              <w:rPr>
                <w:b w:val="0"/>
              </w:rPr>
            </w:pPr>
            <w:r w:rsidRPr="007949FD">
              <w:rPr>
                <w:b w:val="0"/>
              </w:rPr>
              <w:t>6</w:t>
            </w:r>
          </w:p>
        </w:tc>
        <w:tc>
          <w:tcPr>
            <w:tcW w:w="990" w:type="dxa"/>
            <w:shd w:val="clear" w:color="auto" w:fill="F2F2F2" w:themeFill="background1" w:themeFillShade="F2"/>
          </w:tcPr>
          <w:p w:rsidR="009054A5" w:rsidRPr="007949FD" w:rsidRDefault="009054A5" w:rsidP="00E4179B">
            <w:pPr>
              <w:jc w:val="center"/>
              <w:rPr>
                <w:szCs w:val="24"/>
              </w:rPr>
            </w:pPr>
            <w:r w:rsidRPr="007949FD">
              <w:rPr>
                <w:szCs w:val="24"/>
              </w:rPr>
              <w:t>100%</w:t>
            </w:r>
          </w:p>
        </w:tc>
        <w:tc>
          <w:tcPr>
            <w:tcW w:w="900" w:type="dxa"/>
          </w:tcPr>
          <w:p w:rsidR="009054A5" w:rsidRPr="007949FD" w:rsidRDefault="00A86259" w:rsidP="00E4179B">
            <w:pPr>
              <w:jc w:val="center"/>
              <w:rPr>
                <w:szCs w:val="24"/>
              </w:rPr>
            </w:pPr>
            <w:r>
              <w:rPr>
                <w:szCs w:val="24"/>
              </w:rPr>
              <w:t>2</w:t>
            </w:r>
          </w:p>
        </w:tc>
        <w:tc>
          <w:tcPr>
            <w:tcW w:w="895" w:type="dxa"/>
            <w:tcBorders>
              <w:right w:val="nil"/>
            </w:tcBorders>
          </w:tcPr>
          <w:p w:rsidR="009054A5" w:rsidRPr="007949FD" w:rsidRDefault="00A86259" w:rsidP="00E4179B">
            <w:pPr>
              <w:jc w:val="center"/>
              <w:rPr>
                <w:szCs w:val="24"/>
              </w:rPr>
            </w:pPr>
            <w:r>
              <w:rPr>
                <w:szCs w:val="24"/>
              </w:rPr>
              <w:t>33%</w:t>
            </w:r>
            <w:r w:rsidR="00970D37">
              <w:rPr>
                <w:szCs w:val="24"/>
              </w:rPr>
              <w:t>*</w:t>
            </w:r>
          </w:p>
        </w:tc>
      </w:tr>
      <w:tr w:rsidR="001342F1" w:rsidRPr="007949FD" w:rsidTr="00EB77DF">
        <w:tc>
          <w:tcPr>
            <w:tcW w:w="4495" w:type="dxa"/>
            <w:tcBorders>
              <w:bottom w:val="single" w:sz="4" w:space="0" w:color="auto"/>
            </w:tcBorders>
          </w:tcPr>
          <w:p w:rsidR="009054A5" w:rsidRPr="007949FD" w:rsidRDefault="009054A5" w:rsidP="00E4179B">
            <w:pPr>
              <w:pStyle w:val="CEPHIR"/>
              <w:rPr>
                <w:b w:val="0"/>
              </w:rPr>
            </w:pPr>
            <w:r w:rsidRPr="007949FD">
              <w:rPr>
                <w:b w:val="0"/>
              </w:rPr>
              <w:t>Program and Policy Development</w:t>
            </w:r>
          </w:p>
        </w:tc>
        <w:tc>
          <w:tcPr>
            <w:tcW w:w="1260" w:type="dxa"/>
            <w:tcBorders>
              <w:bottom w:val="single" w:sz="4" w:space="0" w:color="auto"/>
            </w:tcBorders>
          </w:tcPr>
          <w:p w:rsidR="009054A5" w:rsidRPr="007949FD" w:rsidRDefault="009054A5" w:rsidP="00E4179B">
            <w:pPr>
              <w:pStyle w:val="CEPHIR"/>
              <w:jc w:val="center"/>
              <w:rPr>
                <w:b w:val="0"/>
              </w:rPr>
            </w:pPr>
            <w:r w:rsidRPr="007949FD">
              <w:rPr>
                <w:b w:val="0"/>
              </w:rPr>
              <w:t>6</w:t>
            </w:r>
          </w:p>
        </w:tc>
        <w:tc>
          <w:tcPr>
            <w:tcW w:w="810" w:type="dxa"/>
            <w:tcBorders>
              <w:bottom w:val="single" w:sz="4" w:space="0" w:color="auto"/>
            </w:tcBorders>
            <w:shd w:val="clear" w:color="auto" w:fill="F2F2F2" w:themeFill="background1" w:themeFillShade="F2"/>
          </w:tcPr>
          <w:p w:rsidR="009054A5" w:rsidRPr="007949FD" w:rsidRDefault="009054A5" w:rsidP="00E4179B">
            <w:pPr>
              <w:pStyle w:val="CEPHIR"/>
              <w:jc w:val="center"/>
              <w:rPr>
                <w:b w:val="0"/>
              </w:rPr>
            </w:pPr>
            <w:r w:rsidRPr="007949FD">
              <w:rPr>
                <w:b w:val="0"/>
              </w:rPr>
              <w:t>6</w:t>
            </w:r>
          </w:p>
        </w:tc>
        <w:tc>
          <w:tcPr>
            <w:tcW w:w="990" w:type="dxa"/>
            <w:tcBorders>
              <w:bottom w:val="single" w:sz="4" w:space="0" w:color="auto"/>
            </w:tcBorders>
            <w:shd w:val="clear" w:color="auto" w:fill="F2F2F2" w:themeFill="background1" w:themeFillShade="F2"/>
          </w:tcPr>
          <w:p w:rsidR="009054A5" w:rsidRPr="007949FD" w:rsidRDefault="009054A5" w:rsidP="00E4179B">
            <w:pPr>
              <w:jc w:val="center"/>
              <w:rPr>
                <w:szCs w:val="24"/>
              </w:rPr>
            </w:pPr>
            <w:r w:rsidRPr="007949FD">
              <w:rPr>
                <w:szCs w:val="24"/>
              </w:rPr>
              <w:t>100%</w:t>
            </w:r>
          </w:p>
        </w:tc>
        <w:tc>
          <w:tcPr>
            <w:tcW w:w="900" w:type="dxa"/>
            <w:tcBorders>
              <w:bottom w:val="single" w:sz="4" w:space="0" w:color="auto"/>
            </w:tcBorders>
          </w:tcPr>
          <w:p w:rsidR="009054A5" w:rsidRPr="007949FD" w:rsidRDefault="00A86259" w:rsidP="00E4179B">
            <w:pPr>
              <w:jc w:val="center"/>
              <w:rPr>
                <w:szCs w:val="24"/>
              </w:rPr>
            </w:pPr>
            <w:r>
              <w:rPr>
                <w:szCs w:val="24"/>
              </w:rPr>
              <w:t>5</w:t>
            </w:r>
          </w:p>
        </w:tc>
        <w:tc>
          <w:tcPr>
            <w:tcW w:w="895" w:type="dxa"/>
            <w:tcBorders>
              <w:bottom w:val="single" w:sz="4" w:space="0" w:color="auto"/>
              <w:right w:val="nil"/>
            </w:tcBorders>
          </w:tcPr>
          <w:p w:rsidR="009054A5" w:rsidRPr="007949FD" w:rsidRDefault="00A86259" w:rsidP="00E4179B">
            <w:pPr>
              <w:jc w:val="center"/>
              <w:rPr>
                <w:szCs w:val="24"/>
              </w:rPr>
            </w:pPr>
            <w:r>
              <w:rPr>
                <w:szCs w:val="24"/>
              </w:rPr>
              <w:t>83%</w:t>
            </w:r>
            <w:r w:rsidR="00970D37">
              <w:rPr>
                <w:szCs w:val="24"/>
              </w:rPr>
              <w:t>*</w:t>
            </w:r>
          </w:p>
        </w:tc>
      </w:tr>
    </w:tbl>
    <w:p w:rsidR="009054A5" w:rsidRDefault="009054A5" w:rsidP="00D13466">
      <w:pPr>
        <w:pStyle w:val="CEPHIR"/>
        <w:spacing w:after="0"/>
        <w:rPr>
          <w:b w:val="0"/>
        </w:rPr>
      </w:pPr>
    </w:p>
    <w:p w:rsidR="00F31059" w:rsidRDefault="00F31059" w:rsidP="00B058D1">
      <w:pPr>
        <w:pStyle w:val="CEPHIR"/>
        <w:spacing w:after="0"/>
        <w:rPr>
          <w:b w:val="0"/>
        </w:rPr>
      </w:pPr>
    </w:p>
    <w:p w:rsidR="00F31059" w:rsidRPr="0093566D" w:rsidRDefault="00F31059" w:rsidP="00F31059">
      <w:pPr>
        <w:pStyle w:val="CEPHIR"/>
        <w:rPr>
          <w:b w:val="0"/>
        </w:rPr>
      </w:pPr>
      <w:r w:rsidRPr="0093566D">
        <w:rPr>
          <w:b w:val="0"/>
        </w:rPr>
        <w:t xml:space="preserve">NOTE: Given the survey’s low response rate, it’s possible that those who responded were more favorably disposed to the program. To mitigate potential response bias for 2015/2016, we used a minimum threshold of eight students responding 4 (of 5) or higher when determining if a competency target was met which, because of low numbers, yielded an 89% threshold (8 of 9 students).  In 2016/2017, an eight-student threshold was used (80%; 8 of 10 students). </w:t>
      </w:r>
    </w:p>
    <w:p w:rsidR="00F31059" w:rsidRDefault="00F31059" w:rsidP="00B058D1">
      <w:pPr>
        <w:pStyle w:val="CEPHIR"/>
        <w:spacing w:after="0"/>
        <w:rPr>
          <w:b w:val="0"/>
        </w:rPr>
      </w:pPr>
    </w:p>
    <w:p w:rsidR="006F1BAD" w:rsidRPr="006F1BAD" w:rsidRDefault="006F1BAD" w:rsidP="00B058D1">
      <w:pPr>
        <w:spacing w:after="0"/>
        <w:rPr>
          <w:i/>
          <w:szCs w:val="24"/>
        </w:rPr>
      </w:pPr>
      <w:r w:rsidRPr="006F1BAD">
        <w:rPr>
          <w:i/>
          <w:szCs w:val="24"/>
        </w:rPr>
        <w:t xml:space="preserve">Additional BSPH outcome </w:t>
      </w:r>
      <w:r>
        <w:rPr>
          <w:i/>
          <w:szCs w:val="24"/>
        </w:rPr>
        <w:t>measures</w:t>
      </w: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5389"/>
        <w:gridCol w:w="894"/>
        <w:gridCol w:w="1165"/>
        <w:gridCol w:w="1164"/>
      </w:tblGrid>
      <w:tr w:rsidR="009054A5" w:rsidRPr="006F1BAD" w:rsidTr="00970D37">
        <w:tc>
          <w:tcPr>
            <w:tcW w:w="6227" w:type="dxa"/>
            <w:gridSpan w:val="2"/>
            <w:tcBorders>
              <w:top w:val="single" w:sz="4" w:space="0" w:color="auto"/>
              <w:bottom w:val="single" w:sz="4" w:space="0" w:color="auto"/>
            </w:tcBorders>
          </w:tcPr>
          <w:p w:rsidR="009054A5" w:rsidRPr="009054A5" w:rsidRDefault="009054A5" w:rsidP="00DF192C">
            <w:pPr>
              <w:autoSpaceDE w:val="0"/>
              <w:autoSpaceDN w:val="0"/>
              <w:adjustRightInd w:val="0"/>
              <w:rPr>
                <w:rFonts w:cs="Calibri"/>
                <w:b/>
                <w:color w:val="000000"/>
                <w:szCs w:val="24"/>
              </w:rPr>
            </w:pPr>
            <w:r w:rsidRPr="009054A5">
              <w:rPr>
                <w:rFonts w:cs="Calibri"/>
                <w:b/>
                <w:color w:val="000000"/>
                <w:szCs w:val="24"/>
              </w:rPr>
              <w:t>Objective</w:t>
            </w:r>
          </w:p>
        </w:tc>
        <w:tc>
          <w:tcPr>
            <w:tcW w:w="894" w:type="dxa"/>
            <w:tcBorders>
              <w:top w:val="single" w:sz="4" w:space="0" w:color="auto"/>
              <w:bottom w:val="single" w:sz="4" w:space="0" w:color="auto"/>
            </w:tcBorders>
          </w:tcPr>
          <w:p w:rsidR="009054A5" w:rsidRPr="009054A5" w:rsidRDefault="009054A5" w:rsidP="00DF192C">
            <w:pPr>
              <w:autoSpaceDE w:val="0"/>
              <w:autoSpaceDN w:val="0"/>
              <w:adjustRightInd w:val="0"/>
              <w:rPr>
                <w:rFonts w:cs="Calibri"/>
                <w:b/>
                <w:color w:val="000000"/>
                <w:szCs w:val="24"/>
              </w:rPr>
            </w:pPr>
            <w:r w:rsidRPr="009054A5">
              <w:rPr>
                <w:rFonts w:cs="Calibri"/>
                <w:b/>
                <w:color w:val="000000"/>
                <w:szCs w:val="24"/>
              </w:rPr>
              <w:t>Target</w:t>
            </w:r>
          </w:p>
        </w:tc>
        <w:tc>
          <w:tcPr>
            <w:tcW w:w="1165" w:type="dxa"/>
            <w:tcBorders>
              <w:top w:val="single" w:sz="4" w:space="0" w:color="auto"/>
              <w:bottom w:val="single" w:sz="4" w:space="0" w:color="auto"/>
            </w:tcBorders>
            <w:shd w:val="clear" w:color="auto" w:fill="F2F2F2" w:themeFill="background1" w:themeFillShade="F2"/>
          </w:tcPr>
          <w:p w:rsidR="009054A5" w:rsidRPr="009054A5" w:rsidRDefault="00970D37" w:rsidP="00DF192C">
            <w:pPr>
              <w:autoSpaceDE w:val="0"/>
              <w:autoSpaceDN w:val="0"/>
              <w:adjustRightInd w:val="0"/>
              <w:rPr>
                <w:rFonts w:cs="Calibri"/>
                <w:b/>
                <w:color w:val="000000"/>
                <w:szCs w:val="24"/>
              </w:rPr>
            </w:pPr>
            <w:r w:rsidRPr="009054A5">
              <w:rPr>
                <w:rFonts w:cs="Calibri"/>
                <w:b/>
                <w:color w:val="000000"/>
                <w:szCs w:val="24"/>
              </w:rPr>
              <w:t>AY 15-16</w:t>
            </w:r>
          </w:p>
        </w:tc>
        <w:tc>
          <w:tcPr>
            <w:tcW w:w="1164" w:type="dxa"/>
            <w:tcBorders>
              <w:top w:val="single" w:sz="4" w:space="0" w:color="auto"/>
              <w:bottom w:val="single" w:sz="4" w:space="0" w:color="auto"/>
            </w:tcBorders>
          </w:tcPr>
          <w:p w:rsidR="009054A5" w:rsidRPr="009054A5" w:rsidRDefault="00970D37" w:rsidP="00DF192C">
            <w:pPr>
              <w:autoSpaceDE w:val="0"/>
              <w:autoSpaceDN w:val="0"/>
              <w:adjustRightInd w:val="0"/>
              <w:rPr>
                <w:rFonts w:cs="Calibri"/>
                <w:b/>
                <w:color w:val="000000"/>
                <w:szCs w:val="24"/>
              </w:rPr>
            </w:pPr>
            <w:r w:rsidRPr="009054A5">
              <w:rPr>
                <w:rFonts w:cs="Calibri"/>
                <w:b/>
                <w:color w:val="000000"/>
                <w:szCs w:val="24"/>
              </w:rPr>
              <w:t>AY 16-17</w:t>
            </w:r>
          </w:p>
        </w:tc>
      </w:tr>
      <w:tr w:rsidR="009054A5" w:rsidRPr="006F1BAD" w:rsidTr="00970D37">
        <w:tc>
          <w:tcPr>
            <w:tcW w:w="838" w:type="dxa"/>
            <w:tcBorders>
              <w:top w:val="single" w:sz="4" w:space="0" w:color="auto"/>
            </w:tcBorders>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I1.2.a</w:t>
            </w:r>
          </w:p>
        </w:tc>
        <w:tc>
          <w:tcPr>
            <w:tcW w:w="5389" w:type="dxa"/>
            <w:tcBorders>
              <w:top w:val="single" w:sz="4" w:space="0" w:color="auto"/>
            </w:tcBorders>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Students rate the relevance of course content to career goals as 4 (of 5) or higher</w:t>
            </w:r>
          </w:p>
          <w:p w:rsidR="009054A5" w:rsidRPr="006F1BAD" w:rsidRDefault="009054A5" w:rsidP="008B50E2">
            <w:pPr>
              <w:pStyle w:val="ListParagraph"/>
              <w:numPr>
                <w:ilvl w:val="0"/>
                <w:numId w:val="7"/>
              </w:numPr>
              <w:autoSpaceDE w:val="0"/>
              <w:autoSpaceDN w:val="0"/>
              <w:adjustRightInd w:val="0"/>
              <w:rPr>
                <w:rFonts w:cs="Calibri"/>
                <w:color w:val="000000"/>
                <w:sz w:val="24"/>
                <w:szCs w:val="24"/>
              </w:rPr>
            </w:pPr>
            <w:r w:rsidRPr="006F1BAD">
              <w:rPr>
                <w:rFonts w:cs="Calibri"/>
                <w:color w:val="000000"/>
                <w:sz w:val="24"/>
                <w:szCs w:val="24"/>
              </w:rPr>
              <w:t>Core Courses</w:t>
            </w:r>
          </w:p>
          <w:p w:rsidR="009054A5" w:rsidRPr="006F1BAD" w:rsidRDefault="009054A5" w:rsidP="008B50E2">
            <w:pPr>
              <w:pStyle w:val="ListParagraph"/>
              <w:numPr>
                <w:ilvl w:val="0"/>
                <w:numId w:val="7"/>
              </w:numPr>
              <w:autoSpaceDE w:val="0"/>
              <w:autoSpaceDN w:val="0"/>
              <w:adjustRightInd w:val="0"/>
              <w:rPr>
                <w:rFonts w:cs="Calibri"/>
                <w:color w:val="000000"/>
                <w:sz w:val="24"/>
                <w:szCs w:val="24"/>
              </w:rPr>
            </w:pPr>
            <w:r w:rsidRPr="006F1BAD">
              <w:rPr>
                <w:rFonts w:cs="Calibri"/>
                <w:color w:val="000000"/>
                <w:sz w:val="24"/>
                <w:szCs w:val="24"/>
              </w:rPr>
              <w:t>Concentration Courses</w:t>
            </w:r>
          </w:p>
        </w:tc>
        <w:tc>
          <w:tcPr>
            <w:tcW w:w="894" w:type="dxa"/>
            <w:tcBorders>
              <w:top w:val="single" w:sz="4" w:space="0" w:color="auto"/>
            </w:tcBorders>
          </w:tcPr>
          <w:p w:rsidR="009054A5" w:rsidRPr="006F1BAD" w:rsidRDefault="009054A5" w:rsidP="00DF192C">
            <w:pPr>
              <w:autoSpaceDE w:val="0"/>
              <w:autoSpaceDN w:val="0"/>
              <w:adjustRightInd w:val="0"/>
              <w:rPr>
                <w:rFonts w:cs="Calibri"/>
                <w:color w:val="000000"/>
                <w:szCs w:val="24"/>
              </w:rPr>
            </w:pPr>
          </w:p>
          <w:p w:rsidR="009054A5" w:rsidRPr="006F1BAD" w:rsidRDefault="009054A5" w:rsidP="00DF192C">
            <w:pPr>
              <w:autoSpaceDE w:val="0"/>
              <w:autoSpaceDN w:val="0"/>
              <w:adjustRightInd w:val="0"/>
              <w:rPr>
                <w:rFonts w:cs="Calibri"/>
                <w:color w:val="000000"/>
                <w:szCs w:val="24"/>
              </w:rPr>
            </w:pPr>
          </w:p>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80%</w:t>
            </w:r>
          </w:p>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80%</w:t>
            </w:r>
          </w:p>
        </w:tc>
        <w:tc>
          <w:tcPr>
            <w:tcW w:w="1165" w:type="dxa"/>
            <w:tcBorders>
              <w:top w:val="single" w:sz="4" w:space="0" w:color="auto"/>
            </w:tcBorders>
            <w:shd w:val="clear" w:color="auto" w:fill="F2F2F2" w:themeFill="background1" w:themeFillShade="F2"/>
          </w:tcPr>
          <w:p w:rsidR="009054A5" w:rsidRPr="006F1BAD" w:rsidRDefault="009054A5" w:rsidP="00DF192C">
            <w:pPr>
              <w:autoSpaceDE w:val="0"/>
              <w:autoSpaceDN w:val="0"/>
              <w:adjustRightInd w:val="0"/>
              <w:rPr>
                <w:rFonts w:cs="Calibri"/>
                <w:color w:val="000000"/>
                <w:szCs w:val="24"/>
              </w:rPr>
            </w:pPr>
          </w:p>
          <w:p w:rsidR="009054A5" w:rsidRPr="006F1BAD" w:rsidRDefault="009054A5" w:rsidP="00DF192C">
            <w:pPr>
              <w:autoSpaceDE w:val="0"/>
              <w:autoSpaceDN w:val="0"/>
              <w:adjustRightInd w:val="0"/>
              <w:rPr>
                <w:rFonts w:cs="Calibri"/>
                <w:color w:val="000000"/>
                <w:szCs w:val="24"/>
              </w:rPr>
            </w:pPr>
          </w:p>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100%</w:t>
            </w:r>
          </w:p>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100%</w:t>
            </w:r>
          </w:p>
        </w:tc>
        <w:tc>
          <w:tcPr>
            <w:tcW w:w="1164" w:type="dxa"/>
            <w:tcBorders>
              <w:top w:val="single" w:sz="4" w:space="0" w:color="auto"/>
            </w:tcBorders>
          </w:tcPr>
          <w:p w:rsidR="009054A5" w:rsidRDefault="009054A5" w:rsidP="00DF192C">
            <w:pPr>
              <w:autoSpaceDE w:val="0"/>
              <w:autoSpaceDN w:val="0"/>
              <w:adjustRightInd w:val="0"/>
              <w:rPr>
                <w:rFonts w:cs="Calibri"/>
                <w:color w:val="000000"/>
                <w:szCs w:val="24"/>
              </w:rPr>
            </w:pPr>
          </w:p>
          <w:p w:rsidR="00121E35" w:rsidRDefault="00121E35" w:rsidP="00DF192C">
            <w:pPr>
              <w:autoSpaceDE w:val="0"/>
              <w:autoSpaceDN w:val="0"/>
              <w:adjustRightInd w:val="0"/>
              <w:rPr>
                <w:rFonts w:cs="Calibri"/>
                <w:color w:val="000000"/>
                <w:szCs w:val="24"/>
              </w:rPr>
            </w:pPr>
          </w:p>
          <w:p w:rsidR="00121E35" w:rsidRDefault="00121E35" w:rsidP="00DF192C">
            <w:pPr>
              <w:autoSpaceDE w:val="0"/>
              <w:autoSpaceDN w:val="0"/>
              <w:adjustRightInd w:val="0"/>
              <w:rPr>
                <w:rFonts w:cs="Calibri"/>
                <w:color w:val="000000"/>
                <w:szCs w:val="24"/>
              </w:rPr>
            </w:pPr>
            <w:r>
              <w:rPr>
                <w:rFonts w:cs="Calibri"/>
                <w:color w:val="000000"/>
                <w:szCs w:val="24"/>
              </w:rPr>
              <w:t>78%*</w:t>
            </w:r>
          </w:p>
          <w:p w:rsidR="00121E35" w:rsidRPr="006F1BAD" w:rsidRDefault="00121E35" w:rsidP="00DF192C">
            <w:pPr>
              <w:autoSpaceDE w:val="0"/>
              <w:autoSpaceDN w:val="0"/>
              <w:adjustRightInd w:val="0"/>
              <w:rPr>
                <w:rFonts w:cs="Calibri"/>
                <w:color w:val="000000"/>
                <w:szCs w:val="24"/>
              </w:rPr>
            </w:pPr>
            <w:r>
              <w:rPr>
                <w:rFonts w:cs="Calibri"/>
                <w:color w:val="000000"/>
                <w:szCs w:val="24"/>
              </w:rPr>
              <w:t>90%</w:t>
            </w:r>
          </w:p>
        </w:tc>
      </w:tr>
      <w:tr w:rsidR="009054A5" w:rsidRPr="006F1BAD" w:rsidTr="00970D37">
        <w:tc>
          <w:tcPr>
            <w:tcW w:w="838"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I1.3.b</w:t>
            </w:r>
          </w:p>
        </w:tc>
        <w:tc>
          <w:tcPr>
            <w:tcW w:w="5389" w:type="dxa"/>
          </w:tcPr>
          <w:p w:rsidR="009054A5" w:rsidRPr="006F1BAD" w:rsidRDefault="009054A5" w:rsidP="00C90F5A">
            <w:pPr>
              <w:pStyle w:val="Default"/>
              <w:rPr>
                <w:rFonts w:asciiTheme="minorHAnsi" w:hAnsiTheme="minorHAnsi" w:cs="Calibri"/>
              </w:rPr>
            </w:pPr>
            <w:r w:rsidRPr="006F1BAD">
              <w:rPr>
                <w:rFonts w:asciiTheme="minorHAnsi" w:hAnsiTheme="minorHAnsi" w:cs="Calibri"/>
              </w:rPr>
              <w:t xml:space="preserve">Students rate quality of instruction as 4 (of 5) or higher on PH exit survey </w:t>
            </w:r>
          </w:p>
        </w:tc>
        <w:tc>
          <w:tcPr>
            <w:tcW w:w="894"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80%</w:t>
            </w:r>
          </w:p>
        </w:tc>
        <w:tc>
          <w:tcPr>
            <w:tcW w:w="1165" w:type="dxa"/>
            <w:shd w:val="clear" w:color="auto" w:fill="F2F2F2" w:themeFill="background1" w:themeFillShade="F2"/>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100%</w:t>
            </w:r>
          </w:p>
        </w:tc>
        <w:tc>
          <w:tcPr>
            <w:tcW w:w="1164" w:type="dxa"/>
          </w:tcPr>
          <w:p w:rsidR="009054A5" w:rsidRPr="006F1BAD" w:rsidRDefault="00121E35" w:rsidP="00DF192C">
            <w:pPr>
              <w:autoSpaceDE w:val="0"/>
              <w:autoSpaceDN w:val="0"/>
              <w:adjustRightInd w:val="0"/>
              <w:rPr>
                <w:rFonts w:cs="Calibri"/>
                <w:color w:val="000000"/>
                <w:szCs w:val="24"/>
              </w:rPr>
            </w:pPr>
            <w:r>
              <w:rPr>
                <w:rFonts w:cs="Calibri"/>
                <w:color w:val="000000"/>
                <w:szCs w:val="24"/>
              </w:rPr>
              <w:t>70%*</w:t>
            </w:r>
          </w:p>
        </w:tc>
      </w:tr>
      <w:tr w:rsidR="009054A5" w:rsidRPr="006F1BAD" w:rsidTr="00970D37">
        <w:tc>
          <w:tcPr>
            <w:tcW w:w="838"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R1.3.b</w:t>
            </w:r>
          </w:p>
        </w:tc>
        <w:tc>
          <w:tcPr>
            <w:tcW w:w="5389" w:type="dxa"/>
          </w:tcPr>
          <w:p w:rsidR="009054A5" w:rsidRPr="006F1BAD" w:rsidRDefault="009054A5" w:rsidP="00DF192C">
            <w:pPr>
              <w:autoSpaceDE w:val="0"/>
              <w:autoSpaceDN w:val="0"/>
              <w:adjustRightInd w:val="0"/>
              <w:rPr>
                <w:rFonts w:cs="Calibri"/>
                <w:color w:val="000000"/>
                <w:szCs w:val="24"/>
              </w:rPr>
            </w:pPr>
            <w:r w:rsidRPr="009D1BB9">
              <w:rPr>
                <w:rFonts w:cs="Calibri"/>
                <w:color w:val="000000"/>
                <w:szCs w:val="24"/>
              </w:rPr>
              <w:t>Present at professional conference</w:t>
            </w:r>
          </w:p>
        </w:tc>
        <w:tc>
          <w:tcPr>
            <w:tcW w:w="894"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20%</w:t>
            </w:r>
          </w:p>
        </w:tc>
        <w:tc>
          <w:tcPr>
            <w:tcW w:w="1165" w:type="dxa"/>
            <w:shd w:val="clear" w:color="auto" w:fill="F2F2F2" w:themeFill="background1" w:themeFillShade="F2"/>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11%</w:t>
            </w:r>
            <w:r>
              <w:rPr>
                <w:rFonts w:cs="Calibri"/>
                <w:color w:val="000000"/>
                <w:szCs w:val="24"/>
              </w:rPr>
              <w:t>*</w:t>
            </w:r>
          </w:p>
        </w:tc>
        <w:tc>
          <w:tcPr>
            <w:tcW w:w="1164" w:type="dxa"/>
          </w:tcPr>
          <w:p w:rsidR="009054A5" w:rsidRPr="006F1BAD" w:rsidRDefault="00121E35" w:rsidP="00DF192C">
            <w:pPr>
              <w:autoSpaceDE w:val="0"/>
              <w:autoSpaceDN w:val="0"/>
              <w:adjustRightInd w:val="0"/>
              <w:rPr>
                <w:rFonts w:cs="Calibri"/>
                <w:color w:val="000000"/>
                <w:szCs w:val="24"/>
              </w:rPr>
            </w:pPr>
            <w:r>
              <w:rPr>
                <w:rFonts w:cs="Calibri"/>
                <w:color w:val="000000"/>
                <w:szCs w:val="24"/>
              </w:rPr>
              <w:t>0%*</w:t>
            </w:r>
          </w:p>
        </w:tc>
      </w:tr>
      <w:tr w:rsidR="009054A5" w:rsidRPr="006F1BAD" w:rsidTr="00970D37">
        <w:tc>
          <w:tcPr>
            <w:tcW w:w="838"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S1.1.c</w:t>
            </w:r>
          </w:p>
        </w:tc>
        <w:tc>
          <w:tcPr>
            <w:tcW w:w="5389" w:type="dxa"/>
          </w:tcPr>
          <w:p w:rsidR="009054A5" w:rsidRPr="006F1BAD" w:rsidRDefault="009054A5" w:rsidP="00C75C34">
            <w:pPr>
              <w:pStyle w:val="Default"/>
              <w:rPr>
                <w:rFonts w:asciiTheme="minorHAnsi" w:hAnsiTheme="minorHAnsi"/>
              </w:rPr>
            </w:pPr>
            <w:r w:rsidRPr="006F1BAD">
              <w:rPr>
                <w:rFonts w:asciiTheme="minorHAnsi" w:hAnsiTheme="minorHAnsi"/>
              </w:rPr>
              <w:t>Students participate in PH student organizations (KPHA)</w:t>
            </w:r>
          </w:p>
        </w:tc>
        <w:tc>
          <w:tcPr>
            <w:tcW w:w="894"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30%</w:t>
            </w:r>
          </w:p>
        </w:tc>
        <w:tc>
          <w:tcPr>
            <w:tcW w:w="1165" w:type="dxa"/>
            <w:shd w:val="clear" w:color="auto" w:fill="F2F2F2" w:themeFill="background1" w:themeFillShade="F2"/>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33%</w:t>
            </w:r>
          </w:p>
        </w:tc>
        <w:tc>
          <w:tcPr>
            <w:tcW w:w="1164" w:type="dxa"/>
          </w:tcPr>
          <w:p w:rsidR="009054A5" w:rsidRPr="006F1BAD" w:rsidRDefault="00121E35" w:rsidP="00DF192C">
            <w:pPr>
              <w:autoSpaceDE w:val="0"/>
              <w:autoSpaceDN w:val="0"/>
              <w:adjustRightInd w:val="0"/>
              <w:rPr>
                <w:rFonts w:cs="Calibri"/>
                <w:color w:val="000000"/>
                <w:szCs w:val="24"/>
              </w:rPr>
            </w:pPr>
            <w:r>
              <w:rPr>
                <w:rFonts w:cs="Calibri"/>
                <w:color w:val="000000"/>
                <w:szCs w:val="24"/>
              </w:rPr>
              <w:t>30%</w:t>
            </w:r>
          </w:p>
        </w:tc>
      </w:tr>
      <w:tr w:rsidR="009054A5" w:rsidRPr="006F1BAD" w:rsidTr="00970D37">
        <w:tc>
          <w:tcPr>
            <w:tcW w:w="838"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S1.1.d</w:t>
            </w:r>
          </w:p>
        </w:tc>
        <w:tc>
          <w:tcPr>
            <w:tcW w:w="5389" w:type="dxa"/>
          </w:tcPr>
          <w:p w:rsidR="009054A5" w:rsidRPr="006F1BAD" w:rsidRDefault="009054A5" w:rsidP="00251A98">
            <w:pPr>
              <w:pStyle w:val="Default"/>
              <w:rPr>
                <w:rFonts w:asciiTheme="minorHAnsi" w:hAnsiTheme="minorHAnsi"/>
              </w:rPr>
            </w:pPr>
            <w:r w:rsidRPr="006F1BAD">
              <w:rPr>
                <w:rFonts w:asciiTheme="minorHAnsi" w:hAnsiTheme="minorHAnsi"/>
              </w:rPr>
              <w:t xml:space="preserve">Students participate in service project outside of internship or course requirement </w:t>
            </w:r>
          </w:p>
        </w:tc>
        <w:tc>
          <w:tcPr>
            <w:tcW w:w="894" w:type="dxa"/>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50%</w:t>
            </w:r>
          </w:p>
        </w:tc>
        <w:tc>
          <w:tcPr>
            <w:tcW w:w="1165" w:type="dxa"/>
            <w:shd w:val="clear" w:color="auto" w:fill="F2F2F2" w:themeFill="background1" w:themeFillShade="F2"/>
          </w:tcPr>
          <w:p w:rsidR="009054A5" w:rsidRPr="006F1BAD" w:rsidRDefault="009054A5" w:rsidP="00DF192C">
            <w:pPr>
              <w:autoSpaceDE w:val="0"/>
              <w:autoSpaceDN w:val="0"/>
              <w:adjustRightInd w:val="0"/>
              <w:rPr>
                <w:rFonts w:cs="Calibri"/>
                <w:color w:val="000000"/>
                <w:szCs w:val="24"/>
              </w:rPr>
            </w:pPr>
            <w:r w:rsidRPr="006F1BAD">
              <w:rPr>
                <w:rFonts w:cs="Calibri"/>
                <w:color w:val="000000"/>
                <w:szCs w:val="24"/>
              </w:rPr>
              <w:t>56%</w:t>
            </w:r>
          </w:p>
        </w:tc>
        <w:tc>
          <w:tcPr>
            <w:tcW w:w="1164" w:type="dxa"/>
          </w:tcPr>
          <w:p w:rsidR="009054A5" w:rsidRPr="006F1BAD" w:rsidRDefault="00121E35" w:rsidP="00DF192C">
            <w:pPr>
              <w:autoSpaceDE w:val="0"/>
              <w:autoSpaceDN w:val="0"/>
              <w:adjustRightInd w:val="0"/>
              <w:rPr>
                <w:rFonts w:cs="Calibri"/>
                <w:color w:val="000000"/>
                <w:szCs w:val="24"/>
              </w:rPr>
            </w:pPr>
            <w:r>
              <w:rPr>
                <w:rFonts w:cs="Calibri"/>
                <w:color w:val="000000"/>
                <w:szCs w:val="24"/>
              </w:rPr>
              <w:t>100%</w:t>
            </w:r>
          </w:p>
        </w:tc>
      </w:tr>
    </w:tbl>
    <w:p w:rsidR="009D1BB9" w:rsidRPr="00DF192C" w:rsidRDefault="0059293A" w:rsidP="00DF192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Target not met</w:t>
      </w:r>
    </w:p>
    <w:p w:rsidR="00BF7AD8" w:rsidRDefault="00BF7AD8" w:rsidP="00F41212">
      <w:pPr>
        <w:pStyle w:val="CEPHIR"/>
        <w:spacing w:after="0"/>
        <w:rPr>
          <w:b w:val="0"/>
          <w:u w:val="single"/>
        </w:rPr>
      </w:pPr>
    </w:p>
    <w:p w:rsidR="00EB4695" w:rsidRDefault="00BF7AD8" w:rsidP="00F41212">
      <w:pPr>
        <w:pStyle w:val="CEPHIR"/>
        <w:spacing w:after="0"/>
        <w:rPr>
          <w:b w:val="0"/>
        </w:rPr>
      </w:pPr>
      <w:r w:rsidRPr="00BF7AD8">
        <w:rPr>
          <w:b w:val="0"/>
        </w:rPr>
        <w:t>D</w:t>
      </w:r>
      <w:r>
        <w:rPr>
          <w:b w:val="0"/>
        </w:rPr>
        <w:t>ata from the baseline survey informed discussions that led to course content changes.  Data from the 2016/2017 academic year will be used as part of the strategic planning process</w:t>
      </w:r>
      <w:r w:rsidR="00C31C09">
        <w:rPr>
          <w:b w:val="0"/>
        </w:rPr>
        <w:t xml:space="preserve"> for the 2017/2018 academic year.  </w:t>
      </w:r>
    </w:p>
    <w:p w:rsidR="00EB4695" w:rsidRDefault="00EB4695" w:rsidP="00F41212">
      <w:pPr>
        <w:pStyle w:val="CEPHIR"/>
        <w:spacing w:after="0"/>
        <w:rPr>
          <w:b w:val="0"/>
        </w:rPr>
      </w:pPr>
    </w:p>
    <w:p w:rsidR="008B3FCF" w:rsidRPr="008B3FCF" w:rsidRDefault="00D13466" w:rsidP="00F41212">
      <w:pPr>
        <w:pStyle w:val="CEPHIR"/>
        <w:spacing w:after="0"/>
        <w:rPr>
          <w:b w:val="0"/>
        </w:rPr>
      </w:pPr>
      <w:r>
        <w:rPr>
          <w:b w:val="0"/>
        </w:rPr>
        <w:tab/>
      </w:r>
      <w:r>
        <w:rPr>
          <w:b w:val="0"/>
        </w:rPr>
        <w:tab/>
      </w:r>
      <w:r>
        <w:rPr>
          <w:b w:val="0"/>
        </w:rPr>
        <w:tab/>
      </w:r>
      <w:r>
        <w:rPr>
          <w:b w:val="0"/>
        </w:rPr>
        <w:tab/>
      </w:r>
      <w:r>
        <w:rPr>
          <w:b w:val="0"/>
        </w:rPr>
        <w:tab/>
      </w:r>
    </w:p>
    <w:p w:rsidR="00F41212" w:rsidRDefault="00F41212" w:rsidP="00F41212">
      <w:pPr>
        <w:pStyle w:val="CEPHIR"/>
        <w:spacing w:after="0"/>
        <w:rPr>
          <w:b w:val="0"/>
          <w:u w:val="single"/>
        </w:rPr>
      </w:pPr>
      <w:r w:rsidRPr="00862D0E">
        <w:rPr>
          <w:b w:val="0"/>
          <w:u w:val="single"/>
        </w:rPr>
        <w:t>Employer Survey</w:t>
      </w:r>
    </w:p>
    <w:p w:rsidR="00F41212" w:rsidRDefault="00CB4624" w:rsidP="00F41212">
      <w:pPr>
        <w:spacing w:after="0"/>
      </w:pPr>
      <w:r>
        <w:t>In August 2016, w</w:t>
      </w:r>
      <w:r w:rsidR="00F41212">
        <w:t xml:space="preserve">e </w:t>
      </w:r>
      <w:r>
        <w:t xml:space="preserve">also </w:t>
      </w:r>
      <w:r w:rsidR="00F41212">
        <w:t>administered a survey to assess BSPH students</w:t>
      </w:r>
      <w:r w:rsidR="00D13466">
        <w:t>’ readiness for practice.  The methodology and</w:t>
      </w:r>
      <w:r w:rsidR="00A657EF">
        <w:t xml:space="preserve"> </w:t>
      </w:r>
      <w:r w:rsidR="00F41212">
        <w:t xml:space="preserve">findings are discussed in our response to </w:t>
      </w:r>
      <w:r w:rsidR="006B04E1">
        <w:t>compliance issue</w:t>
      </w:r>
      <w:r w:rsidR="00F41212">
        <w:t xml:space="preserve"> </w:t>
      </w:r>
      <w:r w:rsidR="00C21DF3">
        <w:t xml:space="preserve">I. </w:t>
      </w:r>
      <w:r>
        <w:t xml:space="preserve"> </w:t>
      </w:r>
    </w:p>
    <w:p w:rsidR="00F41212" w:rsidRDefault="00F41212" w:rsidP="00F41212">
      <w:pPr>
        <w:spacing w:after="0"/>
        <w:rPr>
          <w:szCs w:val="24"/>
          <w:u w:val="single"/>
        </w:rPr>
      </w:pPr>
    </w:p>
    <w:p w:rsidR="00F41212" w:rsidRPr="002B39E3" w:rsidRDefault="00F41212" w:rsidP="00F41212">
      <w:pPr>
        <w:spacing w:after="0"/>
        <w:rPr>
          <w:szCs w:val="24"/>
          <w:u w:val="single"/>
        </w:rPr>
      </w:pPr>
      <w:r w:rsidRPr="002B39E3">
        <w:rPr>
          <w:szCs w:val="24"/>
          <w:u w:val="single"/>
        </w:rPr>
        <w:t>Curricular Review</w:t>
      </w:r>
    </w:p>
    <w:p w:rsidR="00F41212" w:rsidRPr="00C31C09" w:rsidRDefault="00F41212" w:rsidP="00C31C09">
      <w:pPr>
        <w:spacing w:after="0"/>
        <w:rPr>
          <w:szCs w:val="24"/>
        </w:rPr>
      </w:pPr>
      <w:r>
        <w:rPr>
          <w:szCs w:val="24"/>
        </w:rPr>
        <w:t>We conducted a c</w:t>
      </w:r>
      <w:r w:rsidR="00C21DF3">
        <w:rPr>
          <w:szCs w:val="24"/>
        </w:rPr>
        <w:t xml:space="preserve">omprehensive review of required public health </w:t>
      </w:r>
      <w:r>
        <w:rPr>
          <w:szCs w:val="24"/>
        </w:rPr>
        <w:t xml:space="preserve">courses taught by BSPH faculty.  Course objectives, content, and assessments were aligned to the foundational domains and </w:t>
      </w:r>
      <w:r w:rsidR="002731B3">
        <w:rPr>
          <w:szCs w:val="24"/>
        </w:rPr>
        <w:t xml:space="preserve">foundational </w:t>
      </w:r>
      <w:r>
        <w:rPr>
          <w:szCs w:val="24"/>
        </w:rPr>
        <w:t xml:space="preserve">competencies delineated in the 2016 Criteria.  A master grid was created and evaluated by the BSPH committee at its </w:t>
      </w:r>
      <w:hyperlink r:id="rId11" w:history="1">
        <w:r w:rsidRPr="00E600B0">
          <w:rPr>
            <w:rStyle w:val="Hyperlink"/>
            <w:szCs w:val="24"/>
          </w:rPr>
          <w:t>workday in January</w:t>
        </w:r>
      </w:hyperlink>
      <w:r>
        <w:rPr>
          <w:szCs w:val="24"/>
        </w:rPr>
        <w:t xml:space="preserve">.  In order to be considered aligned with a foundational domain or </w:t>
      </w:r>
      <w:r w:rsidR="002731B3">
        <w:rPr>
          <w:szCs w:val="24"/>
        </w:rPr>
        <w:t xml:space="preserve">foundational </w:t>
      </w:r>
      <w:r>
        <w:rPr>
          <w:szCs w:val="24"/>
        </w:rPr>
        <w:t xml:space="preserve">competency, at least 50% of committee members had to rank the objectives, content, and assessment as “Clearly Met.”  The information gleaned from this process is being used to modify course content, and contributed to changes in curriculum.  </w:t>
      </w:r>
      <w:r w:rsidR="002607B4">
        <w:rPr>
          <w:szCs w:val="24"/>
        </w:rPr>
        <w:t>Although not addressed in 2011 Criterion 1.2, we present this synopsis as evidence of the BSPH program engaging in evaluation practices</w:t>
      </w:r>
      <w:r w:rsidR="00E600B0">
        <w:rPr>
          <w:szCs w:val="24"/>
        </w:rPr>
        <w:t>.</w:t>
      </w:r>
    </w:p>
    <w:p w:rsidR="00881AF8" w:rsidRPr="00D30B12" w:rsidRDefault="00B64954" w:rsidP="005327E4">
      <w:pPr>
        <w:pStyle w:val="Heading1"/>
      </w:pPr>
      <w:bookmarkStart w:id="4" w:name="_Toc490316871"/>
      <w:r w:rsidRPr="00D30B12">
        <w:lastRenderedPageBreak/>
        <w:t>D. Implemented a functional governance structure that allows for the program’s committees and faculty to be engaged in the governance processes. The report must present evidence (eg, committee meeting minutes) that program faculty are involved in governance processes.</w:t>
      </w:r>
      <w:r w:rsidR="00881AF8" w:rsidRPr="00D30B12">
        <w:t xml:space="preserve"> (Criterion 1.5)</w:t>
      </w:r>
      <w:bookmarkEnd w:id="4"/>
    </w:p>
    <w:p w:rsidR="002A1F8E" w:rsidRDefault="002A1F8E" w:rsidP="00881AF8">
      <w:pPr>
        <w:spacing w:after="0"/>
        <w:rPr>
          <w:szCs w:val="24"/>
          <w:u w:val="single"/>
        </w:rPr>
      </w:pPr>
    </w:p>
    <w:p w:rsidR="00881AF8" w:rsidRPr="00822881" w:rsidRDefault="00881AF8" w:rsidP="00881AF8">
      <w:pPr>
        <w:spacing w:after="0"/>
        <w:rPr>
          <w:szCs w:val="24"/>
          <w:u w:val="single"/>
        </w:rPr>
      </w:pPr>
      <w:r w:rsidRPr="00822881">
        <w:rPr>
          <w:szCs w:val="24"/>
          <w:u w:val="single"/>
        </w:rPr>
        <w:t>Revised committee structure</w:t>
      </w:r>
      <w:r w:rsidR="00670F87" w:rsidRPr="00822881">
        <w:rPr>
          <w:szCs w:val="24"/>
          <w:u w:val="single"/>
        </w:rPr>
        <w:t xml:space="preserve"> </w:t>
      </w:r>
    </w:p>
    <w:p w:rsidR="009C39DF" w:rsidRPr="00822881" w:rsidRDefault="009C39DF" w:rsidP="009C39DF">
      <w:pPr>
        <w:spacing w:after="0"/>
        <w:rPr>
          <w:szCs w:val="24"/>
        </w:rPr>
      </w:pPr>
      <w:r w:rsidRPr="00822881">
        <w:rPr>
          <w:szCs w:val="24"/>
        </w:rPr>
        <w:t>The existing committee structure was largely created in 2007. At that point in time, accreditation did not e</w:t>
      </w:r>
      <w:r w:rsidR="00EA4B35">
        <w:rPr>
          <w:szCs w:val="24"/>
        </w:rPr>
        <w:t>xt</w:t>
      </w:r>
      <w:r w:rsidR="00054FFE">
        <w:rPr>
          <w:szCs w:val="24"/>
        </w:rPr>
        <w:t>end to undergraduate degrees;</w:t>
      </w:r>
      <w:r w:rsidR="00EA4B35">
        <w:rPr>
          <w:szCs w:val="24"/>
        </w:rPr>
        <w:t xml:space="preserve"> thus</w:t>
      </w:r>
      <w:r w:rsidR="00054FFE">
        <w:rPr>
          <w:szCs w:val="24"/>
        </w:rPr>
        <w:t>,</w:t>
      </w:r>
      <w:r w:rsidR="00EA4B35">
        <w:rPr>
          <w:szCs w:val="24"/>
        </w:rPr>
        <w:t xml:space="preserve"> </w:t>
      </w:r>
      <w:r w:rsidR="002731B3">
        <w:rPr>
          <w:szCs w:val="24"/>
        </w:rPr>
        <w:t xml:space="preserve">our committee structure </w:t>
      </w:r>
      <w:r w:rsidRPr="00822881">
        <w:rPr>
          <w:szCs w:val="24"/>
        </w:rPr>
        <w:t>applied exclusively to the MPH</w:t>
      </w:r>
      <w:r w:rsidR="00EA4B35">
        <w:rPr>
          <w:szCs w:val="24"/>
        </w:rPr>
        <w:t xml:space="preserve"> program</w:t>
      </w:r>
      <w:r w:rsidRPr="00822881">
        <w:rPr>
          <w:szCs w:val="24"/>
        </w:rPr>
        <w:t xml:space="preserve">.  Prior to </w:t>
      </w:r>
      <w:r w:rsidR="00215206">
        <w:rPr>
          <w:szCs w:val="24"/>
        </w:rPr>
        <w:t xml:space="preserve">our </w:t>
      </w:r>
      <w:r w:rsidRPr="00822881">
        <w:rPr>
          <w:szCs w:val="24"/>
        </w:rPr>
        <w:t>2015 self-study, the BSPH program was subsumed within the existin</w:t>
      </w:r>
      <w:r w:rsidR="0093566D">
        <w:rPr>
          <w:szCs w:val="24"/>
        </w:rPr>
        <w:t>g MPH committee structure that</w:t>
      </w:r>
      <w:r w:rsidRPr="00822881">
        <w:rPr>
          <w:szCs w:val="24"/>
        </w:rPr>
        <w:t xml:space="preserve"> included six standing committees, some of which were not appli</w:t>
      </w:r>
      <w:r w:rsidR="002731B3">
        <w:rPr>
          <w:szCs w:val="24"/>
        </w:rPr>
        <w:t>cable to the BSPH program.  As note</w:t>
      </w:r>
      <w:r w:rsidR="00FE1FBF">
        <w:rPr>
          <w:szCs w:val="24"/>
        </w:rPr>
        <w:t xml:space="preserve">d </w:t>
      </w:r>
      <w:r w:rsidRPr="00822881">
        <w:rPr>
          <w:szCs w:val="24"/>
        </w:rPr>
        <w:t xml:space="preserve">in our self-study, our governance structure was cumbersome and taxing on the faculty.  Many standing committees did not meet regularly nor comply with their charges. </w:t>
      </w:r>
      <w:r w:rsidR="0093566D">
        <w:rPr>
          <w:szCs w:val="24"/>
        </w:rPr>
        <w:t xml:space="preserve"> Student representation was spotty, at best.</w:t>
      </w:r>
    </w:p>
    <w:p w:rsidR="009C39DF" w:rsidRPr="00822881" w:rsidRDefault="009C39DF" w:rsidP="009C39DF">
      <w:pPr>
        <w:spacing w:after="0"/>
        <w:rPr>
          <w:szCs w:val="24"/>
        </w:rPr>
      </w:pPr>
    </w:p>
    <w:p w:rsidR="009C39DF" w:rsidRPr="00822881" w:rsidRDefault="00643E38" w:rsidP="009C39DF">
      <w:pPr>
        <w:spacing w:after="0"/>
        <w:rPr>
          <w:noProof/>
          <w:szCs w:val="24"/>
        </w:rPr>
      </w:pPr>
      <w:r w:rsidRPr="00822881">
        <w:rPr>
          <w:szCs w:val="24"/>
        </w:rPr>
        <w:t xml:space="preserve">On </w:t>
      </w:r>
      <w:hyperlink r:id="rId12" w:history="1">
        <w:r w:rsidRPr="00BB24F3">
          <w:rPr>
            <w:rStyle w:val="Hyperlink"/>
            <w:szCs w:val="24"/>
          </w:rPr>
          <w:t>November 16, 2017</w:t>
        </w:r>
      </w:hyperlink>
      <w:r w:rsidRPr="00822881">
        <w:rPr>
          <w:szCs w:val="24"/>
        </w:rPr>
        <w:t xml:space="preserve">, the </w:t>
      </w:r>
      <w:r w:rsidR="009C39DF" w:rsidRPr="00822881">
        <w:rPr>
          <w:szCs w:val="24"/>
        </w:rPr>
        <w:t xml:space="preserve">governance structure was </w:t>
      </w:r>
      <w:r w:rsidRPr="00822881">
        <w:rPr>
          <w:szCs w:val="24"/>
        </w:rPr>
        <w:t>simplified</w:t>
      </w:r>
      <w:r w:rsidR="009C39DF" w:rsidRPr="00822881">
        <w:rPr>
          <w:szCs w:val="24"/>
        </w:rPr>
        <w:t xml:space="preserve"> to increase program efficiencies and responsiveness, foster shared-governance, ensure </w:t>
      </w:r>
      <w:r w:rsidR="00EA4B35">
        <w:rPr>
          <w:szCs w:val="24"/>
        </w:rPr>
        <w:t xml:space="preserve">meeting </w:t>
      </w:r>
      <w:r w:rsidR="009C39DF" w:rsidRPr="00822881">
        <w:rPr>
          <w:szCs w:val="24"/>
        </w:rPr>
        <w:t xml:space="preserve">the specific needs of each </w:t>
      </w:r>
      <w:r w:rsidR="00054FFE">
        <w:rPr>
          <w:szCs w:val="24"/>
        </w:rPr>
        <w:t xml:space="preserve">degree </w:t>
      </w:r>
      <w:r w:rsidR="009C39DF" w:rsidRPr="00822881">
        <w:rPr>
          <w:szCs w:val="24"/>
        </w:rPr>
        <w:t>program</w:t>
      </w:r>
      <w:r w:rsidR="00EA4B35">
        <w:rPr>
          <w:szCs w:val="24"/>
        </w:rPr>
        <w:t>, and avoid</w:t>
      </w:r>
      <w:r w:rsidR="009C39DF" w:rsidRPr="00822881">
        <w:rPr>
          <w:szCs w:val="24"/>
        </w:rPr>
        <w:t xml:space="preserve"> overburdening faculty.  </w:t>
      </w:r>
      <w:r w:rsidRPr="00822881">
        <w:rPr>
          <w:szCs w:val="24"/>
        </w:rPr>
        <w:t xml:space="preserve">As passed by unanimous vote, the </w:t>
      </w:r>
      <w:r w:rsidR="009C39DF" w:rsidRPr="00822881">
        <w:rPr>
          <w:szCs w:val="24"/>
        </w:rPr>
        <w:t xml:space="preserve">MPH and BSPH programs </w:t>
      </w:r>
      <w:r w:rsidRPr="00822881">
        <w:rPr>
          <w:szCs w:val="24"/>
        </w:rPr>
        <w:t xml:space="preserve">now </w:t>
      </w:r>
      <w:r w:rsidR="009C39DF" w:rsidRPr="00822881">
        <w:rPr>
          <w:szCs w:val="24"/>
        </w:rPr>
        <w:t xml:space="preserve">function as </w:t>
      </w:r>
      <w:r w:rsidR="00774DE8">
        <w:rPr>
          <w:szCs w:val="24"/>
        </w:rPr>
        <w:t xml:space="preserve">a single, </w:t>
      </w:r>
      <w:r w:rsidR="009C39DF" w:rsidRPr="00822881">
        <w:rPr>
          <w:szCs w:val="24"/>
        </w:rPr>
        <w:t xml:space="preserve">coordinated operating unit, yet </w:t>
      </w:r>
      <w:r w:rsidR="00EA4B35">
        <w:rPr>
          <w:szCs w:val="24"/>
        </w:rPr>
        <w:t xml:space="preserve">still </w:t>
      </w:r>
      <w:r w:rsidR="009C39DF" w:rsidRPr="00822881">
        <w:rPr>
          <w:szCs w:val="24"/>
        </w:rPr>
        <w:t xml:space="preserve">retain separate governance structures that identify voting units, delineate program-specific committees, and </w:t>
      </w:r>
      <w:r w:rsidR="00EA4B35">
        <w:rPr>
          <w:szCs w:val="24"/>
        </w:rPr>
        <w:t xml:space="preserve">articulate </w:t>
      </w:r>
      <w:r w:rsidR="009C39DF" w:rsidRPr="00822881">
        <w:rPr>
          <w:szCs w:val="24"/>
        </w:rPr>
        <w:t>program-specific charges, including</w:t>
      </w:r>
      <w:r w:rsidR="00EA4B35">
        <w:rPr>
          <w:szCs w:val="24"/>
        </w:rPr>
        <w:t xml:space="preserve"> those under the purview of th</w:t>
      </w:r>
      <w:r w:rsidR="007C5DE3">
        <w:rPr>
          <w:szCs w:val="24"/>
        </w:rPr>
        <w:t>e program co</w:t>
      </w:r>
      <w:r w:rsidR="009C39DF" w:rsidRPr="00822881">
        <w:rPr>
          <w:szCs w:val="24"/>
        </w:rPr>
        <w:t>ordinator</w:t>
      </w:r>
      <w:r w:rsidR="007C5DE3">
        <w:rPr>
          <w:szCs w:val="24"/>
        </w:rPr>
        <w:t>s</w:t>
      </w:r>
      <w:r w:rsidR="009C39DF" w:rsidRPr="00822881">
        <w:rPr>
          <w:szCs w:val="24"/>
        </w:rPr>
        <w:t>.</w:t>
      </w:r>
      <w:r w:rsidR="00BD1F47" w:rsidRPr="00822881">
        <w:rPr>
          <w:noProof/>
          <w:szCs w:val="24"/>
        </w:rPr>
        <w:t xml:space="preserve"> </w:t>
      </w:r>
    </w:p>
    <w:p w:rsidR="00BD1F47" w:rsidRPr="00822881" w:rsidRDefault="00BD1F47" w:rsidP="00215206">
      <w:pPr>
        <w:spacing w:after="0"/>
        <w:jc w:val="center"/>
        <w:rPr>
          <w:noProof/>
          <w:szCs w:val="24"/>
        </w:rPr>
      </w:pPr>
    </w:p>
    <w:p w:rsidR="00BD1F47" w:rsidRPr="00822881" w:rsidRDefault="00BD1F47" w:rsidP="00215206">
      <w:pPr>
        <w:spacing w:after="0"/>
        <w:jc w:val="center"/>
        <w:rPr>
          <w:szCs w:val="24"/>
        </w:rPr>
      </w:pPr>
      <w:r w:rsidRPr="00822881">
        <w:rPr>
          <w:noProof/>
          <w:szCs w:val="24"/>
        </w:rPr>
        <w:drawing>
          <wp:inline distT="0" distB="0" distL="0" distR="0" wp14:anchorId="7E166F49" wp14:editId="3DB845AC">
            <wp:extent cx="295349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2919" t="31736" r="32268" b="52545"/>
                    <a:stretch/>
                  </pic:blipFill>
                  <pic:spPr bwMode="auto">
                    <a:xfrm>
                      <a:off x="0" y="0"/>
                      <a:ext cx="3024190" cy="1076732"/>
                    </a:xfrm>
                    <a:prstGeom prst="rect">
                      <a:avLst/>
                    </a:prstGeom>
                    <a:ln>
                      <a:noFill/>
                    </a:ln>
                    <a:extLst>
                      <a:ext uri="{53640926-AAD7-44D8-BBD7-CCE9431645EC}">
                        <a14:shadowObscured xmlns:a14="http://schemas.microsoft.com/office/drawing/2010/main"/>
                      </a:ext>
                    </a:extLst>
                  </pic:spPr>
                </pic:pic>
              </a:graphicData>
            </a:graphic>
          </wp:inline>
        </w:drawing>
      </w:r>
    </w:p>
    <w:p w:rsidR="00BD1F47" w:rsidRPr="00822881" w:rsidRDefault="00BD1F47" w:rsidP="009D3456">
      <w:r w:rsidRPr="00822881">
        <w:tab/>
      </w:r>
      <w:r w:rsidRPr="00822881">
        <w:tab/>
      </w:r>
      <w:r w:rsidRPr="00822881">
        <w:tab/>
      </w:r>
      <w:r w:rsidRPr="00822881">
        <w:tab/>
      </w:r>
    </w:p>
    <w:p w:rsidR="00AF3A65" w:rsidRDefault="00AF3A65" w:rsidP="00AF3A65">
      <w:pPr>
        <w:spacing w:after="0"/>
        <w:rPr>
          <w:szCs w:val="24"/>
        </w:rPr>
      </w:pPr>
    </w:p>
    <w:p w:rsidR="00862999" w:rsidRDefault="00BD1F47" w:rsidP="00AF3A65">
      <w:pPr>
        <w:spacing w:after="0"/>
        <w:rPr>
          <w:szCs w:val="24"/>
        </w:rPr>
      </w:pPr>
      <w:r w:rsidRPr="00822881">
        <w:rPr>
          <w:szCs w:val="24"/>
        </w:rPr>
        <w:t>As shown</w:t>
      </w:r>
      <w:r w:rsidR="00215206">
        <w:rPr>
          <w:szCs w:val="24"/>
        </w:rPr>
        <w:t xml:space="preserve"> in the figure</w:t>
      </w:r>
      <w:r w:rsidR="00054FFE">
        <w:rPr>
          <w:szCs w:val="24"/>
        </w:rPr>
        <w:t xml:space="preserve"> above</w:t>
      </w:r>
      <w:r w:rsidRPr="00822881">
        <w:rPr>
          <w:szCs w:val="24"/>
        </w:rPr>
        <w:t xml:space="preserve">, the </w:t>
      </w:r>
      <w:r w:rsidR="00F668F0">
        <w:rPr>
          <w:szCs w:val="24"/>
        </w:rPr>
        <w:t>Joint MPH-BSPH C</w:t>
      </w:r>
      <w:r w:rsidR="00507536" w:rsidRPr="00822881">
        <w:rPr>
          <w:szCs w:val="24"/>
        </w:rPr>
        <w:t xml:space="preserve">ommittee </w:t>
      </w:r>
      <w:r w:rsidR="006C6320">
        <w:rPr>
          <w:szCs w:val="24"/>
        </w:rPr>
        <w:t xml:space="preserve">currently </w:t>
      </w:r>
      <w:r w:rsidR="00507536" w:rsidRPr="00822881">
        <w:rPr>
          <w:szCs w:val="24"/>
        </w:rPr>
        <w:t>has one standing committee</w:t>
      </w:r>
      <w:r w:rsidR="00215206">
        <w:rPr>
          <w:szCs w:val="24"/>
        </w:rPr>
        <w:t>: Assessment.</w:t>
      </w:r>
      <w:r w:rsidR="007C5DE3">
        <w:rPr>
          <w:szCs w:val="24"/>
        </w:rPr>
        <w:t xml:space="preserve"> </w:t>
      </w:r>
      <w:r w:rsidR="00507536" w:rsidRPr="00822881">
        <w:rPr>
          <w:szCs w:val="24"/>
        </w:rPr>
        <w:t xml:space="preserve"> Individually, each program </w:t>
      </w:r>
      <w:r w:rsidR="007C5DE3">
        <w:rPr>
          <w:szCs w:val="24"/>
        </w:rPr>
        <w:t>has</w:t>
      </w:r>
      <w:r w:rsidR="00507536" w:rsidRPr="00822881">
        <w:rPr>
          <w:szCs w:val="24"/>
        </w:rPr>
        <w:t xml:space="preserve"> a curriculum committee, comprised of the memberships shown in the </w:t>
      </w:r>
      <w:r w:rsidR="00215206">
        <w:rPr>
          <w:szCs w:val="24"/>
        </w:rPr>
        <w:t>following table</w:t>
      </w:r>
      <w:r w:rsidR="00507536" w:rsidRPr="00822881">
        <w:rPr>
          <w:szCs w:val="24"/>
        </w:rPr>
        <w:t>.  The MPH committee also ha</w:t>
      </w:r>
      <w:r w:rsidR="007C5DE3">
        <w:rPr>
          <w:szCs w:val="24"/>
        </w:rPr>
        <w:t>s</w:t>
      </w:r>
      <w:r w:rsidR="00507536" w:rsidRPr="00822881">
        <w:rPr>
          <w:szCs w:val="24"/>
        </w:rPr>
        <w:t xml:space="preserve"> a standing admissions committee. </w:t>
      </w:r>
      <w:r w:rsidR="00B35A70" w:rsidRPr="00C21DF3">
        <w:rPr>
          <w:szCs w:val="24"/>
        </w:rPr>
        <w:t xml:space="preserve">The </w:t>
      </w:r>
      <w:r w:rsidR="00507536" w:rsidRPr="00C21DF3">
        <w:rPr>
          <w:szCs w:val="24"/>
        </w:rPr>
        <w:t>policies</w:t>
      </w:r>
      <w:r w:rsidR="007C5DE3" w:rsidRPr="00C21DF3">
        <w:rPr>
          <w:szCs w:val="24"/>
        </w:rPr>
        <w:t xml:space="preserve"> and </w:t>
      </w:r>
      <w:r w:rsidR="00507536" w:rsidRPr="00C21DF3">
        <w:rPr>
          <w:szCs w:val="24"/>
        </w:rPr>
        <w:t xml:space="preserve">procedures for these committees </w:t>
      </w:r>
      <w:r w:rsidR="00B35A70" w:rsidRPr="00C21DF3">
        <w:rPr>
          <w:szCs w:val="24"/>
        </w:rPr>
        <w:t xml:space="preserve">can be </w:t>
      </w:r>
      <w:hyperlink r:id="rId14" w:history="1">
        <w:r w:rsidR="00B35A70" w:rsidRPr="000E4E00">
          <w:rPr>
            <w:rStyle w:val="Hyperlink"/>
            <w:szCs w:val="24"/>
          </w:rPr>
          <w:t>viewed online</w:t>
        </w:r>
      </w:hyperlink>
      <w:r w:rsidR="00507536" w:rsidRPr="000E4E00">
        <w:rPr>
          <w:szCs w:val="24"/>
        </w:rPr>
        <w:t>.</w:t>
      </w:r>
      <w:r w:rsidR="00AF3A65">
        <w:rPr>
          <w:szCs w:val="24"/>
        </w:rPr>
        <w:t xml:space="preserve"> </w:t>
      </w:r>
    </w:p>
    <w:p w:rsidR="00AF3A65" w:rsidRPr="00AF3A65" w:rsidRDefault="00AF3A65" w:rsidP="00AF3A65">
      <w:pPr>
        <w:spacing w:after="0"/>
        <w:rPr>
          <w:szCs w:val="24"/>
        </w:rPr>
      </w:pPr>
    </w:p>
    <w:p w:rsidR="00AF3A65" w:rsidRPr="00822881" w:rsidRDefault="00AF3A65" w:rsidP="00AF3A65">
      <w:pPr>
        <w:spacing w:after="0"/>
        <w:rPr>
          <w:szCs w:val="24"/>
        </w:rPr>
      </w:pPr>
      <w:r w:rsidRPr="00822881">
        <w:rPr>
          <w:szCs w:val="24"/>
        </w:rPr>
        <w:t xml:space="preserve">Ad hoc committees </w:t>
      </w:r>
      <w:r>
        <w:rPr>
          <w:szCs w:val="24"/>
        </w:rPr>
        <w:t>are</w:t>
      </w:r>
      <w:r w:rsidRPr="00822881">
        <w:rPr>
          <w:szCs w:val="24"/>
        </w:rPr>
        <w:t xml:space="preserve"> convened, as needed, to address specific time-limited issues or tasks.  As we</w:t>
      </w:r>
      <w:r>
        <w:rPr>
          <w:szCs w:val="24"/>
        </w:rPr>
        <w:t xml:space="preserve"> further</w:t>
      </w:r>
      <w:r w:rsidRPr="00822881">
        <w:rPr>
          <w:szCs w:val="24"/>
        </w:rPr>
        <w:t xml:space="preserve"> transition</w:t>
      </w:r>
      <w:r>
        <w:rPr>
          <w:szCs w:val="24"/>
        </w:rPr>
        <w:t xml:space="preserve"> </w:t>
      </w:r>
      <w:r w:rsidRPr="00822881">
        <w:rPr>
          <w:szCs w:val="24"/>
        </w:rPr>
        <w:t>into the new criteria, it may become evident that on-going issues would be best served by standing committees; if so, we will create them at that time.  Ad-hoc committe</w:t>
      </w:r>
      <w:r w:rsidR="00C62206">
        <w:rPr>
          <w:szCs w:val="24"/>
        </w:rPr>
        <w:t>es and new standing committees may</w:t>
      </w:r>
      <w:r w:rsidRPr="00822881">
        <w:rPr>
          <w:szCs w:val="24"/>
        </w:rPr>
        <w:t xml:space="preserve"> be added at any level (joint, MPH, or BSPH).</w:t>
      </w:r>
    </w:p>
    <w:p w:rsidR="00AF3A65" w:rsidRDefault="00AF3A65" w:rsidP="009D3456"/>
    <w:p w:rsidR="00AF3A65" w:rsidRPr="00C62206" w:rsidRDefault="00C62206" w:rsidP="009D3456">
      <w:pPr>
        <w:rPr>
          <w:i/>
        </w:rPr>
      </w:pPr>
      <w:r w:rsidRPr="00C62206">
        <w:rPr>
          <w:i/>
        </w:rPr>
        <w:lastRenderedPageBreak/>
        <w:t>Governa</w:t>
      </w:r>
      <w:r w:rsidR="002731B3">
        <w:rPr>
          <w:i/>
        </w:rPr>
        <w:t>nce structure: Membership and charge</w:t>
      </w:r>
    </w:p>
    <w:tbl>
      <w:tblPr>
        <w:tblStyle w:val="TableGrid"/>
        <w:tblW w:w="98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566"/>
        <w:gridCol w:w="2880"/>
        <w:gridCol w:w="2965"/>
      </w:tblGrid>
      <w:tr w:rsidR="00862999" w:rsidRPr="00822881" w:rsidTr="00064CFE">
        <w:trPr>
          <w:trHeight w:val="377"/>
        </w:trPr>
        <w:tc>
          <w:tcPr>
            <w:tcW w:w="1394" w:type="dxa"/>
            <w:tcBorders>
              <w:top w:val="single" w:sz="4" w:space="0" w:color="auto"/>
              <w:bottom w:val="single" w:sz="4" w:space="0" w:color="auto"/>
            </w:tcBorders>
          </w:tcPr>
          <w:p w:rsidR="00862999" w:rsidRPr="00822881" w:rsidRDefault="00862999" w:rsidP="00253763">
            <w:pPr>
              <w:rPr>
                <w:szCs w:val="24"/>
              </w:rPr>
            </w:pPr>
          </w:p>
        </w:tc>
        <w:tc>
          <w:tcPr>
            <w:tcW w:w="2566" w:type="dxa"/>
            <w:tcBorders>
              <w:top w:val="single" w:sz="4" w:space="0" w:color="auto"/>
              <w:bottom w:val="single" w:sz="4" w:space="0" w:color="auto"/>
            </w:tcBorders>
            <w:shd w:val="pct5" w:color="auto" w:fill="auto"/>
          </w:tcPr>
          <w:p w:rsidR="00862999" w:rsidRPr="006C6320" w:rsidRDefault="00862999" w:rsidP="00253763">
            <w:pPr>
              <w:rPr>
                <w:b/>
                <w:szCs w:val="24"/>
              </w:rPr>
            </w:pPr>
            <w:r w:rsidRPr="006C6320">
              <w:rPr>
                <w:b/>
                <w:szCs w:val="24"/>
              </w:rPr>
              <w:t>Joint</w:t>
            </w:r>
            <w:r w:rsidR="00BD1F47" w:rsidRPr="006C6320">
              <w:rPr>
                <w:b/>
                <w:szCs w:val="24"/>
              </w:rPr>
              <w:t xml:space="preserve"> Committee</w:t>
            </w:r>
          </w:p>
        </w:tc>
        <w:tc>
          <w:tcPr>
            <w:tcW w:w="2880" w:type="dxa"/>
            <w:tcBorders>
              <w:top w:val="single" w:sz="4" w:space="0" w:color="auto"/>
              <w:bottom w:val="single" w:sz="4" w:space="0" w:color="auto"/>
            </w:tcBorders>
          </w:tcPr>
          <w:p w:rsidR="00862999" w:rsidRPr="006C6320" w:rsidRDefault="00862999" w:rsidP="00253763">
            <w:pPr>
              <w:rPr>
                <w:b/>
                <w:szCs w:val="24"/>
              </w:rPr>
            </w:pPr>
            <w:r w:rsidRPr="006C6320">
              <w:rPr>
                <w:b/>
                <w:szCs w:val="24"/>
              </w:rPr>
              <w:t>MPH</w:t>
            </w:r>
            <w:r w:rsidR="00BD1F47" w:rsidRPr="006C6320">
              <w:rPr>
                <w:b/>
                <w:szCs w:val="24"/>
              </w:rPr>
              <w:t xml:space="preserve"> Committee</w:t>
            </w:r>
          </w:p>
        </w:tc>
        <w:tc>
          <w:tcPr>
            <w:tcW w:w="2965" w:type="dxa"/>
            <w:tcBorders>
              <w:top w:val="single" w:sz="4" w:space="0" w:color="auto"/>
              <w:bottom w:val="single" w:sz="4" w:space="0" w:color="auto"/>
            </w:tcBorders>
            <w:shd w:val="pct5" w:color="auto" w:fill="auto"/>
          </w:tcPr>
          <w:p w:rsidR="00862999" w:rsidRPr="006C6320" w:rsidRDefault="00862999" w:rsidP="00253763">
            <w:pPr>
              <w:rPr>
                <w:b/>
                <w:szCs w:val="24"/>
              </w:rPr>
            </w:pPr>
            <w:r w:rsidRPr="006C6320">
              <w:rPr>
                <w:b/>
                <w:szCs w:val="24"/>
              </w:rPr>
              <w:t>BSPH</w:t>
            </w:r>
            <w:r w:rsidR="00BD1F47" w:rsidRPr="006C6320">
              <w:rPr>
                <w:b/>
                <w:szCs w:val="24"/>
              </w:rPr>
              <w:t xml:space="preserve"> Committee</w:t>
            </w:r>
          </w:p>
        </w:tc>
      </w:tr>
      <w:tr w:rsidR="00862999" w:rsidRPr="00822881" w:rsidTr="00064CFE">
        <w:tc>
          <w:tcPr>
            <w:tcW w:w="1394" w:type="dxa"/>
            <w:tcBorders>
              <w:top w:val="single" w:sz="4" w:space="0" w:color="auto"/>
            </w:tcBorders>
          </w:tcPr>
          <w:p w:rsidR="00862999" w:rsidRPr="006C6320" w:rsidRDefault="00862999" w:rsidP="00253763">
            <w:pPr>
              <w:rPr>
                <w:b/>
                <w:szCs w:val="24"/>
              </w:rPr>
            </w:pPr>
            <w:r w:rsidRPr="006C6320">
              <w:rPr>
                <w:b/>
                <w:szCs w:val="24"/>
              </w:rPr>
              <w:t>Voting Members</w:t>
            </w:r>
          </w:p>
        </w:tc>
        <w:tc>
          <w:tcPr>
            <w:tcW w:w="2566" w:type="dxa"/>
            <w:tcBorders>
              <w:top w:val="single" w:sz="4" w:space="0" w:color="auto"/>
            </w:tcBorders>
            <w:shd w:val="pct5" w:color="auto" w:fill="auto"/>
          </w:tcPr>
          <w:p w:rsidR="00862999" w:rsidRPr="00822881" w:rsidRDefault="00862999" w:rsidP="00253763">
            <w:pPr>
              <w:rPr>
                <w:szCs w:val="24"/>
              </w:rPr>
            </w:pPr>
            <w:r w:rsidRPr="00822881">
              <w:rPr>
                <w:szCs w:val="24"/>
              </w:rPr>
              <w:t xml:space="preserve">- Primary faculty </w:t>
            </w:r>
          </w:p>
          <w:p w:rsidR="00862999" w:rsidRPr="00822881" w:rsidRDefault="00FE1FBF" w:rsidP="00253763">
            <w:pPr>
              <w:rPr>
                <w:szCs w:val="24"/>
              </w:rPr>
            </w:pPr>
            <w:r>
              <w:rPr>
                <w:szCs w:val="24"/>
              </w:rPr>
              <w:t>- Full-time</w:t>
            </w:r>
            <w:r w:rsidR="00862999" w:rsidRPr="00822881">
              <w:rPr>
                <w:szCs w:val="24"/>
              </w:rPr>
              <w:t xml:space="preserve"> instructors</w:t>
            </w:r>
          </w:p>
          <w:p w:rsidR="00FE1FBF" w:rsidRDefault="00FE1FBF" w:rsidP="00253763">
            <w:pPr>
              <w:rPr>
                <w:szCs w:val="24"/>
              </w:rPr>
            </w:pPr>
            <w:r>
              <w:rPr>
                <w:szCs w:val="24"/>
              </w:rPr>
              <w:t xml:space="preserve">- Adjunct/Part-time </w:t>
            </w:r>
          </w:p>
          <w:p w:rsidR="00862999" w:rsidRPr="00822881" w:rsidRDefault="00FE1FBF" w:rsidP="00253763">
            <w:pPr>
              <w:rPr>
                <w:szCs w:val="24"/>
              </w:rPr>
            </w:pPr>
            <w:r>
              <w:rPr>
                <w:szCs w:val="24"/>
              </w:rPr>
              <w:t xml:space="preserve">  instructors</w:t>
            </w:r>
            <w:r w:rsidR="008138CB">
              <w:rPr>
                <w:rStyle w:val="FootnoteReference"/>
                <w:szCs w:val="24"/>
              </w:rPr>
              <w:footnoteReference w:id="2"/>
            </w:r>
          </w:p>
          <w:p w:rsidR="00862999" w:rsidRPr="00822881" w:rsidRDefault="00862999" w:rsidP="00253763">
            <w:pPr>
              <w:rPr>
                <w:szCs w:val="24"/>
              </w:rPr>
            </w:pPr>
            <w:r w:rsidRPr="00822881">
              <w:rPr>
                <w:szCs w:val="24"/>
              </w:rPr>
              <w:t>- Graduate Student</w:t>
            </w:r>
            <w:r w:rsidR="008138CB">
              <w:rPr>
                <w:rStyle w:val="FootnoteReference"/>
                <w:szCs w:val="24"/>
              </w:rPr>
              <w:footnoteReference w:id="3"/>
            </w:r>
          </w:p>
          <w:p w:rsidR="00862999" w:rsidRPr="00822881" w:rsidRDefault="00862999" w:rsidP="00253763">
            <w:pPr>
              <w:rPr>
                <w:szCs w:val="24"/>
              </w:rPr>
            </w:pPr>
            <w:r w:rsidRPr="00822881">
              <w:rPr>
                <w:szCs w:val="24"/>
              </w:rPr>
              <w:t>- Undergrad Student</w:t>
            </w:r>
            <w:r w:rsidR="00057D60" w:rsidRPr="00057D60">
              <w:rPr>
                <w:szCs w:val="24"/>
                <w:vertAlign w:val="superscript"/>
              </w:rPr>
              <w:t>3</w:t>
            </w:r>
          </w:p>
        </w:tc>
        <w:tc>
          <w:tcPr>
            <w:tcW w:w="2880" w:type="dxa"/>
            <w:tcBorders>
              <w:top w:val="single" w:sz="4" w:space="0" w:color="auto"/>
            </w:tcBorders>
          </w:tcPr>
          <w:p w:rsidR="00862999" w:rsidRPr="00822881" w:rsidRDefault="00862999" w:rsidP="00253763">
            <w:pPr>
              <w:rPr>
                <w:szCs w:val="24"/>
              </w:rPr>
            </w:pPr>
            <w:r w:rsidRPr="00822881">
              <w:rPr>
                <w:szCs w:val="24"/>
              </w:rPr>
              <w:t>- Grad. primary faculty</w:t>
            </w:r>
          </w:p>
          <w:p w:rsidR="00862999" w:rsidRDefault="00862999" w:rsidP="00253763">
            <w:pPr>
              <w:rPr>
                <w:szCs w:val="24"/>
                <w:vertAlign w:val="superscript"/>
              </w:rPr>
            </w:pPr>
            <w:r w:rsidRPr="00822881">
              <w:rPr>
                <w:szCs w:val="24"/>
              </w:rPr>
              <w:t>- Graduate student</w:t>
            </w:r>
            <w:r w:rsidR="00057D60" w:rsidRPr="00057D60">
              <w:rPr>
                <w:szCs w:val="24"/>
                <w:vertAlign w:val="superscript"/>
              </w:rPr>
              <w:t>3</w:t>
            </w:r>
          </w:p>
          <w:p w:rsidR="00064CFE" w:rsidRPr="00064CFE" w:rsidRDefault="00064CFE" w:rsidP="00253763">
            <w:pPr>
              <w:rPr>
                <w:szCs w:val="24"/>
              </w:rPr>
            </w:pPr>
            <w:r>
              <w:rPr>
                <w:szCs w:val="24"/>
              </w:rPr>
              <w:t>- Graduate Adjuncts</w:t>
            </w:r>
            <w:r w:rsidRPr="00064CFE">
              <w:rPr>
                <w:szCs w:val="24"/>
                <w:vertAlign w:val="superscript"/>
              </w:rPr>
              <w:t>2</w:t>
            </w:r>
          </w:p>
        </w:tc>
        <w:tc>
          <w:tcPr>
            <w:tcW w:w="2965" w:type="dxa"/>
            <w:tcBorders>
              <w:top w:val="single" w:sz="4" w:space="0" w:color="auto"/>
            </w:tcBorders>
            <w:shd w:val="pct5" w:color="auto" w:fill="auto"/>
          </w:tcPr>
          <w:p w:rsidR="00862999" w:rsidRPr="00822881" w:rsidRDefault="00862999" w:rsidP="00253763">
            <w:pPr>
              <w:rPr>
                <w:szCs w:val="24"/>
              </w:rPr>
            </w:pPr>
            <w:r w:rsidRPr="00822881">
              <w:rPr>
                <w:szCs w:val="24"/>
              </w:rPr>
              <w:t>- Primary faculty</w:t>
            </w:r>
          </w:p>
          <w:p w:rsidR="00862999" w:rsidRPr="00822881" w:rsidRDefault="00FE1FBF" w:rsidP="00253763">
            <w:pPr>
              <w:rPr>
                <w:szCs w:val="24"/>
              </w:rPr>
            </w:pPr>
            <w:r>
              <w:rPr>
                <w:szCs w:val="24"/>
              </w:rPr>
              <w:t>- Full-time i</w:t>
            </w:r>
            <w:r w:rsidR="00862999" w:rsidRPr="00822881">
              <w:rPr>
                <w:szCs w:val="24"/>
              </w:rPr>
              <w:t>nstructors</w:t>
            </w:r>
          </w:p>
          <w:p w:rsidR="00FE1FBF" w:rsidRDefault="00FE1FBF" w:rsidP="00253763">
            <w:pPr>
              <w:rPr>
                <w:szCs w:val="24"/>
              </w:rPr>
            </w:pPr>
            <w:r>
              <w:rPr>
                <w:szCs w:val="24"/>
              </w:rPr>
              <w:t>- Adjuncts/Part-time</w:t>
            </w:r>
          </w:p>
          <w:p w:rsidR="00862999" w:rsidRPr="00822881" w:rsidRDefault="00FE1FBF" w:rsidP="00253763">
            <w:pPr>
              <w:rPr>
                <w:szCs w:val="24"/>
              </w:rPr>
            </w:pPr>
            <w:r>
              <w:rPr>
                <w:szCs w:val="24"/>
              </w:rPr>
              <w:t xml:space="preserve">   instructors</w:t>
            </w:r>
            <w:r w:rsidR="008138CB" w:rsidRPr="008138CB">
              <w:rPr>
                <w:szCs w:val="24"/>
                <w:vertAlign w:val="superscript"/>
              </w:rPr>
              <w:t>2</w:t>
            </w:r>
          </w:p>
          <w:p w:rsidR="00862999" w:rsidRPr="00822881" w:rsidRDefault="00862999" w:rsidP="00253763">
            <w:pPr>
              <w:rPr>
                <w:szCs w:val="24"/>
              </w:rPr>
            </w:pPr>
            <w:r w:rsidRPr="00822881">
              <w:rPr>
                <w:szCs w:val="24"/>
              </w:rPr>
              <w:t>- Undergrad student</w:t>
            </w:r>
            <w:r w:rsidR="00057D60" w:rsidRPr="00057D60">
              <w:rPr>
                <w:szCs w:val="24"/>
                <w:vertAlign w:val="superscript"/>
              </w:rPr>
              <w:t>3</w:t>
            </w:r>
          </w:p>
        </w:tc>
      </w:tr>
      <w:tr w:rsidR="00862999" w:rsidRPr="00822881" w:rsidTr="00064CFE">
        <w:tc>
          <w:tcPr>
            <w:tcW w:w="1394" w:type="dxa"/>
          </w:tcPr>
          <w:p w:rsidR="00AF3A65" w:rsidRDefault="00AF3A65" w:rsidP="00253763">
            <w:pPr>
              <w:rPr>
                <w:b/>
                <w:szCs w:val="24"/>
              </w:rPr>
            </w:pPr>
          </w:p>
          <w:p w:rsidR="00862999" w:rsidRPr="006C6320" w:rsidRDefault="00862999" w:rsidP="00253763">
            <w:pPr>
              <w:rPr>
                <w:b/>
                <w:szCs w:val="24"/>
              </w:rPr>
            </w:pPr>
            <w:r w:rsidRPr="006C6320">
              <w:rPr>
                <w:b/>
                <w:szCs w:val="24"/>
              </w:rPr>
              <w:t>Charge</w:t>
            </w:r>
          </w:p>
        </w:tc>
        <w:tc>
          <w:tcPr>
            <w:tcW w:w="2566" w:type="dxa"/>
            <w:shd w:val="pct5" w:color="auto" w:fill="auto"/>
          </w:tcPr>
          <w:p w:rsidR="00AF3A65" w:rsidRDefault="00AF3A65" w:rsidP="00253763">
            <w:pPr>
              <w:rPr>
                <w:szCs w:val="24"/>
              </w:rPr>
            </w:pPr>
          </w:p>
          <w:p w:rsidR="00862999" w:rsidRPr="00822881" w:rsidRDefault="00862999" w:rsidP="00253763">
            <w:pPr>
              <w:rPr>
                <w:szCs w:val="24"/>
              </w:rPr>
            </w:pPr>
            <w:r w:rsidRPr="00822881">
              <w:rPr>
                <w:szCs w:val="24"/>
              </w:rPr>
              <w:t>- Strategic Planning</w:t>
            </w:r>
          </w:p>
          <w:p w:rsidR="00B35A70" w:rsidRPr="00822881" w:rsidRDefault="00862999" w:rsidP="00253763">
            <w:pPr>
              <w:rPr>
                <w:szCs w:val="24"/>
              </w:rPr>
            </w:pPr>
            <w:r w:rsidRPr="00822881">
              <w:rPr>
                <w:szCs w:val="24"/>
              </w:rPr>
              <w:t>-</w:t>
            </w:r>
            <w:r w:rsidR="00B35A70" w:rsidRPr="00822881">
              <w:rPr>
                <w:szCs w:val="24"/>
              </w:rPr>
              <w:t xml:space="preserve"> Program Operations</w:t>
            </w:r>
          </w:p>
          <w:p w:rsidR="00862999" w:rsidRPr="00822881" w:rsidRDefault="00B35A70" w:rsidP="00253763">
            <w:pPr>
              <w:rPr>
                <w:szCs w:val="24"/>
              </w:rPr>
            </w:pPr>
            <w:r w:rsidRPr="00822881">
              <w:rPr>
                <w:szCs w:val="24"/>
              </w:rPr>
              <w:t xml:space="preserve">- </w:t>
            </w:r>
            <w:r w:rsidR="00862999" w:rsidRPr="00822881">
              <w:rPr>
                <w:szCs w:val="24"/>
              </w:rPr>
              <w:t>Assessment</w:t>
            </w:r>
            <w:r w:rsidR="00057D60">
              <w:rPr>
                <w:rStyle w:val="FootnoteReference"/>
                <w:szCs w:val="24"/>
              </w:rPr>
              <w:footnoteReference w:id="4"/>
            </w:r>
          </w:p>
          <w:p w:rsidR="00862999" w:rsidRPr="00822881" w:rsidRDefault="00862999" w:rsidP="00B35A70">
            <w:pPr>
              <w:rPr>
                <w:szCs w:val="24"/>
              </w:rPr>
            </w:pPr>
            <w:r w:rsidRPr="00822881">
              <w:rPr>
                <w:szCs w:val="24"/>
              </w:rPr>
              <w:t xml:space="preserve">- Accreditation  </w:t>
            </w:r>
          </w:p>
        </w:tc>
        <w:tc>
          <w:tcPr>
            <w:tcW w:w="2880" w:type="dxa"/>
          </w:tcPr>
          <w:p w:rsidR="00AF3A65" w:rsidRDefault="00AF3A65" w:rsidP="00253763">
            <w:pPr>
              <w:rPr>
                <w:szCs w:val="24"/>
              </w:rPr>
            </w:pPr>
          </w:p>
          <w:p w:rsidR="00862999" w:rsidRPr="00822881" w:rsidRDefault="00862999" w:rsidP="00253763">
            <w:pPr>
              <w:rPr>
                <w:szCs w:val="24"/>
              </w:rPr>
            </w:pPr>
            <w:r w:rsidRPr="00822881">
              <w:rPr>
                <w:szCs w:val="24"/>
              </w:rPr>
              <w:t>- Admissions</w:t>
            </w:r>
          </w:p>
          <w:p w:rsidR="00862999" w:rsidRPr="00822881" w:rsidRDefault="00862999" w:rsidP="00253763">
            <w:pPr>
              <w:rPr>
                <w:szCs w:val="24"/>
              </w:rPr>
            </w:pPr>
            <w:r w:rsidRPr="00822881">
              <w:rPr>
                <w:szCs w:val="24"/>
              </w:rPr>
              <w:t>- Curriculum</w:t>
            </w:r>
          </w:p>
          <w:p w:rsidR="00862999" w:rsidRPr="00822881" w:rsidRDefault="00862999" w:rsidP="00253763">
            <w:pPr>
              <w:rPr>
                <w:szCs w:val="24"/>
              </w:rPr>
            </w:pPr>
            <w:r w:rsidRPr="00822881">
              <w:rPr>
                <w:szCs w:val="24"/>
              </w:rPr>
              <w:t>- Ad hoc committees, prn</w:t>
            </w:r>
          </w:p>
        </w:tc>
        <w:tc>
          <w:tcPr>
            <w:tcW w:w="2965" w:type="dxa"/>
            <w:shd w:val="pct5" w:color="auto" w:fill="auto"/>
          </w:tcPr>
          <w:p w:rsidR="00AF3A65" w:rsidRDefault="00AF3A65" w:rsidP="00253763">
            <w:pPr>
              <w:rPr>
                <w:szCs w:val="24"/>
              </w:rPr>
            </w:pPr>
          </w:p>
          <w:p w:rsidR="00862999" w:rsidRPr="00822881" w:rsidRDefault="00862999" w:rsidP="00253763">
            <w:pPr>
              <w:rPr>
                <w:szCs w:val="24"/>
              </w:rPr>
            </w:pPr>
            <w:r w:rsidRPr="00822881">
              <w:rPr>
                <w:szCs w:val="24"/>
              </w:rPr>
              <w:t>- Curriculum</w:t>
            </w:r>
          </w:p>
          <w:p w:rsidR="00862999" w:rsidRPr="00822881" w:rsidRDefault="00862999" w:rsidP="00253763">
            <w:pPr>
              <w:rPr>
                <w:szCs w:val="24"/>
              </w:rPr>
            </w:pPr>
            <w:r w:rsidRPr="00822881">
              <w:rPr>
                <w:szCs w:val="24"/>
              </w:rPr>
              <w:t>- Ad hoc committees, prn</w:t>
            </w:r>
          </w:p>
        </w:tc>
      </w:tr>
      <w:tr w:rsidR="00064CFE" w:rsidRPr="00822881" w:rsidTr="00064CFE">
        <w:tc>
          <w:tcPr>
            <w:tcW w:w="1394" w:type="dxa"/>
          </w:tcPr>
          <w:p w:rsidR="00064CFE" w:rsidRDefault="00064CFE" w:rsidP="00253763">
            <w:pPr>
              <w:rPr>
                <w:b/>
                <w:szCs w:val="24"/>
              </w:rPr>
            </w:pPr>
          </w:p>
        </w:tc>
        <w:tc>
          <w:tcPr>
            <w:tcW w:w="2566" w:type="dxa"/>
            <w:shd w:val="pct5" w:color="auto" w:fill="auto"/>
          </w:tcPr>
          <w:p w:rsidR="00064CFE" w:rsidRDefault="00064CFE" w:rsidP="00253763">
            <w:pPr>
              <w:rPr>
                <w:szCs w:val="24"/>
              </w:rPr>
            </w:pPr>
          </w:p>
        </w:tc>
        <w:tc>
          <w:tcPr>
            <w:tcW w:w="2880" w:type="dxa"/>
          </w:tcPr>
          <w:p w:rsidR="00064CFE" w:rsidRDefault="00064CFE" w:rsidP="00253763">
            <w:pPr>
              <w:rPr>
                <w:szCs w:val="24"/>
              </w:rPr>
            </w:pPr>
          </w:p>
        </w:tc>
        <w:tc>
          <w:tcPr>
            <w:tcW w:w="2965" w:type="dxa"/>
            <w:shd w:val="pct5" w:color="auto" w:fill="auto"/>
          </w:tcPr>
          <w:p w:rsidR="00064CFE" w:rsidRDefault="00064CFE" w:rsidP="00253763">
            <w:pPr>
              <w:rPr>
                <w:szCs w:val="24"/>
              </w:rPr>
            </w:pPr>
          </w:p>
        </w:tc>
      </w:tr>
      <w:tr w:rsidR="00064CFE" w:rsidRPr="00822881" w:rsidTr="00064CFE">
        <w:tc>
          <w:tcPr>
            <w:tcW w:w="1394" w:type="dxa"/>
          </w:tcPr>
          <w:p w:rsidR="00064CFE" w:rsidRDefault="00064CFE" w:rsidP="00253763">
            <w:pPr>
              <w:rPr>
                <w:b/>
                <w:szCs w:val="24"/>
              </w:rPr>
            </w:pPr>
            <w:r>
              <w:rPr>
                <w:b/>
                <w:szCs w:val="24"/>
              </w:rPr>
              <w:t>Chair</w:t>
            </w:r>
          </w:p>
        </w:tc>
        <w:tc>
          <w:tcPr>
            <w:tcW w:w="2566" w:type="dxa"/>
            <w:tcBorders>
              <w:bottom w:val="single" w:sz="4" w:space="0" w:color="auto"/>
            </w:tcBorders>
            <w:shd w:val="pct5" w:color="auto" w:fill="auto"/>
          </w:tcPr>
          <w:p w:rsidR="00064CFE" w:rsidRDefault="00064CFE" w:rsidP="00253763">
            <w:pPr>
              <w:rPr>
                <w:szCs w:val="24"/>
              </w:rPr>
            </w:pPr>
            <w:r>
              <w:rPr>
                <w:szCs w:val="24"/>
              </w:rPr>
              <w:t>Program Coordinators co-chair</w:t>
            </w:r>
          </w:p>
        </w:tc>
        <w:tc>
          <w:tcPr>
            <w:tcW w:w="2880" w:type="dxa"/>
          </w:tcPr>
          <w:p w:rsidR="00064CFE" w:rsidRDefault="00064CFE" w:rsidP="00253763">
            <w:pPr>
              <w:rPr>
                <w:szCs w:val="24"/>
              </w:rPr>
            </w:pPr>
            <w:r>
              <w:rPr>
                <w:szCs w:val="24"/>
              </w:rPr>
              <w:t>MPH Program Coordinator</w:t>
            </w:r>
          </w:p>
        </w:tc>
        <w:tc>
          <w:tcPr>
            <w:tcW w:w="2965" w:type="dxa"/>
            <w:tcBorders>
              <w:bottom w:val="single" w:sz="4" w:space="0" w:color="auto"/>
            </w:tcBorders>
            <w:shd w:val="pct5" w:color="auto" w:fill="auto"/>
          </w:tcPr>
          <w:p w:rsidR="00064CFE" w:rsidRDefault="00064CFE" w:rsidP="00253763">
            <w:pPr>
              <w:rPr>
                <w:szCs w:val="24"/>
              </w:rPr>
            </w:pPr>
            <w:r>
              <w:rPr>
                <w:szCs w:val="24"/>
              </w:rPr>
              <w:t>BSPH Program Coordinator</w:t>
            </w:r>
          </w:p>
        </w:tc>
      </w:tr>
    </w:tbl>
    <w:p w:rsidR="009D3456" w:rsidRDefault="009D3456" w:rsidP="00507536">
      <w:pPr>
        <w:spacing w:after="0"/>
        <w:rPr>
          <w:szCs w:val="24"/>
        </w:rPr>
      </w:pPr>
    </w:p>
    <w:p w:rsidR="00862999" w:rsidRDefault="00862999" w:rsidP="00507536">
      <w:pPr>
        <w:spacing w:after="0"/>
        <w:rPr>
          <w:szCs w:val="24"/>
        </w:rPr>
      </w:pPr>
    </w:p>
    <w:p w:rsidR="002D6109" w:rsidRPr="00822881" w:rsidRDefault="002D6109" w:rsidP="002D6109">
      <w:pPr>
        <w:spacing w:after="0"/>
        <w:rPr>
          <w:szCs w:val="24"/>
          <w:u w:val="single"/>
        </w:rPr>
      </w:pPr>
      <w:r w:rsidRPr="00822881">
        <w:rPr>
          <w:szCs w:val="24"/>
          <w:u w:val="single"/>
        </w:rPr>
        <w:t>Transparency</w:t>
      </w:r>
    </w:p>
    <w:p w:rsidR="004B11BD" w:rsidRPr="00822881" w:rsidRDefault="002D6109" w:rsidP="002D6109">
      <w:pPr>
        <w:pStyle w:val="Default"/>
        <w:rPr>
          <w:rFonts w:asciiTheme="minorHAnsi" w:hAnsiTheme="minorHAnsi"/>
        </w:rPr>
      </w:pPr>
      <w:r>
        <w:rPr>
          <w:rFonts w:asciiTheme="minorHAnsi" w:hAnsiTheme="minorHAnsi"/>
        </w:rPr>
        <w:t xml:space="preserve">It is our contention that transparency is essential to shared governance, as it fosters involvement, ownership, and accountability.  </w:t>
      </w:r>
      <w:r w:rsidR="00F327B9">
        <w:rPr>
          <w:rFonts w:asciiTheme="minorHAnsi" w:hAnsiTheme="minorHAnsi"/>
        </w:rPr>
        <w:t xml:space="preserve">Thus, we created a </w:t>
      </w:r>
      <w:hyperlink r:id="rId15" w:history="1">
        <w:r w:rsidR="004B11BD" w:rsidRPr="00F3595A">
          <w:rPr>
            <w:rStyle w:val="Hyperlink"/>
            <w:rFonts w:asciiTheme="minorHAnsi" w:hAnsiTheme="minorHAnsi"/>
          </w:rPr>
          <w:t xml:space="preserve">public </w:t>
        </w:r>
        <w:r w:rsidR="00F327B9" w:rsidRPr="00F3595A">
          <w:rPr>
            <w:rStyle w:val="Hyperlink"/>
            <w:rFonts w:asciiTheme="minorHAnsi" w:hAnsiTheme="minorHAnsi"/>
          </w:rPr>
          <w:t>webpage</w:t>
        </w:r>
      </w:hyperlink>
      <w:r w:rsidR="00F327B9">
        <w:rPr>
          <w:rFonts w:asciiTheme="minorHAnsi" w:hAnsiTheme="minorHAnsi"/>
        </w:rPr>
        <w:t xml:space="preserve">, linked to the departmental website, where meetings are communicated. Current and past agendas for the </w:t>
      </w:r>
      <w:r w:rsidR="004B11BD">
        <w:rPr>
          <w:rFonts w:asciiTheme="minorHAnsi" w:hAnsiTheme="minorHAnsi"/>
        </w:rPr>
        <w:t xml:space="preserve">Joint MPH-BSPH </w:t>
      </w:r>
      <w:r w:rsidR="00F668F0">
        <w:rPr>
          <w:rFonts w:asciiTheme="minorHAnsi" w:hAnsiTheme="minorHAnsi"/>
        </w:rPr>
        <w:t xml:space="preserve">Committee </w:t>
      </w:r>
      <w:r w:rsidR="004B11BD">
        <w:rPr>
          <w:rFonts w:asciiTheme="minorHAnsi" w:hAnsiTheme="minorHAnsi"/>
        </w:rPr>
        <w:t>meetings</w:t>
      </w:r>
      <w:r w:rsidR="00F327B9">
        <w:rPr>
          <w:rFonts w:asciiTheme="minorHAnsi" w:hAnsiTheme="minorHAnsi"/>
        </w:rPr>
        <w:t xml:space="preserve"> are hyperlinked therein.  Each agenda is hyperlinked with supporting documentation and minutes from the previous meeting.  </w:t>
      </w:r>
      <w:r>
        <w:rPr>
          <w:rFonts w:asciiTheme="minorHAnsi" w:hAnsiTheme="minorHAnsi"/>
        </w:rPr>
        <w:t>All committe</w:t>
      </w:r>
      <w:r w:rsidR="00EF672D">
        <w:rPr>
          <w:rFonts w:asciiTheme="minorHAnsi" w:hAnsiTheme="minorHAnsi"/>
        </w:rPr>
        <w:t>es are required to keep minutes</w:t>
      </w:r>
      <w:r>
        <w:rPr>
          <w:rFonts w:asciiTheme="minorHAnsi" w:hAnsiTheme="minorHAnsi"/>
        </w:rPr>
        <w:t xml:space="preserve"> </w:t>
      </w:r>
      <w:r w:rsidR="000A39EC">
        <w:rPr>
          <w:rFonts w:asciiTheme="minorHAnsi" w:hAnsiTheme="minorHAnsi"/>
        </w:rPr>
        <w:t>which</w:t>
      </w:r>
      <w:r w:rsidR="004B11BD">
        <w:rPr>
          <w:rFonts w:asciiTheme="minorHAnsi" w:hAnsiTheme="minorHAnsi"/>
        </w:rPr>
        <w:t>, too,</w:t>
      </w:r>
      <w:r w:rsidR="000A39EC">
        <w:rPr>
          <w:rFonts w:asciiTheme="minorHAnsi" w:hAnsiTheme="minorHAnsi"/>
        </w:rPr>
        <w:t xml:space="preserve"> are hyperlinked </w:t>
      </w:r>
      <w:r w:rsidR="00EF672D">
        <w:rPr>
          <w:rFonts w:asciiTheme="minorHAnsi" w:hAnsiTheme="minorHAnsi"/>
        </w:rPr>
        <w:t>on</w:t>
      </w:r>
      <w:r w:rsidR="000A39EC">
        <w:rPr>
          <w:rFonts w:asciiTheme="minorHAnsi" w:hAnsiTheme="minorHAnsi"/>
        </w:rPr>
        <w:t xml:space="preserve"> the agendas. </w:t>
      </w:r>
      <w:r>
        <w:rPr>
          <w:rFonts w:asciiTheme="minorHAnsi" w:hAnsiTheme="minorHAnsi"/>
        </w:rPr>
        <w:t xml:space="preserve"> </w:t>
      </w:r>
      <w:r w:rsidR="004B11BD">
        <w:rPr>
          <w:rFonts w:asciiTheme="minorHAnsi" w:hAnsiTheme="minorHAnsi"/>
        </w:rPr>
        <w:t xml:space="preserve">The URL is communicated to students directly, through program materials and announcements, and through </w:t>
      </w:r>
      <w:r w:rsidR="005B4C72">
        <w:rPr>
          <w:rFonts w:asciiTheme="minorHAnsi" w:hAnsiTheme="minorHAnsi"/>
        </w:rPr>
        <w:t>the student governance organization (discussed below)</w:t>
      </w:r>
      <w:r w:rsidR="004B11BD">
        <w:rPr>
          <w:rFonts w:asciiTheme="minorHAnsi" w:hAnsiTheme="minorHAnsi"/>
        </w:rPr>
        <w:t>.  The URL was also provided to advisory committee members.</w:t>
      </w:r>
    </w:p>
    <w:p w:rsidR="002D6109" w:rsidRDefault="002D6109" w:rsidP="00507536">
      <w:pPr>
        <w:spacing w:after="0"/>
        <w:rPr>
          <w:szCs w:val="24"/>
        </w:rPr>
      </w:pPr>
    </w:p>
    <w:p w:rsidR="00862999" w:rsidRPr="00822881" w:rsidRDefault="00F3595A" w:rsidP="00507536">
      <w:pPr>
        <w:spacing w:after="0"/>
        <w:rPr>
          <w:szCs w:val="24"/>
          <w:u w:val="single"/>
        </w:rPr>
      </w:pPr>
      <w:r>
        <w:rPr>
          <w:szCs w:val="24"/>
          <w:u w:val="single"/>
        </w:rPr>
        <w:t>Evidence of Faculty Involvement in Program G</w:t>
      </w:r>
      <w:r w:rsidR="00862999" w:rsidRPr="00822881">
        <w:rPr>
          <w:szCs w:val="24"/>
          <w:u w:val="single"/>
        </w:rPr>
        <w:t>overnance</w:t>
      </w:r>
    </w:p>
    <w:p w:rsidR="00B35A70" w:rsidRDefault="00D4736C" w:rsidP="00507536">
      <w:pPr>
        <w:spacing w:after="0"/>
        <w:rPr>
          <w:szCs w:val="24"/>
        </w:rPr>
      </w:pPr>
      <w:r>
        <w:rPr>
          <w:szCs w:val="24"/>
        </w:rPr>
        <w:t xml:space="preserve">Program governance is carried out through </w:t>
      </w:r>
      <w:r w:rsidR="00C66F81">
        <w:rPr>
          <w:szCs w:val="24"/>
        </w:rPr>
        <w:t>our committee</w:t>
      </w:r>
      <w:r w:rsidR="00F3595A">
        <w:rPr>
          <w:szCs w:val="24"/>
        </w:rPr>
        <w:t xml:space="preserve"> structure.  By policy, all standing </w:t>
      </w:r>
      <w:r w:rsidR="00EF672D">
        <w:rPr>
          <w:szCs w:val="24"/>
        </w:rPr>
        <w:t xml:space="preserve">and ad hoc </w:t>
      </w:r>
      <w:r w:rsidR="00F3595A">
        <w:rPr>
          <w:szCs w:val="24"/>
        </w:rPr>
        <w:t>committees are advisory</w:t>
      </w:r>
      <w:r w:rsidR="00EF672D">
        <w:rPr>
          <w:szCs w:val="24"/>
        </w:rPr>
        <w:t>,</w:t>
      </w:r>
      <w:r w:rsidR="00F3595A">
        <w:rPr>
          <w:szCs w:val="24"/>
        </w:rPr>
        <w:t xml:space="preserve"> and recommendations must be voted on during the Joint MPH-BSPH </w:t>
      </w:r>
      <w:r w:rsidR="00F668F0">
        <w:rPr>
          <w:szCs w:val="24"/>
        </w:rPr>
        <w:t xml:space="preserve">Committee </w:t>
      </w:r>
      <w:r w:rsidR="00F3595A">
        <w:rPr>
          <w:szCs w:val="24"/>
        </w:rPr>
        <w:t>meetings</w:t>
      </w:r>
      <w:r w:rsidR="003E2017">
        <w:rPr>
          <w:szCs w:val="24"/>
        </w:rPr>
        <w:t xml:space="preserve">. </w:t>
      </w:r>
      <w:r w:rsidR="00D578B1">
        <w:rPr>
          <w:szCs w:val="24"/>
        </w:rPr>
        <w:t>Faculty attendance</w:t>
      </w:r>
      <w:r w:rsidR="00B546A8">
        <w:rPr>
          <w:szCs w:val="24"/>
        </w:rPr>
        <w:t xml:space="preserve"> and voting</w:t>
      </w:r>
      <w:r>
        <w:rPr>
          <w:szCs w:val="24"/>
        </w:rPr>
        <w:t xml:space="preserve"> is documented in meeting</w:t>
      </w:r>
      <w:r w:rsidR="00D578B1">
        <w:rPr>
          <w:szCs w:val="24"/>
        </w:rPr>
        <w:t xml:space="preserve"> minutes</w:t>
      </w:r>
      <w:r w:rsidR="00B546A8">
        <w:rPr>
          <w:szCs w:val="24"/>
        </w:rPr>
        <w:t>, which are hyperlinked in the agendas</w:t>
      </w:r>
      <w:r w:rsidR="00D578B1">
        <w:rPr>
          <w:szCs w:val="24"/>
        </w:rPr>
        <w:t>.</w:t>
      </w:r>
      <w:r>
        <w:rPr>
          <w:szCs w:val="24"/>
        </w:rPr>
        <w:t xml:space="preserve">  </w:t>
      </w:r>
      <w:r w:rsidR="00EA29CC">
        <w:rPr>
          <w:szCs w:val="24"/>
        </w:rPr>
        <w:t>F</w:t>
      </w:r>
      <w:r w:rsidR="001D04DC">
        <w:rPr>
          <w:szCs w:val="24"/>
        </w:rPr>
        <w:t xml:space="preserve">aculty </w:t>
      </w:r>
      <w:r>
        <w:rPr>
          <w:szCs w:val="24"/>
        </w:rPr>
        <w:t>participation in meetings durin</w:t>
      </w:r>
      <w:r w:rsidR="00C66F81">
        <w:rPr>
          <w:szCs w:val="24"/>
        </w:rPr>
        <w:t xml:space="preserve">g </w:t>
      </w:r>
      <w:r w:rsidR="00234100">
        <w:rPr>
          <w:szCs w:val="24"/>
        </w:rPr>
        <w:t>the</w:t>
      </w:r>
      <w:r w:rsidR="00C66F81">
        <w:rPr>
          <w:szCs w:val="24"/>
        </w:rPr>
        <w:t xml:space="preserve"> </w:t>
      </w:r>
      <w:r w:rsidR="00C34168">
        <w:rPr>
          <w:szCs w:val="24"/>
        </w:rPr>
        <w:t>20</w:t>
      </w:r>
      <w:r w:rsidR="00C66F81">
        <w:rPr>
          <w:szCs w:val="24"/>
        </w:rPr>
        <w:t>16/</w:t>
      </w:r>
      <w:r w:rsidR="00C34168">
        <w:rPr>
          <w:szCs w:val="24"/>
        </w:rPr>
        <w:t>20</w:t>
      </w:r>
      <w:r w:rsidR="00EA29CC">
        <w:rPr>
          <w:szCs w:val="24"/>
        </w:rPr>
        <w:t xml:space="preserve">17 </w:t>
      </w:r>
      <w:r w:rsidR="00234100">
        <w:rPr>
          <w:szCs w:val="24"/>
        </w:rPr>
        <w:t xml:space="preserve">academic year </w:t>
      </w:r>
      <w:r w:rsidR="00EA29CC">
        <w:rPr>
          <w:szCs w:val="24"/>
        </w:rPr>
        <w:t xml:space="preserve">is summarized in </w:t>
      </w:r>
      <w:r w:rsidR="00EA29CC" w:rsidRPr="00B60C0A">
        <w:rPr>
          <w:szCs w:val="24"/>
        </w:rPr>
        <w:t xml:space="preserve">Appendix </w:t>
      </w:r>
      <w:r w:rsidR="00DF285D" w:rsidRPr="00B60C0A">
        <w:rPr>
          <w:szCs w:val="24"/>
        </w:rPr>
        <w:t>E</w:t>
      </w:r>
      <w:r w:rsidR="00EA29CC" w:rsidRPr="00CE40A5">
        <w:rPr>
          <w:szCs w:val="24"/>
        </w:rPr>
        <w:t>.</w:t>
      </w:r>
      <w:r w:rsidR="00F3595A">
        <w:rPr>
          <w:szCs w:val="24"/>
        </w:rPr>
        <w:t xml:space="preserve"> </w:t>
      </w:r>
    </w:p>
    <w:p w:rsidR="00C66F81" w:rsidRDefault="00C66F81" w:rsidP="00507536">
      <w:pPr>
        <w:spacing w:after="0"/>
        <w:rPr>
          <w:szCs w:val="24"/>
        </w:rPr>
      </w:pPr>
    </w:p>
    <w:p w:rsidR="00B60C0A" w:rsidRDefault="00B60C0A" w:rsidP="001D04DC">
      <w:pPr>
        <w:spacing w:after="0"/>
        <w:rPr>
          <w:szCs w:val="24"/>
          <w:u w:val="single"/>
        </w:rPr>
      </w:pPr>
    </w:p>
    <w:p w:rsidR="00B60C0A" w:rsidRDefault="00B60C0A" w:rsidP="001D04DC">
      <w:pPr>
        <w:spacing w:after="0"/>
        <w:rPr>
          <w:szCs w:val="24"/>
          <w:u w:val="single"/>
        </w:rPr>
      </w:pPr>
    </w:p>
    <w:p w:rsidR="001D04DC" w:rsidRPr="00822881" w:rsidRDefault="00F3595A" w:rsidP="001D04DC">
      <w:pPr>
        <w:spacing w:after="0"/>
        <w:rPr>
          <w:szCs w:val="24"/>
          <w:u w:val="single"/>
        </w:rPr>
      </w:pPr>
      <w:r>
        <w:rPr>
          <w:szCs w:val="24"/>
          <w:u w:val="single"/>
        </w:rPr>
        <w:lastRenderedPageBreak/>
        <w:t>Student Involvement in Program G</w:t>
      </w:r>
      <w:r w:rsidR="001D04DC" w:rsidRPr="00822881">
        <w:rPr>
          <w:szCs w:val="24"/>
          <w:u w:val="single"/>
        </w:rPr>
        <w:t>overnance</w:t>
      </w:r>
    </w:p>
    <w:p w:rsidR="0047381C" w:rsidRDefault="00287662" w:rsidP="001D04DC">
      <w:pPr>
        <w:spacing w:after="0"/>
        <w:rPr>
          <w:szCs w:val="24"/>
        </w:rPr>
      </w:pPr>
      <w:r>
        <w:rPr>
          <w:szCs w:val="24"/>
        </w:rPr>
        <w:t xml:space="preserve">In fall 2016, two MPH students chartered a </w:t>
      </w:r>
      <w:r w:rsidR="001D04DC">
        <w:rPr>
          <w:szCs w:val="24"/>
        </w:rPr>
        <w:t xml:space="preserve">student governance organization for </w:t>
      </w:r>
      <w:r>
        <w:rPr>
          <w:szCs w:val="24"/>
        </w:rPr>
        <w:t xml:space="preserve">all </w:t>
      </w:r>
      <w:r w:rsidR="0047381C">
        <w:rPr>
          <w:szCs w:val="24"/>
        </w:rPr>
        <w:t xml:space="preserve">currently-enrolled </w:t>
      </w:r>
      <w:r w:rsidR="001D04DC">
        <w:rPr>
          <w:szCs w:val="24"/>
        </w:rPr>
        <w:t>undergraduate and graduate public health student</w:t>
      </w:r>
      <w:r>
        <w:rPr>
          <w:szCs w:val="24"/>
        </w:rPr>
        <w:t xml:space="preserve">s. </w:t>
      </w:r>
      <w:r w:rsidR="0047381C">
        <w:rPr>
          <w:szCs w:val="24"/>
        </w:rPr>
        <w:t>The organization – Public Health Undergraduate and Graduate Associated Students (PHUGAS) – was approved as an official student organization on November 10, 2016 by the WKU Student Government Association.   Per their charter, PHUGAS s/elects students</w:t>
      </w:r>
      <w:r w:rsidR="00F3595A">
        <w:rPr>
          <w:szCs w:val="24"/>
        </w:rPr>
        <w:t xml:space="preserve"> to serve on program committees.</w:t>
      </w:r>
      <w:r w:rsidR="00B546A8">
        <w:rPr>
          <w:szCs w:val="24"/>
        </w:rPr>
        <w:t xml:space="preserve"> </w:t>
      </w:r>
      <w:r w:rsidR="00EA29CC">
        <w:rPr>
          <w:szCs w:val="24"/>
        </w:rPr>
        <w:t>S</w:t>
      </w:r>
      <w:r w:rsidR="00C34168">
        <w:rPr>
          <w:szCs w:val="24"/>
        </w:rPr>
        <w:t xml:space="preserve">tudent participation in meetings during </w:t>
      </w:r>
      <w:r w:rsidR="00EA29CC">
        <w:rPr>
          <w:szCs w:val="24"/>
        </w:rPr>
        <w:t xml:space="preserve">academic year 2016/2017 is summarized </w:t>
      </w:r>
      <w:r w:rsidR="00EA29CC" w:rsidRPr="00CE40A5">
        <w:rPr>
          <w:szCs w:val="24"/>
        </w:rPr>
        <w:t xml:space="preserve">in </w:t>
      </w:r>
      <w:r w:rsidR="00EA29CC" w:rsidRPr="00B60C0A">
        <w:rPr>
          <w:szCs w:val="24"/>
        </w:rPr>
        <w:t xml:space="preserve">Appendix </w:t>
      </w:r>
      <w:r w:rsidR="00DF285D">
        <w:rPr>
          <w:rStyle w:val="Hyperlink"/>
          <w:szCs w:val="24"/>
        </w:rPr>
        <w:t>E</w:t>
      </w:r>
      <w:r w:rsidR="00EA29CC" w:rsidRPr="00CE40A5">
        <w:rPr>
          <w:szCs w:val="24"/>
        </w:rPr>
        <w:t>.</w:t>
      </w:r>
      <w:r w:rsidR="00EA29CC">
        <w:rPr>
          <w:szCs w:val="24"/>
        </w:rPr>
        <w:t xml:space="preserve"> </w:t>
      </w:r>
    </w:p>
    <w:p w:rsidR="001D04DC" w:rsidRDefault="001D04DC" w:rsidP="00507536">
      <w:pPr>
        <w:spacing w:after="0"/>
        <w:rPr>
          <w:szCs w:val="24"/>
        </w:rPr>
      </w:pPr>
    </w:p>
    <w:p w:rsidR="00507536" w:rsidRPr="00822881" w:rsidRDefault="00507536" w:rsidP="00507536">
      <w:pPr>
        <w:pStyle w:val="Default"/>
        <w:rPr>
          <w:rFonts w:asciiTheme="minorHAnsi" w:hAnsiTheme="minorHAnsi"/>
        </w:rPr>
      </w:pPr>
    </w:p>
    <w:p w:rsidR="00860EA2" w:rsidRDefault="004936CE" w:rsidP="00507536">
      <w:pPr>
        <w:pStyle w:val="Default"/>
        <w:spacing w:after="40"/>
        <w:rPr>
          <w:rFonts w:asciiTheme="minorHAnsi" w:hAnsiTheme="minorHAnsi"/>
        </w:rPr>
      </w:pPr>
      <w:r w:rsidRPr="00822881">
        <w:rPr>
          <w:rFonts w:asciiTheme="minorHAnsi" w:hAnsiTheme="minorHAnsi"/>
        </w:rPr>
        <w:br/>
      </w:r>
    </w:p>
    <w:p w:rsidR="00860EA2" w:rsidRDefault="00860EA2">
      <w:pPr>
        <w:rPr>
          <w:rFonts w:cs="Arial"/>
          <w:color w:val="000000"/>
          <w:szCs w:val="24"/>
        </w:rPr>
      </w:pPr>
      <w:r>
        <w:br w:type="page"/>
      </w:r>
    </w:p>
    <w:p w:rsidR="00507536" w:rsidRPr="00D30B12" w:rsidRDefault="004936CE" w:rsidP="005327E4">
      <w:pPr>
        <w:pStyle w:val="Heading1"/>
      </w:pPr>
      <w:bookmarkStart w:id="5" w:name="_Toc490316872"/>
      <w:r w:rsidRPr="00D30B12">
        <w:lastRenderedPageBreak/>
        <w:t xml:space="preserve">E. </w:t>
      </w:r>
      <w:r w:rsidR="00507536" w:rsidRPr="00D30B12">
        <w:t>Articulated and begun to implement program-specific practices for achieving diversity, including systematic processes for recruitment of diverse faculty, staff and students. (Criterion 1.8)</w:t>
      </w:r>
      <w:bookmarkEnd w:id="5"/>
      <w:r w:rsidR="00507536" w:rsidRPr="00D30B12">
        <w:t xml:space="preserve"> </w:t>
      </w:r>
    </w:p>
    <w:p w:rsidR="002A1F8E" w:rsidRDefault="002A1F8E" w:rsidP="00774DE8">
      <w:pPr>
        <w:pStyle w:val="Default"/>
        <w:rPr>
          <w:rFonts w:asciiTheme="minorHAnsi" w:hAnsiTheme="minorHAnsi"/>
        </w:rPr>
      </w:pPr>
    </w:p>
    <w:p w:rsidR="00CC232A" w:rsidRDefault="000A39EC" w:rsidP="00774DE8">
      <w:pPr>
        <w:pStyle w:val="Default"/>
        <w:rPr>
          <w:rFonts w:asciiTheme="minorHAnsi" w:hAnsiTheme="minorHAnsi"/>
        </w:rPr>
      </w:pPr>
      <w:r>
        <w:rPr>
          <w:rFonts w:asciiTheme="minorHAnsi" w:hAnsiTheme="minorHAnsi"/>
        </w:rPr>
        <w:t>The 2016 C</w:t>
      </w:r>
      <w:r w:rsidR="00EF672D">
        <w:rPr>
          <w:rFonts w:asciiTheme="minorHAnsi" w:hAnsiTheme="minorHAnsi"/>
        </w:rPr>
        <w:t>riterion G1</w:t>
      </w:r>
      <w:r w:rsidR="00CC232A">
        <w:rPr>
          <w:rFonts w:asciiTheme="minorHAnsi" w:hAnsiTheme="minorHAnsi"/>
        </w:rPr>
        <w:t xml:space="preserve"> guided our approach to addressing this </w:t>
      </w:r>
      <w:r w:rsidR="006B04E1">
        <w:rPr>
          <w:rFonts w:asciiTheme="minorHAnsi" w:hAnsiTheme="minorHAnsi"/>
        </w:rPr>
        <w:t>compliance issue</w:t>
      </w:r>
      <w:r w:rsidR="00CC232A">
        <w:rPr>
          <w:rFonts w:asciiTheme="minorHAnsi" w:hAnsiTheme="minorHAnsi"/>
        </w:rPr>
        <w:t xml:space="preserve">.  </w:t>
      </w:r>
    </w:p>
    <w:p w:rsidR="00774DE8" w:rsidRDefault="00774DE8" w:rsidP="00774DE8">
      <w:pPr>
        <w:pStyle w:val="Default"/>
        <w:rPr>
          <w:rFonts w:asciiTheme="minorHAnsi" w:hAnsiTheme="minorHAnsi"/>
        </w:rPr>
      </w:pPr>
    </w:p>
    <w:p w:rsidR="00E010E1" w:rsidRPr="00630B7B" w:rsidRDefault="00CC232A" w:rsidP="00774DE8">
      <w:pPr>
        <w:pStyle w:val="Default"/>
        <w:rPr>
          <w:rFonts w:asciiTheme="minorHAnsi" w:hAnsiTheme="minorHAnsi"/>
        </w:rPr>
      </w:pPr>
      <w:r w:rsidRPr="00630B7B">
        <w:rPr>
          <w:rFonts w:asciiTheme="minorHAnsi" w:hAnsiTheme="minorHAnsi"/>
        </w:rPr>
        <w:t xml:space="preserve">In January, </w:t>
      </w:r>
      <w:r w:rsidR="004341DF" w:rsidRPr="00630B7B">
        <w:rPr>
          <w:rFonts w:asciiTheme="minorHAnsi" w:hAnsiTheme="minorHAnsi"/>
        </w:rPr>
        <w:t xml:space="preserve">we convened </w:t>
      </w:r>
      <w:r w:rsidRPr="00630B7B">
        <w:rPr>
          <w:rFonts w:asciiTheme="minorHAnsi" w:hAnsiTheme="minorHAnsi"/>
        </w:rPr>
        <w:t>a diversity ad hoc c</w:t>
      </w:r>
      <w:r w:rsidR="00423273" w:rsidRPr="00630B7B">
        <w:rPr>
          <w:rFonts w:asciiTheme="minorHAnsi" w:hAnsiTheme="minorHAnsi"/>
        </w:rPr>
        <w:t>ommittee</w:t>
      </w:r>
      <w:r w:rsidR="004341DF" w:rsidRPr="00630B7B">
        <w:rPr>
          <w:rFonts w:asciiTheme="minorHAnsi" w:hAnsiTheme="minorHAnsi"/>
        </w:rPr>
        <w:t>, consisting</w:t>
      </w:r>
      <w:r w:rsidRPr="00630B7B">
        <w:rPr>
          <w:rFonts w:asciiTheme="minorHAnsi" w:hAnsiTheme="minorHAnsi"/>
        </w:rPr>
        <w:t xml:space="preserve"> of three primary faculty and </w:t>
      </w:r>
      <w:r w:rsidR="00B43D9B">
        <w:rPr>
          <w:rFonts w:asciiTheme="minorHAnsi" w:hAnsiTheme="minorHAnsi"/>
        </w:rPr>
        <w:t>one</w:t>
      </w:r>
      <w:r w:rsidRPr="00630B7B">
        <w:rPr>
          <w:rFonts w:asciiTheme="minorHAnsi" w:hAnsiTheme="minorHAnsi"/>
        </w:rPr>
        <w:t xml:space="preserve"> student identified through PHUGAS. </w:t>
      </w:r>
      <w:r w:rsidR="009C503F" w:rsidRPr="00630B7B">
        <w:rPr>
          <w:rFonts w:asciiTheme="minorHAnsi" w:hAnsiTheme="minorHAnsi"/>
        </w:rPr>
        <w:t xml:space="preserve"> </w:t>
      </w:r>
      <w:r w:rsidR="004341DF" w:rsidRPr="00630B7B">
        <w:rPr>
          <w:rFonts w:asciiTheme="minorHAnsi" w:hAnsiTheme="minorHAnsi"/>
        </w:rPr>
        <w:t>The committee’s charge was to</w:t>
      </w:r>
      <w:r w:rsidR="00630B7B" w:rsidRPr="00630B7B">
        <w:rPr>
          <w:rFonts w:asciiTheme="minorHAnsi" w:hAnsiTheme="minorHAnsi"/>
        </w:rPr>
        <w:t xml:space="preserve"> </w:t>
      </w:r>
      <w:r w:rsidR="00E010E1" w:rsidRPr="00630B7B">
        <w:rPr>
          <w:rFonts w:asciiTheme="minorHAnsi" w:hAnsiTheme="minorHAnsi"/>
        </w:rPr>
        <w:t xml:space="preserve">1) recommend priority under-represented populations and </w:t>
      </w:r>
      <w:r w:rsidR="00630B7B" w:rsidRPr="00630B7B">
        <w:rPr>
          <w:rFonts w:asciiTheme="minorHAnsi" w:hAnsiTheme="minorHAnsi"/>
        </w:rPr>
        <w:t xml:space="preserve">its </w:t>
      </w:r>
      <w:r w:rsidR="00E010E1" w:rsidRPr="00630B7B">
        <w:rPr>
          <w:rFonts w:asciiTheme="minorHAnsi" w:hAnsiTheme="minorHAnsi"/>
        </w:rPr>
        <w:t>rationale for choosing</w:t>
      </w:r>
      <w:r w:rsidR="005B4C72">
        <w:rPr>
          <w:rFonts w:asciiTheme="minorHAnsi" w:hAnsiTheme="minorHAnsi"/>
        </w:rPr>
        <w:t xml:space="preserve"> them</w:t>
      </w:r>
      <w:r w:rsidR="00E010E1" w:rsidRPr="00630B7B">
        <w:rPr>
          <w:rFonts w:asciiTheme="minorHAnsi" w:hAnsiTheme="minorHAnsi"/>
        </w:rPr>
        <w:t xml:space="preserve">, and 2) recommend goals for increasing representation.  </w:t>
      </w:r>
    </w:p>
    <w:p w:rsidR="00E010E1" w:rsidRDefault="00E010E1" w:rsidP="00E010E1">
      <w:pPr>
        <w:spacing w:after="0"/>
      </w:pPr>
    </w:p>
    <w:p w:rsidR="00D51DB7" w:rsidRPr="00D51DB7" w:rsidRDefault="00D51DB7" w:rsidP="00E010E1">
      <w:pPr>
        <w:spacing w:after="0"/>
        <w:rPr>
          <w:u w:val="single"/>
        </w:rPr>
      </w:pPr>
      <w:r w:rsidRPr="00D51DB7">
        <w:rPr>
          <w:u w:val="single"/>
        </w:rPr>
        <w:t xml:space="preserve">Priority </w:t>
      </w:r>
      <w:r>
        <w:rPr>
          <w:u w:val="single"/>
        </w:rPr>
        <w:t xml:space="preserve">Under-Represented </w:t>
      </w:r>
      <w:r w:rsidRPr="00D51DB7">
        <w:rPr>
          <w:u w:val="single"/>
        </w:rPr>
        <w:t>Populations</w:t>
      </w:r>
    </w:p>
    <w:p w:rsidR="00E010E1" w:rsidRPr="00EE4D94" w:rsidRDefault="00E010E1" w:rsidP="00E010E1">
      <w:pPr>
        <w:spacing w:after="0"/>
        <w:rPr>
          <w:szCs w:val="24"/>
        </w:rPr>
      </w:pPr>
      <w:r>
        <w:t>The</w:t>
      </w:r>
      <w:r w:rsidR="00630B7B">
        <w:t xml:space="preserve"> committee’s priority population recommendations were based on</w:t>
      </w:r>
      <w:r>
        <w:t xml:space="preserve"> </w:t>
      </w:r>
      <w:r w:rsidR="00B546A8">
        <w:t xml:space="preserve">a desire </w:t>
      </w:r>
      <w:r>
        <w:t xml:space="preserve">to attain a </w:t>
      </w:r>
      <w:r w:rsidR="00D965A5">
        <w:t>faculty complement that reflects the diversity of our nation</w:t>
      </w:r>
      <w:r w:rsidR="00B546A8">
        <w:t>,</w:t>
      </w:r>
      <w:r w:rsidR="00D965A5">
        <w:t xml:space="preserve"> and a </w:t>
      </w:r>
      <w:r>
        <w:t>student body that more closel</w:t>
      </w:r>
      <w:r w:rsidR="00630B7B">
        <w:t>y re</w:t>
      </w:r>
      <w:r w:rsidR="00AD7049">
        <w:t>presents state demographics.</w:t>
      </w:r>
      <w:r w:rsidR="002E2860">
        <w:t xml:space="preserve"> </w:t>
      </w:r>
      <w:r w:rsidR="005B4C72">
        <w:t>The</w:t>
      </w:r>
      <w:r w:rsidR="00630B7B">
        <w:t xml:space="preserve"> priority population recommendations were adopted by unanimou</w:t>
      </w:r>
      <w:r w:rsidR="00EE4D94">
        <w:t xml:space="preserve">s vote </w:t>
      </w:r>
      <w:r w:rsidR="00B546A8">
        <w:rPr>
          <w:szCs w:val="24"/>
        </w:rPr>
        <w:t>at the Joint MPH-</w:t>
      </w:r>
      <w:r w:rsidR="00EE4D94" w:rsidRPr="00EE4D94">
        <w:rPr>
          <w:szCs w:val="24"/>
        </w:rPr>
        <w:t xml:space="preserve">BSPH </w:t>
      </w:r>
      <w:r w:rsidR="00F668F0">
        <w:rPr>
          <w:szCs w:val="24"/>
        </w:rPr>
        <w:t xml:space="preserve">Committee </w:t>
      </w:r>
      <w:r w:rsidR="00EE4D94" w:rsidRPr="00EE4D94">
        <w:rPr>
          <w:szCs w:val="24"/>
        </w:rPr>
        <w:t xml:space="preserve">meeting on </w:t>
      </w:r>
      <w:hyperlink r:id="rId16" w:history="1">
        <w:r w:rsidR="00EE4D94" w:rsidRPr="00EF672D">
          <w:rPr>
            <w:rStyle w:val="Hyperlink"/>
            <w:szCs w:val="24"/>
          </w:rPr>
          <w:t>March 8, 2017</w:t>
        </w:r>
      </w:hyperlink>
      <w:r w:rsidR="00EE4D94" w:rsidRPr="00EE4D94">
        <w:rPr>
          <w:szCs w:val="24"/>
        </w:rPr>
        <w:t>:</w:t>
      </w:r>
    </w:p>
    <w:p w:rsidR="00E010E1" w:rsidRPr="00EE4D94" w:rsidRDefault="00E010E1" w:rsidP="008B50E2">
      <w:pPr>
        <w:pStyle w:val="ListParagraph"/>
        <w:numPr>
          <w:ilvl w:val="0"/>
          <w:numId w:val="5"/>
        </w:numPr>
        <w:spacing w:after="0"/>
        <w:rPr>
          <w:sz w:val="24"/>
          <w:szCs w:val="24"/>
        </w:rPr>
      </w:pPr>
      <w:r w:rsidRPr="00EE4D94">
        <w:rPr>
          <w:sz w:val="24"/>
          <w:szCs w:val="24"/>
        </w:rPr>
        <w:t xml:space="preserve">Hispanic/Latinx  </w:t>
      </w:r>
    </w:p>
    <w:p w:rsidR="00E010E1" w:rsidRPr="00EE4D94" w:rsidRDefault="00E010E1" w:rsidP="008B50E2">
      <w:pPr>
        <w:pStyle w:val="ListParagraph"/>
        <w:numPr>
          <w:ilvl w:val="0"/>
          <w:numId w:val="5"/>
        </w:numPr>
        <w:spacing w:after="0"/>
        <w:rPr>
          <w:sz w:val="24"/>
          <w:szCs w:val="24"/>
        </w:rPr>
      </w:pPr>
      <w:r w:rsidRPr="00EE4D94">
        <w:rPr>
          <w:sz w:val="24"/>
          <w:szCs w:val="24"/>
        </w:rPr>
        <w:t>African-Americans</w:t>
      </w:r>
    </w:p>
    <w:p w:rsidR="00E010E1" w:rsidRPr="00EE4D94" w:rsidRDefault="00E010E1" w:rsidP="008B50E2">
      <w:pPr>
        <w:pStyle w:val="ListParagraph"/>
        <w:numPr>
          <w:ilvl w:val="0"/>
          <w:numId w:val="5"/>
        </w:numPr>
        <w:spacing w:after="0"/>
        <w:rPr>
          <w:sz w:val="24"/>
          <w:szCs w:val="24"/>
        </w:rPr>
      </w:pPr>
      <w:r w:rsidRPr="00EE4D94">
        <w:rPr>
          <w:sz w:val="24"/>
          <w:szCs w:val="24"/>
        </w:rPr>
        <w:t xml:space="preserve">Immigrants/first generation </w:t>
      </w:r>
    </w:p>
    <w:p w:rsidR="00E010E1" w:rsidRPr="00EE4D94" w:rsidRDefault="00E010E1" w:rsidP="008B50E2">
      <w:pPr>
        <w:pStyle w:val="ListParagraph"/>
        <w:numPr>
          <w:ilvl w:val="0"/>
          <w:numId w:val="5"/>
        </w:numPr>
        <w:spacing w:after="40"/>
        <w:rPr>
          <w:sz w:val="24"/>
          <w:szCs w:val="24"/>
        </w:rPr>
      </w:pPr>
      <w:r w:rsidRPr="00EE4D94">
        <w:rPr>
          <w:sz w:val="24"/>
          <w:szCs w:val="24"/>
        </w:rPr>
        <w:t xml:space="preserve">Persons from medically under-served </w:t>
      </w:r>
      <w:r w:rsidR="00D965A5">
        <w:rPr>
          <w:sz w:val="24"/>
          <w:szCs w:val="24"/>
        </w:rPr>
        <w:t xml:space="preserve">regional </w:t>
      </w:r>
      <w:r w:rsidRPr="00EE4D94">
        <w:rPr>
          <w:sz w:val="24"/>
          <w:szCs w:val="24"/>
        </w:rPr>
        <w:t xml:space="preserve">communities </w:t>
      </w:r>
    </w:p>
    <w:p w:rsidR="00862999" w:rsidRPr="00EE4D94" w:rsidRDefault="00E010E1" w:rsidP="008B50E2">
      <w:pPr>
        <w:pStyle w:val="ListParagraph"/>
        <w:numPr>
          <w:ilvl w:val="0"/>
          <w:numId w:val="5"/>
        </w:numPr>
        <w:spacing w:after="40"/>
        <w:rPr>
          <w:sz w:val="24"/>
          <w:szCs w:val="24"/>
        </w:rPr>
      </w:pPr>
      <w:r w:rsidRPr="00EE4D94">
        <w:rPr>
          <w:sz w:val="24"/>
          <w:szCs w:val="24"/>
        </w:rPr>
        <w:t>Persons identifying with under-represented or marginalized groups</w:t>
      </w:r>
    </w:p>
    <w:p w:rsidR="001D6BD6" w:rsidRDefault="001D6BD6" w:rsidP="00D51DB7">
      <w:pPr>
        <w:spacing w:after="0"/>
        <w:rPr>
          <w:szCs w:val="24"/>
          <w:u w:val="single"/>
        </w:rPr>
      </w:pPr>
    </w:p>
    <w:p w:rsidR="00D51DB7" w:rsidRPr="00D51DB7" w:rsidRDefault="00D51DB7" w:rsidP="00D51DB7">
      <w:pPr>
        <w:spacing w:after="0"/>
        <w:rPr>
          <w:szCs w:val="24"/>
          <w:u w:val="single"/>
        </w:rPr>
      </w:pPr>
      <w:r w:rsidRPr="00D51DB7">
        <w:rPr>
          <w:szCs w:val="24"/>
          <w:u w:val="single"/>
        </w:rPr>
        <w:t>Goals</w:t>
      </w:r>
      <w:r w:rsidR="007F020F">
        <w:rPr>
          <w:szCs w:val="24"/>
          <w:u w:val="single"/>
        </w:rPr>
        <w:t xml:space="preserve"> for Increasing Inclusivity</w:t>
      </w:r>
    </w:p>
    <w:p w:rsidR="00EE4D94" w:rsidRDefault="00EE4D94" w:rsidP="00D51DB7">
      <w:pPr>
        <w:spacing w:after="0"/>
        <w:rPr>
          <w:szCs w:val="24"/>
        </w:rPr>
      </w:pPr>
      <w:r>
        <w:rPr>
          <w:szCs w:val="24"/>
        </w:rPr>
        <w:t xml:space="preserve">The committee also identified five goals, which were also passed at the March 8, 2017 Joint MPH/BSPH meeting.  They then identified strategies for meeting each goal, which were passed at the </w:t>
      </w:r>
      <w:hyperlink r:id="rId17" w:history="1">
        <w:r w:rsidR="00E62487" w:rsidRPr="00BB24F3">
          <w:rPr>
            <w:rStyle w:val="Hyperlink"/>
            <w:szCs w:val="24"/>
          </w:rPr>
          <w:t>May 10, 2017</w:t>
        </w:r>
      </w:hyperlink>
      <w:r w:rsidR="00F668F0">
        <w:rPr>
          <w:szCs w:val="24"/>
        </w:rPr>
        <w:t xml:space="preserve"> Joint MPH-</w:t>
      </w:r>
      <w:r w:rsidR="00E62487">
        <w:rPr>
          <w:szCs w:val="24"/>
        </w:rPr>
        <w:t xml:space="preserve">BSPH </w:t>
      </w:r>
      <w:r w:rsidR="00F668F0">
        <w:rPr>
          <w:szCs w:val="24"/>
        </w:rPr>
        <w:t xml:space="preserve">Committee </w:t>
      </w:r>
      <w:r w:rsidR="00E62487">
        <w:rPr>
          <w:szCs w:val="24"/>
        </w:rPr>
        <w:t>mee</w:t>
      </w:r>
      <w:r w:rsidR="00B657E4">
        <w:rPr>
          <w:szCs w:val="24"/>
        </w:rPr>
        <w:t xml:space="preserve">ting. The goals, strategies, </w:t>
      </w:r>
      <w:r w:rsidR="00E62487">
        <w:rPr>
          <w:szCs w:val="24"/>
        </w:rPr>
        <w:t>any actions taken to date</w:t>
      </w:r>
      <w:r w:rsidR="00B657E4">
        <w:rPr>
          <w:szCs w:val="24"/>
        </w:rPr>
        <w:t>, and action plans</w:t>
      </w:r>
      <w:r w:rsidR="00E62487">
        <w:rPr>
          <w:szCs w:val="24"/>
        </w:rPr>
        <w:t xml:space="preserve"> are articulated below.</w:t>
      </w:r>
    </w:p>
    <w:p w:rsidR="00D51DB7" w:rsidRDefault="00D51DB7" w:rsidP="00D51DB7">
      <w:pPr>
        <w:spacing w:after="0"/>
        <w:rPr>
          <w:szCs w:val="24"/>
        </w:rPr>
      </w:pPr>
    </w:p>
    <w:p w:rsidR="00B007D4" w:rsidRPr="00B4355C" w:rsidRDefault="00B007D4" w:rsidP="00B007D4">
      <w:pPr>
        <w:spacing w:after="0"/>
        <w:rPr>
          <w:szCs w:val="24"/>
        </w:rPr>
      </w:pPr>
      <w:r w:rsidRPr="00771371">
        <w:rPr>
          <w:i/>
          <w:szCs w:val="24"/>
        </w:rPr>
        <w:t>Goal 1: Foster a culture of inclusivity and cultural competence</w:t>
      </w:r>
      <w:r w:rsidRPr="00B4355C">
        <w:rPr>
          <w:szCs w:val="24"/>
        </w:rPr>
        <w:t>.</w:t>
      </w:r>
    </w:p>
    <w:p w:rsidR="00A27863" w:rsidRPr="00A27863" w:rsidRDefault="00B007D4" w:rsidP="008B50E2">
      <w:pPr>
        <w:pStyle w:val="ListParagraph"/>
        <w:numPr>
          <w:ilvl w:val="0"/>
          <w:numId w:val="6"/>
        </w:numPr>
        <w:rPr>
          <w:sz w:val="24"/>
          <w:szCs w:val="24"/>
        </w:rPr>
      </w:pPr>
      <w:r w:rsidRPr="00A27863">
        <w:rPr>
          <w:sz w:val="24"/>
          <w:szCs w:val="24"/>
        </w:rPr>
        <w:t xml:space="preserve">Encourage all faculty/staff to go through green dot and safe-space training. </w:t>
      </w:r>
    </w:p>
    <w:p w:rsidR="00A27863" w:rsidRDefault="00A27863" w:rsidP="00771371">
      <w:pPr>
        <w:pStyle w:val="ListParagraph"/>
        <w:ind w:left="1440"/>
        <w:rPr>
          <w:sz w:val="24"/>
          <w:szCs w:val="24"/>
        </w:rPr>
      </w:pPr>
      <w:r w:rsidRPr="00A27863">
        <w:rPr>
          <w:sz w:val="24"/>
          <w:szCs w:val="24"/>
        </w:rPr>
        <w:t xml:space="preserve">Action Taken:  Green dot training </w:t>
      </w:r>
      <w:r w:rsidR="00C62206">
        <w:rPr>
          <w:sz w:val="24"/>
          <w:szCs w:val="24"/>
        </w:rPr>
        <w:t>during</w:t>
      </w:r>
      <w:r w:rsidRPr="00A27863">
        <w:rPr>
          <w:sz w:val="24"/>
          <w:szCs w:val="24"/>
        </w:rPr>
        <w:t xml:space="preserve"> August 14</w:t>
      </w:r>
      <w:r w:rsidRPr="00A27863">
        <w:rPr>
          <w:sz w:val="24"/>
          <w:szCs w:val="24"/>
          <w:vertAlign w:val="superscript"/>
        </w:rPr>
        <w:t>th</w:t>
      </w:r>
      <w:r w:rsidRPr="00A27863">
        <w:rPr>
          <w:sz w:val="24"/>
          <w:szCs w:val="24"/>
        </w:rPr>
        <w:t xml:space="preserve"> workday</w:t>
      </w:r>
    </w:p>
    <w:p w:rsidR="00A27863" w:rsidRPr="00A27863" w:rsidRDefault="00A27863" w:rsidP="008B50E2">
      <w:pPr>
        <w:pStyle w:val="ListParagraph"/>
        <w:numPr>
          <w:ilvl w:val="0"/>
          <w:numId w:val="6"/>
        </w:numPr>
        <w:rPr>
          <w:sz w:val="24"/>
          <w:szCs w:val="24"/>
        </w:rPr>
      </w:pPr>
      <w:r w:rsidRPr="00A27863">
        <w:rPr>
          <w:sz w:val="24"/>
          <w:szCs w:val="24"/>
        </w:rPr>
        <w:t>Include diver</w:t>
      </w:r>
      <w:r>
        <w:rPr>
          <w:sz w:val="24"/>
          <w:szCs w:val="24"/>
        </w:rPr>
        <w:t>sity information and resources i</w:t>
      </w:r>
      <w:r w:rsidRPr="00A27863">
        <w:rPr>
          <w:sz w:val="24"/>
          <w:szCs w:val="24"/>
        </w:rPr>
        <w:t>n</w:t>
      </w:r>
      <w:r>
        <w:rPr>
          <w:sz w:val="24"/>
          <w:szCs w:val="24"/>
        </w:rPr>
        <w:t xml:space="preserve"> program materials.</w:t>
      </w:r>
    </w:p>
    <w:p w:rsidR="00A27863" w:rsidRDefault="00A27863" w:rsidP="00771371">
      <w:pPr>
        <w:pStyle w:val="ListParagraph"/>
        <w:ind w:left="1440"/>
        <w:rPr>
          <w:sz w:val="24"/>
          <w:szCs w:val="24"/>
        </w:rPr>
      </w:pPr>
      <w:r w:rsidRPr="00A27863">
        <w:rPr>
          <w:sz w:val="24"/>
          <w:szCs w:val="24"/>
        </w:rPr>
        <w:t xml:space="preserve">Action Taken: </w:t>
      </w:r>
      <w:r>
        <w:rPr>
          <w:sz w:val="24"/>
          <w:szCs w:val="24"/>
        </w:rPr>
        <w:t xml:space="preserve">Diversity statements included </w:t>
      </w:r>
      <w:r w:rsidRPr="00A27863">
        <w:rPr>
          <w:sz w:val="24"/>
          <w:szCs w:val="24"/>
        </w:rPr>
        <w:t>student handbook, orientation, and website</w:t>
      </w:r>
    </w:p>
    <w:p w:rsidR="00A27863" w:rsidRPr="00A27863" w:rsidRDefault="00A27863" w:rsidP="008B50E2">
      <w:pPr>
        <w:pStyle w:val="ListParagraph"/>
        <w:numPr>
          <w:ilvl w:val="0"/>
          <w:numId w:val="6"/>
        </w:numPr>
        <w:spacing w:after="0"/>
        <w:rPr>
          <w:sz w:val="24"/>
          <w:szCs w:val="24"/>
        </w:rPr>
      </w:pPr>
      <w:r w:rsidRPr="00A27863">
        <w:rPr>
          <w:sz w:val="24"/>
          <w:szCs w:val="24"/>
        </w:rPr>
        <w:t>Articulate inclusivity as a core value for the PH programs.</w:t>
      </w:r>
    </w:p>
    <w:p w:rsidR="00B43D9B" w:rsidRPr="00C37DEF" w:rsidRDefault="00A27863" w:rsidP="00B43D9B">
      <w:pPr>
        <w:spacing w:after="0"/>
        <w:ind w:left="1440"/>
        <w:rPr>
          <w:rFonts w:cs="Times New Roman"/>
          <w:i/>
          <w:color w:val="000000" w:themeColor="text1"/>
          <w:szCs w:val="24"/>
          <w:shd w:val="clear" w:color="auto" w:fill="FFFFFF"/>
        </w:rPr>
      </w:pPr>
      <w:r w:rsidRPr="00A27863">
        <w:rPr>
          <w:szCs w:val="24"/>
        </w:rPr>
        <w:t>Action Taken:</w:t>
      </w:r>
      <w:r w:rsidR="004C0109">
        <w:rPr>
          <w:szCs w:val="24"/>
        </w:rPr>
        <w:t xml:space="preserve"> Inclusiv</w:t>
      </w:r>
      <w:r w:rsidR="00B43D9B">
        <w:rPr>
          <w:szCs w:val="24"/>
        </w:rPr>
        <w:t>ity highlighted as a core value: “</w:t>
      </w:r>
      <w:r w:rsidR="00B43D9B" w:rsidRPr="00C37DEF">
        <w:rPr>
          <w:rFonts w:cs="Times New Roman"/>
          <w:b/>
          <w:i/>
          <w:color w:val="000000" w:themeColor="text1"/>
          <w:szCs w:val="24"/>
          <w:shd w:val="clear" w:color="auto" w:fill="FFFFFF"/>
        </w:rPr>
        <w:t>I</w:t>
      </w:r>
      <w:r w:rsidR="00B43D9B" w:rsidRPr="00C37DEF">
        <w:rPr>
          <w:rFonts w:cs="Times New Roman"/>
          <w:i/>
          <w:color w:val="000000" w:themeColor="text1"/>
          <w:szCs w:val="24"/>
          <w:shd w:val="clear" w:color="auto" w:fill="FFFFFF"/>
        </w:rPr>
        <w:t>nclusive, culturally-competent, and equitable</w:t>
      </w:r>
      <w:r w:rsidR="00B43D9B">
        <w:rPr>
          <w:rFonts w:cs="Times New Roman"/>
          <w:i/>
          <w:color w:val="000000" w:themeColor="text1"/>
          <w:szCs w:val="24"/>
          <w:shd w:val="clear" w:color="auto" w:fill="FFFFFF"/>
        </w:rPr>
        <w:t>”</w:t>
      </w:r>
    </w:p>
    <w:p w:rsidR="00B43D9B" w:rsidRDefault="00A27863" w:rsidP="008B50E2">
      <w:pPr>
        <w:pStyle w:val="ListParagraph"/>
        <w:numPr>
          <w:ilvl w:val="0"/>
          <w:numId w:val="6"/>
        </w:numPr>
        <w:rPr>
          <w:sz w:val="24"/>
          <w:szCs w:val="24"/>
        </w:rPr>
      </w:pPr>
      <w:r w:rsidRPr="00A27863">
        <w:rPr>
          <w:sz w:val="24"/>
          <w:szCs w:val="24"/>
        </w:rPr>
        <w:t xml:space="preserve">Infuse </w:t>
      </w:r>
      <w:r w:rsidR="00B43D9B">
        <w:rPr>
          <w:sz w:val="24"/>
          <w:szCs w:val="24"/>
        </w:rPr>
        <w:t>inclusivity</w:t>
      </w:r>
      <w:r w:rsidRPr="00A27863">
        <w:rPr>
          <w:sz w:val="24"/>
          <w:szCs w:val="24"/>
        </w:rPr>
        <w:t xml:space="preserve"> into strategic planning process</w:t>
      </w:r>
      <w:r w:rsidR="005C085C">
        <w:rPr>
          <w:sz w:val="24"/>
          <w:szCs w:val="24"/>
        </w:rPr>
        <w:t xml:space="preserve"> and program operations</w:t>
      </w:r>
      <w:r w:rsidRPr="00A27863">
        <w:rPr>
          <w:sz w:val="24"/>
          <w:szCs w:val="24"/>
        </w:rPr>
        <w:t>.</w:t>
      </w:r>
    </w:p>
    <w:p w:rsidR="00B43D9B" w:rsidRDefault="00B43D9B" w:rsidP="00B43D9B">
      <w:pPr>
        <w:pStyle w:val="ListParagraph"/>
        <w:ind w:left="1440"/>
        <w:rPr>
          <w:sz w:val="24"/>
          <w:szCs w:val="24"/>
        </w:rPr>
      </w:pPr>
      <w:r>
        <w:rPr>
          <w:sz w:val="24"/>
          <w:szCs w:val="24"/>
        </w:rPr>
        <w:t xml:space="preserve">Action Taken: </w:t>
      </w:r>
      <w:r w:rsidR="00C62206">
        <w:rPr>
          <w:sz w:val="24"/>
          <w:szCs w:val="24"/>
        </w:rPr>
        <w:t>Professional</w:t>
      </w:r>
      <w:r w:rsidR="005C085C">
        <w:rPr>
          <w:sz w:val="24"/>
          <w:szCs w:val="24"/>
        </w:rPr>
        <w:t xml:space="preserve"> development plan for organizations serving marginalized populations.</w:t>
      </w:r>
    </w:p>
    <w:p w:rsidR="00557E9E" w:rsidRDefault="00557E9E" w:rsidP="00557E9E">
      <w:pPr>
        <w:pStyle w:val="ListParagraph"/>
        <w:ind w:left="1440"/>
        <w:rPr>
          <w:sz w:val="24"/>
          <w:szCs w:val="24"/>
        </w:rPr>
      </w:pPr>
      <w:r>
        <w:rPr>
          <w:sz w:val="24"/>
          <w:szCs w:val="24"/>
        </w:rPr>
        <w:lastRenderedPageBreak/>
        <w:t>Action Plan: Propose joint MPH-BSPH standing Inclusion and Equity committee; work with newly created CHHS Diversity Officer.</w:t>
      </w:r>
    </w:p>
    <w:p w:rsidR="00B43D9B" w:rsidRDefault="00A27863" w:rsidP="008B50E2">
      <w:pPr>
        <w:pStyle w:val="ListParagraph"/>
        <w:numPr>
          <w:ilvl w:val="0"/>
          <w:numId w:val="6"/>
        </w:numPr>
        <w:rPr>
          <w:sz w:val="24"/>
          <w:szCs w:val="24"/>
        </w:rPr>
      </w:pPr>
      <w:r w:rsidRPr="00A27863">
        <w:rPr>
          <w:sz w:val="24"/>
          <w:szCs w:val="24"/>
        </w:rPr>
        <w:t>Increase diversity</w:t>
      </w:r>
      <w:r w:rsidR="00771371">
        <w:rPr>
          <w:sz w:val="24"/>
          <w:szCs w:val="24"/>
        </w:rPr>
        <w:t xml:space="preserve"> of external advisory committee.</w:t>
      </w:r>
    </w:p>
    <w:p w:rsidR="00B43D9B" w:rsidRPr="00B43D9B" w:rsidRDefault="005C085C" w:rsidP="00B43D9B">
      <w:pPr>
        <w:pStyle w:val="ListParagraph"/>
        <w:ind w:left="1440"/>
        <w:rPr>
          <w:sz w:val="24"/>
          <w:szCs w:val="24"/>
        </w:rPr>
      </w:pPr>
      <w:r>
        <w:rPr>
          <w:sz w:val="24"/>
          <w:szCs w:val="24"/>
        </w:rPr>
        <w:t>Action Plan: Revise committee membership to include priority pop</w:t>
      </w:r>
      <w:r w:rsidR="004310AA">
        <w:rPr>
          <w:sz w:val="24"/>
          <w:szCs w:val="24"/>
        </w:rPr>
        <w:t>ul</w:t>
      </w:r>
      <w:r>
        <w:rPr>
          <w:sz w:val="24"/>
          <w:szCs w:val="24"/>
        </w:rPr>
        <w:t>ations.</w:t>
      </w:r>
    </w:p>
    <w:p w:rsidR="00B007D4" w:rsidRPr="00771371" w:rsidRDefault="00B007D4" w:rsidP="00B007D4">
      <w:pPr>
        <w:spacing w:after="0"/>
        <w:rPr>
          <w:i/>
          <w:szCs w:val="24"/>
        </w:rPr>
      </w:pPr>
      <w:r w:rsidRPr="00771371">
        <w:rPr>
          <w:i/>
          <w:szCs w:val="24"/>
        </w:rPr>
        <w:t xml:space="preserve">Goal 2: Attract, hire, and retain diverse faculty that reflects the demographics of the nation and inclusive of those from under-represented or marginalized groups. </w:t>
      </w:r>
    </w:p>
    <w:p w:rsidR="00B007D4" w:rsidRDefault="00B007D4" w:rsidP="008B50E2">
      <w:pPr>
        <w:pStyle w:val="ListParagraph"/>
        <w:numPr>
          <w:ilvl w:val="0"/>
          <w:numId w:val="1"/>
        </w:numPr>
        <w:spacing w:after="0"/>
        <w:rPr>
          <w:sz w:val="24"/>
          <w:szCs w:val="24"/>
        </w:rPr>
      </w:pPr>
      <w:r w:rsidRPr="00B4355C">
        <w:rPr>
          <w:sz w:val="24"/>
          <w:szCs w:val="24"/>
        </w:rPr>
        <w:t>Create programmatic policy for faculty recruitment to ensure position announcements are distributed to institutions and organizations with access to marginalized populations.</w:t>
      </w:r>
    </w:p>
    <w:p w:rsidR="00B43D9B" w:rsidRDefault="00B43D9B" w:rsidP="00B43D9B">
      <w:pPr>
        <w:spacing w:after="0"/>
        <w:ind w:left="1440"/>
        <w:rPr>
          <w:szCs w:val="24"/>
        </w:rPr>
      </w:pPr>
      <w:r>
        <w:rPr>
          <w:szCs w:val="24"/>
        </w:rPr>
        <w:t>Action Taken:  In proc</w:t>
      </w:r>
      <w:r w:rsidR="008F6A6E">
        <w:rPr>
          <w:szCs w:val="24"/>
        </w:rPr>
        <w:t>ess of creating contact list fo</w:t>
      </w:r>
      <w:r w:rsidR="005C085C">
        <w:rPr>
          <w:szCs w:val="24"/>
        </w:rPr>
        <w:t>r future position announcements.</w:t>
      </w:r>
    </w:p>
    <w:p w:rsidR="00B007D4" w:rsidRDefault="005C085C" w:rsidP="000E3566">
      <w:pPr>
        <w:spacing w:after="0"/>
        <w:ind w:left="1440"/>
        <w:rPr>
          <w:szCs w:val="24"/>
        </w:rPr>
      </w:pPr>
      <w:r>
        <w:rPr>
          <w:szCs w:val="24"/>
        </w:rPr>
        <w:t>Action Plan: Create statement to include on position announcements.</w:t>
      </w:r>
    </w:p>
    <w:p w:rsidR="000E3566" w:rsidRPr="00B4355C" w:rsidRDefault="000E3566" w:rsidP="000E3566">
      <w:pPr>
        <w:spacing w:after="0"/>
        <w:ind w:left="1440"/>
        <w:rPr>
          <w:szCs w:val="24"/>
        </w:rPr>
      </w:pPr>
    </w:p>
    <w:p w:rsidR="00B007D4" w:rsidRPr="00771371" w:rsidRDefault="00B007D4" w:rsidP="00B007D4">
      <w:pPr>
        <w:spacing w:after="0"/>
        <w:rPr>
          <w:i/>
          <w:szCs w:val="24"/>
        </w:rPr>
      </w:pPr>
      <w:r w:rsidRPr="00771371">
        <w:rPr>
          <w:i/>
          <w:szCs w:val="24"/>
        </w:rPr>
        <w:t>Goal 3: Encourage faculty to engage in scholarship and service involving marginalized and under-represented populations.</w:t>
      </w:r>
    </w:p>
    <w:p w:rsidR="00B007D4" w:rsidRDefault="00B007D4" w:rsidP="008B50E2">
      <w:pPr>
        <w:pStyle w:val="ListParagraph"/>
        <w:numPr>
          <w:ilvl w:val="0"/>
          <w:numId w:val="2"/>
        </w:numPr>
        <w:spacing w:after="0"/>
        <w:rPr>
          <w:sz w:val="24"/>
          <w:szCs w:val="24"/>
        </w:rPr>
      </w:pPr>
      <w:r w:rsidRPr="00B4355C">
        <w:rPr>
          <w:sz w:val="24"/>
          <w:szCs w:val="24"/>
        </w:rPr>
        <w:t>Highlight faculty research and scholarship to priority populations in CHHS newsletter and program social media.</w:t>
      </w:r>
    </w:p>
    <w:p w:rsidR="008F6A6E" w:rsidRDefault="008F6A6E" w:rsidP="008F6A6E">
      <w:pPr>
        <w:pStyle w:val="ListParagraph"/>
        <w:spacing w:after="0"/>
        <w:ind w:left="1440"/>
        <w:rPr>
          <w:sz w:val="24"/>
          <w:szCs w:val="24"/>
        </w:rPr>
      </w:pPr>
      <w:r>
        <w:rPr>
          <w:sz w:val="24"/>
          <w:szCs w:val="24"/>
        </w:rPr>
        <w:t xml:space="preserve">Action </w:t>
      </w:r>
      <w:r w:rsidR="005C085C">
        <w:rPr>
          <w:sz w:val="24"/>
          <w:szCs w:val="24"/>
        </w:rPr>
        <w:t>Plan</w:t>
      </w:r>
      <w:r>
        <w:rPr>
          <w:sz w:val="24"/>
          <w:szCs w:val="24"/>
        </w:rPr>
        <w:t xml:space="preserve">: </w:t>
      </w:r>
      <w:r w:rsidR="00C7510C">
        <w:rPr>
          <w:sz w:val="24"/>
          <w:szCs w:val="24"/>
        </w:rPr>
        <w:t>Create process/procedures to ensure timely reporting of actions.</w:t>
      </w:r>
    </w:p>
    <w:p w:rsidR="00C7510C" w:rsidRPr="00B4355C" w:rsidRDefault="00C7510C" w:rsidP="008F6A6E">
      <w:pPr>
        <w:pStyle w:val="ListParagraph"/>
        <w:spacing w:after="0"/>
        <w:ind w:left="1440"/>
        <w:rPr>
          <w:sz w:val="24"/>
          <w:szCs w:val="24"/>
        </w:rPr>
      </w:pPr>
      <w:r>
        <w:rPr>
          <w:sz w:val="24"/>
          <w:szCs w:val="24"/>
        </w:rPr>
        <w:t>Action Plan: Identify graduate assistant(s)/students to assist with social media.</w:t>
      </w:r>
    </w:p>
    <w:p w:rsidR="00B007D4" w:rsidRDefault="00B007D4" w:rsidP="008B50E2">
      <w:pPr>
        <w:pStyle w:val="ListParagraph"/>
        <w:numPr>
          <w:ilvl w:val="0"/>
          <w:numId w:val="2"/>
        </w:numPr>
        <w:spacing w:after="0"/>
        <w:rPr>
          <w:sz w:val="24"/>
          <w:szCs w:val="24"/>
        </w:rPr>
      </w:pPr>
      <w:r w:rsidRPr="00B4355C">
        <w:rPr>
          <w:sz w:val="24"/>
          <w:szCs w:val="24"/>
        </w:rPr>
        <w:t>Create on-going service/scholarship relationships with community organizations.</w:t>
      </w:r>
    </w:p>
    <w:p w:rsidR="00024852" w:rsidRPr="00024852" w:rsidRDefault="00E010E1" w:rsidP="00024852">
      <w:pPr>
        <w:pStyle w:val="ListParagraph"/>
        <w:spacing w:after="0"/>
        <w:ind w:left="1440"/>
        <w:rPr>
          <w:sz w:val="24"/>
          <w:szCs w:val="24"/>
        </w:rPr>
      </w:pPr>
      <w:r>
        <w:rPr>
          <w:sz w:val="24"/>
          <w:szCs w:val="24"/>
        </w:rPr>
        <w:t>Action</w:t>
      </w:r>
      <w:r w:rsidR="00024852">
        <w:rPr>
          <w:sz w:val="24"/>
          <w:szCs w:val="24"/>
        </w:rPr>
        <w:t>s</w:t>
      </w:r>
      <w:r>
        <w:rPr>
          <w:sz w:val="24"/>
          <w:szCs w:val="24"/>
        </w:rPr>
        <w:t xml:space="preserve"> Taken: Service relationship established with International/Refugee Center</w:t>
      </w:r>
      <w:r w:rsidR="00024852">
        <w:rPr>
          <w:sz w:val="24"/>
          <w:szCs w:val="24"/>
        </w:rPr>
        <w:t xml:space="preserve"> and </w:t>
      </w:r>
      <w:r w:rsidR="00024852" w:rsidRPr="00024852">
        <w:rPr>
          <w:rFonts w:ascii="Calibri" w:eastAsia="Times New Roman" w:hAnsi="Calibri" w:cs="Segoe UI"/>
          <w:sz w:val="24"/>
          <w:szCs w:val="24"/>
        </w:rPr>
        <w:t>Warren County School District English Language Learners/GEO Center</w:t>
      </w:r>
    </w:p>
    <w:p w:rsidR="0088711A" w:rsidRPr="00B4355C" w:rsidRDefault="0088711A" w:rsidP="00771371">
      <w:pPr>
        <w:pStyle w:val="ListParagraph"/>
        <w:spacing w:after="0"/>
        <w:ind w:left="1440"/>
        <w:rPr>
          <w:sz w:val="24"/>
          <w:szCs w:val="24"/>
        </w:rPr>
      </w:pPr>
      <w:r>
        <w:rPr>
          <w:sz w:val="24"/>
          <w:szCs w:val="24"/>
        </w:rPr>
        <w:t>Action Plan: Create inventory of agencies serving marginalized and under-represented populations; identify opportunities for collaboration.</w:t>
      </w:r>
    </w:p>
    <w:p w:rsidR="00B007D4" w:rsidRPr="00B4355C" w:rsidRDefault="00B007D4" w:rsidP="00B007D4">
      <w:pPr>
        <w:spacing w:after="0"/>
        <w:rPr>
          <w:szCs w:val="24"/>
        </w:rPr>
      </w:pPr>
    </w:p>
    <w:p w:rsidR="00B007D4" w:rsidRPr="00771371" w:rsidRDefault="00B007D4" w:rsidP="00B007D4">
      <w:pPr>
        <w:spacing w:after="0"/>
        <w:rPr>
          <w:i/>
          <w:szCs w:val="24"/>
        </w:rPr>
      </w:pPr>
      <w:r w:rsidRPr="00771371">
        <w:rPr>
          <w:i/>
          <w:szCs w:val="24"/>
        </w:rPr>
        <w:t xml:space="preserve">Goal 4: Increase our efforts to attract, retain and graduate a diverse student population reflective of the diversity in the Commonwealth and inclusive of those from under-represented or marginalized groups. </w:t>
      </w:r>
    </w:p>
    <w:p w:rsidR="00771371" w:rsidRDefault="00B007D4" w:rsidP="008B50E2">
      <w:pPr>
        <w:pStyle w:val="ListParagraph"/>
        <w:numPr>
          <w:ilvl w:val="0"/>
          <w:numId w:val="3"/>
        </w:numPr>
        <w:spacing w:after="0"/>
        <w:rPr>
          <w:sz w:val="24"/>
          <w:szCs w:val="24"/>
        </w:rPr>
      </w:pPr>
      <w:r w:rsidRPr="00B4355C">
        <w:rPr>
          <w:sz w:val="24"/>
          <w:szCs w:val="24"/>
        </w:rPr>
        <w:t>Work with TRIO to identify potential qualified undergraduate students.</w:t>
      </w:r>
    </w:p>
    <w:p w:rsidR="008F6A6E" w:rsidRDefault="008F6A6E" w:rsidP="008F6A6E">
      <w:pPr>
        <w:spacing w:after="0"/>
        <w:ind w:left="1440"/>
        <w:rPr>
          <w:szCs w:val="24"/>
        </w:rPr>
      </w:pPr>
      <w:r>
        <w:rPr>
          <w:szCs w:val="24"/>
        </w:rPr>
        <w:t>Action Taken: Met with coordinator of TRIO program.</w:t>
      </w:r>
    </w:p>
    <w:p w:rsidR="00B657E4" w:rsidRPr="008F6A6E" w:rsidRDefault="00B657E4" w:rsidP="00B657E4">
      <w:pPr>
        <w:spacing w:after="0"/>
        <w:ind w:left="1440"/>
        <w:rPr>
          <w:szCs w:val="24"/>
        </w:rPr>
      </w:pPr>
      <w:r>
        <w:rPr>
          <w:szCs w:val="24"/>
        </w:rPr>
        <w:t>Action Plan: Develop recruitment materials; attend recruitment events.</w:t>
      </w:r>
    </w:p>
    <w:p w:rsidR="00B007D4" w:rsidRDefault="00B007D4" w:rsidP="008B50E2">
      <w:pPr>
        <w:pStyle w:val="ListParagraph"/>
        <w:numPr>
          <w:ilvl w:val="0"/>
          <w:numId w:val="3"/>
        </w:numPr>
        <w:spacing w:after="0"/>
        <w:rPr>
          <w:sz w:val="24"/>
          <w:szCs w:val="24"/>
        </w:rPr>
      </w:pPr>
      <w:r w:rsidRPr="00B4355C">
        <w:rPr>
          <w:sz w:val="24"/>
          <w:szCs w:val="24"/>
        </w:rPr>
        <w:t>Recruit for undergraduate and graduate programs through recognized student organizations serving priority populations.</w:t>
      </w:r>
    </w:p>
    <w:p w:rsidR="008F6A6E" w:rsidRDefault="008F6A6E" w:rsidP="008F6A6E">
      <w:pPr>
        <w:pStyle w:val="ListParagraph"/>
        <w:spacing w:after="0"/>
        <w:ind w:left="1440"/>
        <w:rPr>
          <w:sz w:val="24"/>
          <w:szCs w:val="24"/>
        </w:rPr>
      </w:pPr>
      <w:r>
        <w:rPr>
          <w:sz w:val="24"/>
          <w:szCs w:val="24"/>
        </w:rPr>
        <w:t>Action Taken:  Identified salient WKU student organizations.</w:t>
      </w:r>
    </w:p>
    <w:p w:rsidR="008F6A6E" w:rsidRDefault="008F6A6E" w:rsidP="008F6A6E">
      <w:pPr>
        <w:pStyle w:val="ListParagraph"/>
        <w:spacing w:after="0"/>
        <w:ind w:left="1440"/>
        <w:rPr>
          <w:sz w:val="24"/>
          <w:szCs w:val="24"/>
        </w:rPr>
      </w:pPr>
      <w:r>
        <w:rPr>
          <w:sz w:val="24"/>
          <w:szCs w:val="24"/>
        </w:rPr>
        <w:t xml:space="preserve">Action </w:t>
      </w:r>
      <w:r w:rsidR="00C7510C">
        <w:rPr>
          <w:sz w:val="24"/>
          <w:szCs w:val="24"/>
        </w:rPr>
        <w:t>Plan</w:t>
      </w:r>
      <w:r>
        <w:rPr>
          <w:sz w:val="24"/>
          <w:szCs w:val="24"/>
        </w:rPr>
        <w:t xml:space="preserve">: </w:t>
      </w:r>
      <w:r w:rsidR="00C7510C">
        <w:rPr>
          <w:sz w:val="24"/>
          <w:szCs w:val="24"/>
        </w:rPr>
        <w:t>Develop and disseminate</w:t>
      </w:r>
      <w:r>
        <w:rPr>
          <w:sz w:val="24"/>
          <w:szCs w:val="24"/>
        </w:rPr>
        <w:t xml:space="preserve"> group-specific recruiting messages. </w:t>
      </w:r>
    </w:p>
    <w:p w:rsidR="00C1494A" w:rsidRDefault="00C1494A" w:rsidP="008B50E2">
      <w:pPr>
        <w:pStyle w:val="ListParagraph"/>
        <w:numPr>
          <w:ilvl w:val="0"/>
          <w:numId w:val="3"/>
        </w:numPr>
        <w:spacing w:after="0"/>
        <w:rPr>
          <w:sz w:val="24"/>
          <w:szCs w:val="24"/>
        </w:rPr>
      </w:pPr>
      <w:r>
        <w:rPr>
          <w:sz w:val="24"/>
          <w:szCs w:val="24"/>
        </w:rPr>
        <w:t>Identify and address recruitment and retention barriers.</w:t>
      </w:r>
    </w:p>
    <w:p w:rsidR="00C1494A" w:rsidRPr="00C1494A" w:rsidRDefault="00C1494A" w:rsidP="00C1494A">
      <w:pPr>
        <w:pStyle w:val="ListParagraph"/>
        <w:spacing w:after="0"/>
        <w:ind w:left="1440"/>
        <w:rPr>
          <w:sz w:val="24"/>
          <w:szCs w:val="24"/>
        </w:rPr>
      </w:pPr>
      <w:r w:rsidRPr="00C1494A">
        <w:rPr>
          <w:sz w:val="24"/>
          <w:szCs w:val="24"/>
        </w:rPr>
        <w:t xml:space="preserve">Action Taken: </w:t>
      </w:r>
      <w:hyperlink r:id="rId18" w:history="1">
        <w:r w:rsidRPr="00C1494A">
          <w:rPr>
            <w:rStyle w:val="Hyperlink"/>
            <w:sz w:val="24"/>
            <w:szCs w:val="24"/>
          </w:rPr>
          <w:t>PHUGAS Student Government Association resolution</w:t>
        </w:r>
      </w:hyperlink>
      <w:r w:rsidRPr="00C1494A">
        <w:rPr>
          <w:sz w:val="24"/>
          <w:szCs w:val="24"/>
        </w:rPr>
        <w:t xml:space="preserve"> to support international student scholarships for length of academic program. </w:t>
      </w:r>
    </w:p>
    <w:p w:rsidR="00C1494A" w:rsidRDefault="00B657E4" w:rsidP="0088711A">
      <w:pPr>
        <w:pStyle w:val="ListParagraph"/>
        <w:spacing w:after="0"/>
        <w:ind w:left="1440"/>
        <w:rPr>
          <w:sz w:val="24"/>
          <w:szCs w:val="24"/>
        </w:rPr>
      </w:pPr>
      <w:r>
        <w:rPr>
          <w:sz w:val="24"/>
          <w:szCs w:val="24"/>
        </w:rPr>
        <w:lastRenderedPageBreak/>
        <w:t xml:space="preserve">Action Plan: </w:t>
      </w:r>
      <w:r w:rsidR="0088711A">
        <w:rPr>
          <w:sz w:val="24"/>
          <w:szCs w:val="24"/>
        </w:rPr>
        <w:t>Launch orientation survey to assess priority population status not captured by University; examine data to prioritize recruitment strategies.</w:t>
      </w:r>
    </w:p>
    <w:p w:rsidR="00B657E4" w:rsidRPr="00B4355C" w:rsidRDefault="00B657E4" w:rsidP="00C1494A">
      <w:pPr>
        <w:pStyle w:val="ListParagraph"/>
        <w:spacing w:after="0"/>
        <w:rPr>
          <w:sz w:val="24"/>
          <w:szCs w:val="24"/>
        </w:rPr>
      </w:pPr>
    </w:p>
    <w:p w:rsidR="00B007D4" w:rsidRPr="00771371" w:rsidRDefault="00B007D4" w:rsidP="00B007D4">
      <w:pPr>
        <w:spacing w:after="0"/>
        <w:rPr>
          <w:i/>
          <w:szCs w:val="24"/>
        </w:rPr>
      </w:pPr>
      <w:r w:rsidRPr="00771371">
        <w:rPr>
          <w:i/>
          <w:szCs w:val="24"/>
        </w:rPr>
        <w:t>Goal 5: Provide student engagement opportunities for scholarship and service within marginalized and under-represented populations.</w:t>
      </w:r>
    </w:p>
    <w:p w:rsidR="00B007D4" w:rsidRDefault="00B007D4" w:rsidP="008B50E2">
      <w:pPr>
        <w:pStyle w:val="ListParagraph"/>
        <w:numPr>
          <w:ilvl w:val="0"/>
          <w:numId w:val="4"/>
        </w:numPr>
        <w:spacing w:after="0"/>
        <w:rPr>
          <w:sz w:val="24"/>
          <w:szCs w:val="24"/>
        </w:rPr>
      </w:pPr>
      <w:r w:rsidRPr="00B4355C">
        <w:rPr>
          <w:sz w:val="24"/>
          <w:szCs w:val="24"/>
        </w:rPr>
        <w:t>Embed applied practice experiences serving marginalized populations into courses.</w:t>
      </w:r>
    </w:p>
    <w:p w:rsidR="00B657E4" w:rsidRPr="00B546A8" w:rsidRDefault="008F6A6E" w:rsidP="00B546A8">
      <w:pPr>
        <w:pStyle w:val="ListParagraph"/>
        <w:spacing w:after="0"/>
        <w:ind w:left="1440"/>
        <w:rPr>
          <w:sz w:val="24"/>
          <w:szCs w:val="24"/>
        </w:rPr>
      </w:pPr>
      <w:r>
        <w:rPr>
          <w:sz w:val="24"/>
          <w:szCs w:val="24"/>
        </w:rPr>
        <w:t xml:space="preserve">Action Taken: Working </w:t>
      </w:r>
      <w:r w:rsidR="00B657E4">
        <w:rPr>
          <w:sz w:val="24"/>
          <w:szCs w:val="24"/>
        </w:rPr>
        <w:t>with BRDHD to identify projects.</w:t>
      </w:r>
    </w:p>
    <w:p w:rsidR="00B007D4" w:rsidRDefault="00B007D4" w:rsidP="008B50E2">
      <w:pPr>
        <w:pStyle w:val="ListParagraph"/>
        <w:numPr>
          <w:ilvl w:val="0"/>
          <w:numId w:val="4"/>
        </w:numPr>
        <w:spacing w:after="0"/>
        <w:rPr>
          <w:sz w:val="24"/>
          <w:szCs w:val="24"/>
        </w:rPr>
      </w:pPr>
      <w:r w:rsidRPr="00B4355C">
        <w:rPr>
          <w:sz w:val="24"/>
          <w:szCs w:val="24"/>
        </w:rPr>
        <w:t>Promote service/engagement opportunities via program’s social media, calendar, and other communication systems.</w:t>
      </w:r>
    </w:p>
    <w:p w:rsidR="004341DF" w:rsidRDefault="004341DF" w:rsidP="00771371">
      <w:pPr>
        <w:pStyle w:val="ListParagraph"/>
        <w:spacing w:after="0"/>
        <w:ind w:left="1440"/>
        <w:rPr>
          <w:sz w:val="24"/>
          <w:szCs w:val="24"/>
        </w:rPr>
      </w:pPr>
      <w:r>
        <w:rPr>
          <w:sz w:val="24"/>
          <w:szCs w:val="24"/>
        </w:rPr>
        <w:t>Action Taken:  Opportunities announced via social media</w:t>
      </w:r>
      <w:r w:rsidR="008F6A6E">
        <w:rPr>
          <w:sz w:val="24"/>
          <w:szCs w:val="24"/>
        </w:rPr>
        <w:t>.</w:t>
      </w:r>
    </w:p>
    <w:p w:rsidR="00C7510C" w:rsidRPr="00B4355C" w:rsidRDefault="00C7510C" w:rsidP="00771371">
      <w:pPr>
        <w:pStyle w:val="ListParagraph"/>
        <w:spacing w:after="0"/>
        <w:ind w:left="1440"/>
        <w:rPr>
          <w:sz w:val="24"/>
          <w:szCs w:val="24"/>
        </w:rPr>
      </w:pPr>
      <w:r>
        <w:rPr>
          <w:sz w:val="24"/>
          <w:szCs w:val="24"/>
        </w:rPr>
        <w:t xml:space="preserve">Action Plan: Identify staff to </w:t>
      </w:r>
      <w:r w:rsidR="007F020F">
        <w:rPr>
          <w:sz w:val="24"/>
          <w:szCs w:val="24"/>
        </w:rPr>
        <w:t>communicate of opportunities in a timely manner.</w:t>
      </w:r>
    </w:p>
    <w:p w:rsidR="00B007D4" w:rsidRDefault="00B007D4" w:rsidP="008B50E2">
      <w:pPr>
        <w:pStyle w:val="ListParagraph"/>
        <w:numPr>
          <w:ilvl w:val="0"/>
          <w:numId w:val="4"/>
        </w:numPr>
        <w:spacing w:after="0"/>
        <w:rPr>
          <w:sz w:val="24"/>
          <w:szCs w:val="24"/>
        </w:rPr>
      </w:pPr>
      <w:r w:rsidRPr="00B4355C">
        <w:rPr>
          <w:sz w:val="24"/>
          <w:szCs w:val="24"/>
        </w:rPr>
        <w:t>Highlight student research and service to priority populations in CHHS newsletter and program social media.</w:t>
      </w:r>
    </w:p>
    <w:p w:rsidR="004341DF" w:rsidRPr="00B4355C" w:rsidRDefault="004341DF" w:rsidP="00771371">
      <w:pPr>
        <w:pStyle w:val="ListParagraph"/>
        <w:spacing w:after="0"/>
        <w:ind w:left="1440"/>
        <w:rPr>
          <w:sz w:val="24"/>
          <w:szCs w:val="24"/>
        </w:rPr>
      </w:pPr>
      <w:r>
        <w:rPr>
          <w:sz w:val="24"/>
          <w:szCs w:val="24"/>
        </w:rPr>
        <w:t>Action Taken: Photos/synopsis of events posted on social media</w:t>
      </w:r>
      <w:r w:rsidR="008F6A6E">
        <w:rPr>
          <w:sz w:val="24"/>
          <w:szCs w:val="24"/>
        </w:rPr>
        <w:t>.</w:t>
      </w:r>
    </w:p>
    <w:p w:rsidR="00B007D4" w:rsidRPr="00B4355C" w:rsidRDefault="007F020F" w:rsidP="00C7510C">
      <w:pPr>
        <w:ind w:left="1440"/>
        <w:rPr>
          <w:szCs w:val="24"/>
        </w:rPr>
      </w:pPr>
      <w:r>
        <w:rPr>
          <w:szCs w:val="24"/>
        </w:rPr>
        <w:t>Action Plan: Identify staff/graduate assistant to seek and post student submissions.</w:t>
      </w:r>
    </w:p>
    <w:p w:rsidR="000E3566" w:rsidRDefault="000E3566" w:rsidP="00350935">
      <w:pPr>
        <w:spacing w:after="0"/>
        <w:rPr>
          <w:u w:val="single"/>
        </w:rPr>
      </w:pPr>
    </w:p>
    <w:p w:rsidR="00350935" w:rsidRDefault="00CE40A5" w:rsidP="00350935">
      <w:pPr>
        <w:spacing w:after="0"/>
        <w:rPr>
          <w:u w:val="single"/>
        </w:rPr>
      </w:pPr>
      <w:r>
        <w:rPr>
          <w:u w:val="single"/>
        </w:rPr>
        <w:t xml:space="preserve">Diversity </w:t>
      </w:r>
      <w:r w:rsidR="00350935" w:rsidRPr="00350935">
        <w:rPr>
          <w:u w:val="single"/>
        </w:rPr>
        <w:t>Evaluation Plan</w:t>
      </w:r>
    </w:p>
    <w:p w:rsidR="00CE40A5" w:rsidRDefault="00350935" w:rsidP="00350935">
      <w:pPr>
        <w:spacing w:after="0"/>
      </w:pPr>
      <w:r>
        <w:t xml:space="preserve">Process evaluation will be used to monitor actions taken related to our diversity goals, and used to refine or revise strategies and plans as needed. An orientation </w:t>
      </w:r>
      <w:r w:rsidR="00E355DD">
        <w:t xml:space="preserve">survey was developed to capture </w:t>
      </w:r>
      <w:r w:rsidR="006F1BAD">
        <w:t>priority-population data that are</w:t>
      </w:r>
      <w:r w:rsidR="00E355DD">
        <w:t xml:space="preserve"> no</w:t>
      </w:r>
      <w:r w:rsidR="006F1BAD">
        <w:t>t provided in institutional reports</w:t>
      </w:r>
      <w:r w:rsidR="00E355DD">
        <w:t xml:space="preserve">.  Results, along with institutional data, will allow us to track and monitor our efforts to attract students in our priority populations, and adjust strategies as needed.   </w:t>
      </w:r>
    </w:p>
    <w:p w:rsidR="005123CC" w:rsidRDefault="005123CC" w:rsidP="00350935">
      <w:pPr>
        <w:spacing w:after="0"/>
      </w:pPr>
    </w:p>
    <w:p w:rsidR="00CE40A5" w:rsidRPr="00350935" w:rsidRDefault="00CE40A5" w:rsidP="00350935">
      <w:pPr>
        <w:spacing w:after="0"/>
      </w:pPr>
      <w:r>
        <w:t>Additionally</w:t>
      </w:r>
      <w:r w:rsidR="005123CC">
        <w:t>, we will monitor students’ perceptions of culture through items on our student and exit surveys.  Faculty and staff perceptions of culture are captured at the college-level.</w:t>
      </w:r>
      <w:r w:rsidR="000F2AF6">
        <w:t xml:space="preserve"> </w:t>
      </w:r>
    </w:p>
    <w:p w:rsidR="0062756B" w:rsidRDefault="0062756B">
      <w:pPr>
        <w:rPr>
          <w:rFonts w:cs="Arial"/>
          <w:b/>
          <w:color w:val="000000"/>
          <w:szCs w:val="24"/>
        </w:rPr>
      </w:pPr>
      <w:r>
        <w:br w:type="page"/>
      </w:r>
    </w:p>
    <w:p w:rsidR="00507536" w:rsidRPr="00D30B12" w:rsidRDefault="00490BE4" w:rsidP="005327E4">
      <w:pPr>
        <w:pStyle w:val="Heading1"/>
      </w:pPr>
      <w:bookmarkStart w:id="6" w:name="_Toc490316873"/>
      <w:r w:rsidRPr="00D30B12">
        <w:lastRenderedPageBreak/>
        <w:t>F.</w:t>
      </w:r>
      <w:r w:rsidR="00507536" w:rsidRPr="00D30B12">
        <w:t xml:space="preserve"> Developed, disseminated and implemented guidelines for the practical experience that addresses the generalist concentration. (Criterion 2.4)</w:t>
      </w:r>
      <w:bookmarkEnd w:id="6"/>
      <w:r w:rsidR="00507536" w:rsidRPr="00D30B12">
        <w:t xml:space="preserve"> </w:t>
      </w:r>
    </w:p>
    <w:p w:rsidR="00FD1CD0" w:rsidRDefault="00FD1CD0" w:rsidP="00B32EA8">
      <w:pPr>
        <w:pStyle w:val="Default"/>
        <w:rPr>
          <w:rFonts w:asciiTheme="minorHAnsi" w:hAnsiTheme="minorHAnsi"/>
        </w:rPr>
      </w:pPr>
    </w:p>
    <w:p w:rsidR="004A6D62" w:rsidRDefault="00EC17D7" w:rsidP="00B32EA8">
      <w:pPr>
        <w:pStyle w:val="Default"/>
        <w:rPr>
          <w:rFonts w:asciiTheme="minorHAnsi" w:hAnsiTheme="minorHAnsi"/>
        </w:rPr>
      </w:pPr>
      <w:r>
        <w:rPr>
          <w:rFonts w:asciiTheme="minorHAnsi" w:hAnsiTheme="minorHAnsi"/>
        </w:rPr>
        <w:t>Under the 2011 criteria, we operationalized the practical experience as a 280-h</w:t>
      </w:r>
      <w:r w:rsidR="000E5383">
        <w:rPr>
          <w:rFonts w:asciiTheme="minorHAnsi" w:hAnsiTheme="minorHAnsi"/>
        </w:rPr>
        <w:t>our competency-based internship</w:t>
      </w:r>
      <w:r>
        <w:rPr>
          <w:rFonts w:asciiTheme="minorHAnsi" w:hAnsiTheme="minorHAnsi"/>
        </w:rPr>
        <w:t xml:space="preserve"> for all MPH students, regardless of concentratio</w:t>
      </w:r>
      <w:r w:rsidR="001668F0">
        <w:rPr>
          <w:rFonts w:asciiTheme="minorHAnsi" w:hAnsiTheme="minorHAnsi"/>
        </w:rPr>
        <w:t>n.  During our site visit</w:t>
      </w:r>
      <w:r w:rsidR="004A6D62">
        <w:rPr>
          <w:rFonts w:asciiTheme="minorHAnsi" w:hAnsiTheme="minorHAnsi"/>
        </w:rPr>
        <w:t xml:space="preserve"> in March 2016</w:t>
      </w:r>
      <w:r w:rsidR="001668F0">
        <w:rPr>
          <w:rFonts w:asciiTheme="minorHAnsi" w:hAnsiTheme="minorHAnsi"/>
        </w:rPr>
        <w:t xml:space="preserve">, the internship manuals did not specifically address </w:t>
      </w:r>
      <w:r w:rsidR="0098682C">
        <w:rPr>
          <w:rFonts w:asciiTheme="minorHAnsi" w:hAnsiTheme="minorHAnsi"/>
        </w:rPr>
        <w:t>the generalist concentration as</w:t>
      </w:r>
      <w:r w:rsidR="001668F0">
        <w:rPr>
          <w:rFonts w:asciiTheme="minorHAnsi" w:hAnsiTheme="minorHAnsi"/>
        </w:rPr>
        <w:t xml:space="preserve"> </w:t>
      </w:r>
      <w:r w:rsidR="0098682C">
        <w:rPr>
          <w:rFonts w:asciiTheme="minorHAnsi" w:hAnsiTheme="minorHAnsi"/>
        </w:rPr>
        <w:t>we</w:t>
      </w:r>
      <w:r w:rsidR="004A6D62">
        <w:rPr>
          <w:rFonts w:asciiTheme="minorHAnsi" w:hAnsiTheme="minorHAnsi"/>
        </w:rPr>
        <w:t xml:space="preserve"> had only admitted our first three </w:t>
      </w:r>
      <w:r w:rsidR="001668F0">
        <w:rPr>
          <w:rFonts w:asciiTheme="minorHAnsi" w:hAnsiTheme="minorHAnsi"/>
        </w:rPr>
        <w:t>genera</w:t>
      </w:r>
      <w:r w:rsidR="001073E4">
        <w:rPr>
          <w:rFonts w:asciiTheme="minorHAnsi" w:hAnsiTheme="minorHAnsi"/>
        </w:rPr>
        <w:t>list-concentration students</w:t>
      </w:r>
      <w:r w:rsidR="004A6D62">
        <w:rPr>
          <w:rFonts w:asciiTheme="minorHAnsi" w:hAnsiTheme="minorHAnsi"/>
        </w:rPr>
        <w:t xml:space="preserve"> during the p</w:t>
      </w:r>
      <w:r w:rsidR="0025392F">
        <w:rPr>
          <w:rFonts w:asciiTheme="minorHAnsi" w:hAnsiTheme="minorHAnsi"/>
        </w:rPr>
        <w:t xml:space="preserve">revious semester; </w:t>
      </w:r>
      <w:r w:rsidR="0098682C">
        <w:rPr>
          <w:rFonts w:asciiTheme="minorHAnsi" w:hAnsiTheme="minorHAnsi"/>
        </w:rPr>
        <w:t>p</w:t>
      </w:r>
      <w:r w:rsidR="00734E4D">
        <w:rPr>
          <w:rFonts w:asciiTheme="minorHAnsi" w:hAnsiTheme="minorHAnsi"/>
        </w:rPr>
        <w:t>er program requirements</w:t>
      </w:r>
      <w:r w:rsidR="004A6D62">
        <w:rPr>
          <w:rFonts w:asciiTheme="minorHAnsi" w:hAnsiTheme="minorHAnsi"/>
        </w:rPr>
        <w:t xml:space="preserve">, internships </w:t>
      </w:r>
      <w:r w:rsidR="001C087F">
        <w:rPr>
          <w:rFonts w:asciiTheme="minorHAnsi" w:hAnsiTheme="minorHAnsi"/>
        </w:rPr>
        <w:t xml:space="preserve">are </w:t>
      </w:r>
      <w:r w:rsidR="00734E4D">
        <w:rPr>
          <w:rFonts w:asciiTheme="minorHAnsi" w:hAnsiTheme="minorHAnsi"/>
        </w:rPr>
        <w:t xml:space="preserve">typically </w:t>
      </w:r>
      <w:r w:rsidR="001C087F">
        <w:rPr>
          <w:rFonts w:asciiTheme="minorHAnsi" w:hAnsiTheme="minorHAnsi"/>
        </w:rPr>
        <w:t>completed during the final</w:t>
      </w:r>
      <w:r w:rsidR="004A6D62">
        <w:rPr>
          <w:rFonts w:asciiTheme="minorHAnsi" w:hAnsiTheme="minorHAnsi"/>
        </w:rPr>
        <w:t xml:space="preserve"> </w:t>
      </w:r>
      <w:r w:rsidR="00734E4D">
        <w:rPr>
          <w:rFonts w:asciiTheme="minorHAnsi" w:hAnsiTheme="minorHAnsi"/>
        </w:rPr>
        <w:t>semester of study</w:t>
      </w:r>
      <w:r w:rsidR="00B60C0A">
        <w:rPr>
          <w:rFonts w:asciiTheme="minorHAnsi" w:hAnsiTheme="minorHAnsi"/>
        </w:rPr>
        <w:t xml:space="preserve">, </w:t>
      </w:r>
      <w:r w:rsidR="0023278B">
        <w:rPr>
          <w:rFonts w:asciiTheme="minorHAnsi" w:hAnsiTheme="minorHAnsi"/>
        </w:rPr>
        <w:t>or after</w:t>
      </w:r>
      <w:r w:rsidR="00346E2B">
        <w:rPr>
          <w:rFonts w:asciiTheme="minorHAnsi" w:hAnsiTheme="minorHAnsi"/>
        </w:rPr>
        <w:t xml:space="preserve"> completing </w:t>
      </w:r>
      <w:r w:rsidR="00B60C0A">
        <w:rPr>
          <w:rFonts w:asciiTheme="minorHAnsi" w:hAnsiTheme="minorHAnsi"/>
        </w:rPr>
        <w:t xml:space="preserve">at least 30 credit-hours </w:t>
      </w:r>
      <w:r w:rsidR="00346E2B">
        <w:rPr>
          <w:rFonts w:asciiTheme="minorHAnsi" w:hAnsiTheme="minorHAnsi"/>
        </w:rPr>
        <w:t xml:space="preserve">of </w:t>
      </w:r>
      <w:r w:rsidR="0023278B">
        <w:rPr>
          <w:rFonts w:asciiTheme="minorHAnsi" w:hAnsiTheme="minorHAnsi"/>
        </w:rPr>
        <w:t xml:space="preserve">MPH </w:t>
      </w:r>
      <w:r w:rsidR="00346E2B">
        <w:rPr>
          <w:rFonts w:asciiTheme="minorHAnsi" w:hAnsiTheme="minorHAnsi"/>
        </w:rPr>
        <w:t>coursework.</w:t>
      </w:r>
    </w:p>
    <w:p w:rsidR="00346E2B" w:rsidRDefault="00346E2B" w:rsidP="00B32EA8">
      <w:pPr>
        <w:pStyle w:val="Default"/>
        <w:rPr>
          <w:rFonts w:asciiTheme="minorHAnsi" w:hAnsiTheme="minorHAnsi"/>
        </w:rPr>
      </w:pPr>
    </w:p>
    <w:p w:rsidR="00F006A9" w:rsidRDefault="001C087F" w:rsidP="00B32EA8">
      <w:pPr>
        <w:pStyle w:val="Default"/>
        <w:rPr>
          <w:rFonts w:asciiTheme="minorHAnsi" w:hAnsiTheme="minorHAnsi"/>
        </w:rPr>
      </w:pPr>
      <w:r>
        <w:rPr>
          <w:rFonts w:asciiTheme="minorHAnsi" w:hAnsiTheme="minorHAnsi"/>
        </w:rPr>
        <w:t xml:space="preserve">In January 2017, </w:t>
      </w:r>
      <w:r w:rsidR="00123719">
        <w:rPr>
          <w:rFonts w:asciiTheme="minorHAnsi" w:hAnsiTheme="minorHAnsi"/>
        </w:rPr>
        <w:t xml:space="preserve">18 </w:t>
      </w:r>
      <w:r>
        <w:rPr>
          <w:rFonts w:asciiTheme="minorHAnsi" w:hAnsiTheme="minorHAnsi"/>
        </w:rPr>
        <w:t xml:space="preserve">students were enrolled in the MPH </w:t>
      </w:r>
      <w:r w:rsidR="00123719">
        <w:rPr>
          <w:rFonts w:asciiTheme="minorHAnsi" w:hAnsiTheme="minorHAnsi"/>
        </w:rPr>
        <w:t xml:space="preserve">generalist </w:t>
      </w:r>
      <w:r w:rsidR="00734E4D">
        <w:rPr>
          <w:rFonts w:asciiTheme="minorHAnsi" w:hAnsiTheme="minorHAnsi"/>
        </w:rPr>
        <w:t xml:space="preserve">concentration. As shown in </w:t>
      </w:r>
      <w:r w:rsidR="0098682C">
        <w:rPr>
          <w:rFonts w:asciiTheme="minorHAnsi" w:hAnsiTheme="minorHAnsi"/>
        </w:rPr>
        <w:t>the table below,</w:t>
      </w:r>
      <w:r w:rsidR="00734E4D">
        <w:rPr>
          <w:rFonts w:asciiTheme="minorHAnsi" w:hAnsiTheme="minorHAnsi"/>
        </w:rPr>
        <w:t xml:space="preserve"> none of these students were eligible for internship based on credit-hours earned.  </w:t>
      </w:r>
    </w:p>
    <w:p w:rsidR="00F006A9" w:rsidRPr="00625C74" w:rsidRDefault="00F006A9" w:rsidP="00B32EA8">
      <w:pPr>
        <w:pStyle w:val="Default"/>
        <w:rPr>
          <w:rFonts w:asciiTheme="minorHAnsi" w:hAnsiTheme="minorHAnsi"/>
        </w:rPr>
      </w:pPr>
    </w:p>
    <w:p w:rsidR="00507536" w:rsidRPr="00A01D2D" w:rsidRDefault="00EC17D7" w:rsidP="00A01D2D">
      <w:pPr>
        <w:pStyle w:val="Default"/>
        <w:spacing w:after="40"/>
        <w:ind w:firstLine="720"/>
        <w:rPr>
          <w:rFonts w:asciiTheme="minorHAnsi" w:hAnsiTheme="minorHAnsi"/>
          <w:i/>
        </w:rPr>
      </w:pPr>
      <w:r w:rsidRPr="00A01D2D">
        <w:rPr>
          <w:rFonts w:asciiTheme="minorHAnsi" w:hAnsiTheme="minorHAnsi"/>
          <w:i/>
        </w:rPr>
        <w:t xml:space="preserve">Cumulative credit-hours earned by </w:t>
      </w:r>
      <w:r w:rsidR="0098682C">
        <w:rPr>
          <w:rFonts w:asciiTheme="minorHAnsi" w:hAnsiTheme="minorHAnsi"/>
          <w:i/>
        </w:rPr>
        <w:t xml:space="preserve">Generalist MPH students, </w:t>
      </w:r>
      <w:r w:rsidRPr="00A01D2D">
        <w:rPr>
          <w:rFonts w:asciiTheme="minorHAnsi" w:hAnsiTheme="minorHAnsi"/>
          <w:i/>
        </w:rPr>
        <w:t>January 2017</w:t>
      </w:r>
    </w:p>
    <w:tbl>
      <w:tblPr>
        <w:tblStyle w:val="TableGrid"/>
        <w:tblW w:w="0" w:type="auto"/>
        <w:tblInd w:w="8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64"/>
      </w:tblGrid>
      <w:tr w:rsidR="003F109D" w:rsidTr="00A01D2D">
        <w:tc>
          <w:tcPr>
            <w:tcW w:w="2472" w:type="dxa"/>
            <w:tcBorders>
              <w:top w:val="single" w:sz="4" w:space="0" w:color="auto"/>
              <w:bottom w:val="single" w:sz="4" w:space="0" w:color="auto"/>
            </w:tcBorders>
          </w:tcPr>
          <w:p w:rsidR="003F109D" w:rsidRDefault="00A01D2D" w:rsidP="00253763">
            <w:pPr>
              <w:pStyle w:val="Default"/>
              <w:spacing w:after="43"/>
              <w:rPr>
                <w:rFonts w:asciiTheme="minorHAnsi" w:hAnsiTheme="minorHAnsi"/>
              </w:rPr>
            </w:pPr>
            <w:r>
              <w:rPr>
                <w:rFonts w:asciiTheme="minorHAnsi" w:hAnsiTheme="minorHAnsi"/>
              </w:rPr>
              <w:t>Credit-</w:t>
            </w:r>
            <w:r w:rsidR="00EC17D7">
              <w:rPr>
                <w:rFonts w:asciiTheme="minorHAnsi" w:hAnsiTheme="minorHAnsi"/>
              </w:rPr>
              <w:t xml:space="preserve">Hours </w:t>
            </w:r>
          </w:p>
        </w:tc>
        <w:tc>
          <w:tcPr>
            <w:tcW w:w="2464" w:type="dxa"/>
            <w:tcBorders>
              <w:top w:val="single" w:sz="4" w:space="0" w:color="auto"/>
              <w:bottom w:val="single" w:sz="4" w:space="0" w:color="auto"/>
            </w:tcBorders>
          </w:tcPr>
          <w:p w:rsidR="003F109D" w:rsidRDefault="003F109D" w:rsidP="00253763">
            <w:pPr>
              <w:pStyle w:val="Default"/>
              <w:spacing w:after="43"/>
              <w:rPr>
                <w:rFonts w:asciiTheme="minorHAnsi" w:hAnsiTheme="minorHAnsi"/>
              </w:rPr>
            </w:pPr>
            <w:r>
              <w:rPr>
                <w:rFonts w:asciiTheme="minorHAnsi" w:hAnsiTheme="minorHAnsi"/>
              </w:rPr>
              <w:t>Number of Students</w:t>
            </w:r>
          </w:p>
        </w:tc>
      </w:tr>
      <w:tr w:rsidR="003F109D" w:rsidTr="00A01D2D">
        <w:tc>
          <w:tcPr>
            <w:tcW w:w="2472" w:type="dxa"/>
            <w:tcBorders>
              <w:top w:val="single" w:sz="4" w:space="0" w:color="auto"/>
            </w:tcBorders>
          </w:tcPr>
          <w:p w:rsidR="003F109D" w:rsidRDefault="003F109D" w:rsidP="00A01D2D">
            <w:pPr>
              <w:pStyle w:val="Default"/>
              <w:spacing w:after="43"/>
              <w:jc w:val="center"/>
              <w:rPr>
                <w:rFonts w:asciiTheme="minorHAnsi" w:hAnsiTheme="minorHAnsi"/>
              </w:rPr>
            </w:pPr>
            <w:r>
              <w:rPr>
                <w:rFonts w:asciiTheme="minorHAnsi" w:hAnsiTheme="minorHAnsi"/>
              </w:rPr>
              <w:t>0 - 6</w:t>
            </w:r>
          </w:p>
        </w:tc>
        <w:tc>
          <w:tcPr>
            <w:tcW w:w="2464" w:type="dxa"/>
            <w:tcBorders>
              <w:top w:val="single" w:sz="4" w:space="0" w:color="auto"/>
            </w:tcBorders>
          </w:tcPr>
          <w:p w:rsidR="003F109D" w:rsidRDefault="003F109D" w:rsidP="00A01D2D">
            <w:pPr>
              <w:pStyle w:val="Default"/>
              <w:spacing w:after="43"/>
              <w:jc w:val="center"/>
              <w:rPr>
                <w:rFonts w:asciiTheme="minorHAnsi" w:hAnsiTheme="minorHAnsi"/>
              </w:rPr>
            </w:pPr>
            <w:r>
              <w:rPr>
                <w:rFonts w:asciiTheme="minorHAnsi" w:hAnsiTheme="minorHAnsi"/>
              </w:rPr>
              <w:t>8</w:t>
            </w:r>
          </w:p>
        </w:tc>
      </w:tr>
      <w:tr w:rsidR="003F109D" w:rsidTr="00A01D2D">
        <w:tc>
          <w:tcPr>
            <w:tcW w:w="2472" w:type="dxa"/>
          </w:tcPr>
          <w:p w:rsidR="003F109D" w:rsidRDefault="003F109D" w:rsidP="00A01D2D">
            <w:pPr>
              <w:pStyle w:val="Default"/>
              <w:spacing w:after="43"/>
              <w:jc w:val="center"/>
              <w:rPr>
                <w:rFonts w:asciiTheme="minorHAnsi" w:hAnsiTheme="minorHAnsi"/>
              </w:rPr>
            </w:pPr>
            <w:r>
              <w:rPr>
                <w:rFonts w:asciiTheme="minorHAnsi" w:hAnsiTheme="minorHAnsi"/>
              </w:rPr>
              <w:t>9 - 12</w:t>
            </w:r>
          </w:p>
        </w:tc>
        <w:tc>
          <w:tcPr>
            <w:tcW w:w="2464" w:type="dxa"/>
          </w:tcPr>
          <w:p w:rsidR="003F109D" w:rsidRDefault="003F109D" w:rsidP="00A01D2D">
            <w:pPr>
              <w:pStyle w:val="Default"/>
              <w:spacing w:after="43"/>
              <w:jc w:val="center"/>
              <w:rPr>
                <w:rFonts w:asciiTheme="minorHAnsi" w:hAnsiTheme="minorHAnsi"/>
              </w:rPr>
            </w:pPr>
            <w:r>
              <w:rPr>
                <w:rFonts w:asciiTheme="minorHAnsi" w:hAnsiTheme="minorHAnsi"/>
              </w:rPr>
              <w:t>7</w:t>
            </w:r>
          </w:p>
        </w:tc>
      </w:tr>
      <w:tr w:rsidR="003F109D" w:rsidTr="00A01D2D">
        <w:tc>
          <w:tcPr>
            <w:tcW w:w="2472" w:type="dxa"/>
          </w:tcPr>
          <w:p w:rsidR="003F109D" w:rsidRDefault="003F109D" w:rsidP="00A01D2D">
            <w:pPr>
              <w:pStyle w:val="Default"/>
              <w:spacing w:after="43"/>
              <w:jc w:val="center"/>
              <w:rPr>
                <w:rFonts w:asciiTheme="minorHAnsi" w:hAnsiTheme="minorHAnsi"/>
              </w:rPr>
            </w:pPr>
            <w:r>
              <w:rPr>
                <w:rFonts w:asciiTheme="minorHAnsi" w:hAnsiTheme="minorHAnsi"/>
              </w:rPr>
              <w:t>15 - 18</w:t>
            </w:r>
          </w:p>
        </w:tc>
        <w:tc>
          <w:tcPr>
            <w:tcW w:w="2464" w:type="dxa"/>
          </w:tcPr>
          <w:p w:rsidR="003F109D" w:rsidRDefault="003F109D" w:rsidP="00A01D2D">
            <w:pPr>
              <w:pStyle w:val="Default"/>
              <w:spacing w:after="43"/>
              <w:jc w:val="center"/>
              <w:rPr>
                <w:rFonts w:asciiTheme="minorHAnsi" w:hAnsiTheme="minorHAnsi"/>
              </w:rPr>
            </w:pPr>
            <w:r>
              <w:rPr>
                <w:rFonts w:asciiTheme="minorHAnsi" w:hAnsiTheme="minorHAnsi"/>
              </w:rPr>
              <w:t>1</w:t>
            </w:r>
          </w:p>
        </w:tc>
      </w:tr>
      <w:tr w:rsidR="003F109D" w:rsidTr="00A01D2D">
        <w:tc>
          <w:tcPr>
            <w:tcW w:w="2472" w:type="dxa"/>
          </w:tcPr>
          <w:p w:rsidR="003F109D" w:rsidRDefault="003F109D" w:rsidP="00A01D2D">
            <w:pPr>
              <w:pStyle w:val="Default"/>
              <w:spacing w:after="43"/>
              <w:jc w:val="center"/>
              <w:rPr>
                <w:rFonts w:asciiTheme="minorHAnsi" w:hAnsiTheme="minorHAnsi"/>
              </w:rPr>
            </w:pPr>
            <w:r>
              <w:rPr>
                <w:rFonts w:asciiTheme="minorHAnsi" w:hAnsiTheme="minorHAnsi"/>
              </w:rPr>
              <w:t>21 - 24</w:t>
            </w:r>
          </w:p>
        </w:tc>
        <w:tc>
          <w:tcPr>
            <w:tcW w:w="2464" w:type="dxa"/>
          </w:tcPr>
          <w:p w:rsidR="003F109D" w:rsidRDefault="003F109D" w:rsidP="00A01D2D">
            <w:pPr>
              <w:pStyle w:val="Default"/>
              <w:spacing w:after="43"/>
              <w:jc w:val="center"/>
              <w:rPr>
                <w:rFonts w:asciiTheme="minorHAnsi" w:hAnsiTheme="minorHAnsi"/>
              </w:rPr>
            </w:pPr>
            <w:r>
              <w:rPr>
                <w:rFonts w:asciiTheme="minorHAnsi" w:hAnsiTheme="minorHAnsi"/>
              </w:rPr>
              <w:t>2</w:t>
            </w:r>
          </w:p>
        </w:tc>
      </w:tr>
      <w:tr w:rsidR="003F109D" w:rsidTr="00A01D2D">
        <w:tc>
          <w:tcPr>
            <w:tcW w:w="2472" w:type="dxa"/>
          </w:tcPr>
          <w:p w:rsidR="003F109D" w:rsidRDefault="003F109D" w:rsidP="00A01D2D">
            <w:pPr>
              <w:pStyle w:val="Default"/>
              <w:spacing w:after="43"/>
              <w:jc w:val="center"/>
              <w:rPr>
                <w:rFonts w:asciiTheme="minorHAnsi" w:hAnsiTheme="minorHAnsi"/>
              </w:rPr>
            </w:pPr>
            <w:r>
              <w:rPr>
                <w:rFonts w:asciiTheme="minorHAnsi" w:hAnsiTheme="minorHAnsi"/>
              </w:rPr>
              <w:t>27+</w:t>
            </w:r>
          </w:p>
        </w:tc>
        <w:tc>
          <w:tcPr>
            <w:tcW w:w="2464" w:type="dxa"/>
          </w:tcPr>
          <w:p w:rsidR="003F109D" w:rsidRDefault="003F109D" w:rsidP="00A01D2D">
            <w:pPr>
              <w:pStyle w:val="Default"/>
              <w:spacing w:after="43"/>
              <w:jc w:val="center"/>
              <w:rPr>
                <w:rFonts w:asciiTheme="minorHAnsi" w:hAnsiTheme="minorHAnsi"/>
              </w:rPr>
            </w:pPr>
            <w:r>
              <w:rPr>
                <w:rFonts w:asciiTheme="minorHAnsi" w:hAnsiTheme="minorHAnsi"/>
              </w:rPr>
              <w:t>0</w:t>
            </w:r>
          </w:p>
        </w:tc>
      </w:tr>
    </w:tbl>
    <w:p w:rsidR="00507536" w:rsidRDefault="00507536" w:rsidP="00507536">
      <w:pPr>
        <w:pStyle w:val="Default"/>
        <w:spacing w:after="40"/>
        <w:rPr>
          <w:rFonts w:asciiTheme="minorHAnsi" w:hAnsiTheme="minorHAnsi"/>
        </w:rPr>
      </w:pPr>
    </w:p>
    <w:p w:rsidR="002400C4" w:rsidRDefault="0025392F" w:rsidP="00774DE8">
      <w:pPr>
        <w:pStyle w:val="Default"/>
        <w:rPr>
          <w:rFonts w:asciiTheme="minorHAnsi" w:hAnsiTheme="minorHAnsi"/>
        </w:rPr>
      </w:pPr>
      <w:r>
        <w:rPr>
          <w:rFonts w:asciiTheme="minorHAnsi" w:hAnsiTheme="minorHAnsi"/>
        </w:rPr>
        <w:t>When the 2016 C</w:t>
      </w:r>
      <w:r w:rsidR="00123719">
        <w:rPr>
          <w:rFonts w:asciiTheme="minorHAnsi" w:hAnsiTheme="minorHAnsi"/>
        </w:rPr>
        <w:t xml:space="preserve">riteria launched, we </w:t>
      </w:r>
      <w:r w:rsidR="00734E4D">
        <w:rPr>
          <w:rFonts w:asciiTheme="minorHAnsi" w:hAnsiTheme="minorHAnsi"/>
        </w:rPr>
        <w:t>made significan</w:t>
      </w:r>
      <w:r w:rsidR="00497DAB">
        <w:rPr>
          <w:rFonts w:asciiTheme="minorHAnsi" w:hAnsiTheme="minorHAnsi"/>
        </w:rPr>
        <w:t>t revisions to the MPH program, including phasing out</w:t>
      </w:r>
      <w:r w:rsidR="00EC2120">
        <w:rPr>
          <w:rFonts w:asciiTheme="minorHAnsi" w:hAnsiTheme="minorHAnsi"/>
        </w:rPr>
        <w:t xml:space="preserve"> the health education and environmental health concentrations</w:t>
      </w:r>
      <w:r>
        <w:rPr>
          <w:rFonts w:asciiTheme="minorHAnsi" w:hAnsiTheme="minorHAnsi"/>
        </w:rPr>
        <w:t>,</w:t>
      </w:r>
      <w:r w:rsidR="00EC2120">
        <w:rPr>
          <w:rFonts w:asciiTheme="minorHAnsi" w:hAnsiTheme="minorHAnsi"/>
        </w:rPr>
        <w:t xml:space="preserve"> and the </w:t>
      </w:r>
      <w:r w:rsidR="00497DAB" w:rsidRPr="004F2E8C">
        <w:rPr>
          <w:rFonts w:asciiTheme="minorHAnsi" w:hAnsiTheme="minorHAnsi"/>
          <w:i/>
        </w:rPr>
        <w:t>required</w:t>
      </w:r>
      <w:r w:rsidR="00497DAB">
        <w:rPr>
          <w:rFonts w:asciiTheme="minorHAnsi" w:hAnsiTheme="minorHAnsi"/>
        </w:rPr>
        <w:t xml:space="preserve"> internship.  P</w:t>
      </w:r>
      <w:r w:rsidR="00123719">
        <w:rPr>
          <w:rFonts w:asciiTheme="minorHAnsi" w:hAnsiTheme="minorHAnsi"/>
        </w:rPr>
        <w:t>er University policy, whe</w:t>
      </w:r>
      <w:r w:rsidR="000E5383">
        <w:rPr>
          <w:rFonts w:asciiTheme="minorHAnsi" w:hAnsiTheme="minorHAnsi"/>
        </w:rPr>
        <w:t>n a program changes its requirements</w:t>
      </w:r>
      <w:r w:rsidR="00123719">
        <w:rPr>
          <w:rFonts w:asciiTheme="minorHAnsi" w:hAnsiTheme="minorHAnsi"/>
        </w:rPr>
        <w:t xml:space="preserve">, all students must be provided the opportunity to transition to the revised </w:t>
      </w:r>
      <w:r w:rsidR="00497DAB">
        <w:rPr>
          <w:rFonts w:asciiTheme="minorHAnsi" w:hAnsiTheme="minorHAnsi"/>
        </w:rPr>
        <w:t xml:space="preserve">program. </w:t>
      </w:r>
      <w:r w:rsidR="000E5383">
        <w:rPr>
          <w:rFonts w:asciiTheme="minorHAnsi" w:hAnsiTheme="minorHAnsi"/>
        </w:rPr>
        <w:t>Program changes were communicated broadly, and m</w:t>
      </w:r>
      <w:r w:rsidR="00EC2120">
        <w:rPr>
          <w:rFonts w:asciiTheme="minorHAnsi" w:hAnsiTheme="minorHAnsi"/>
        </w:rPr>
        <w:t>ost generalist students opted to transition t</w:t>
      </w:r>
      <w:r w:rsidR="00676B55">
        <w:rPr>
          <w:rFonts w:asciiTheme="minorHAnsi" w:hAnsiTheme="minorHAnsi"/>
        </w:rPr>
        <w:t xml:space="preserve">o the revised </w:t>
      </w:r>
      <w:r w:rsidR="002400C4">
        <w:rPr>
          <w:rFonts w:asciiTheme="minorHAnsi" w:hAnsiTheme="minorHAnsi"/>
        </w:rPr>
        <w:t xml:space="preserve">program (15; 83%). </w:t>
      </w:r>
      <w:r w:rsidR="00420520">
        <w:rPr>
          <w:rFonts w:asciiTheme="minorHAnsi" w:hAnsiTheme="minorHAnsi"/>
        </w:rPr>
        <w:t xml:space="preserve">The three generalist students who </w:t>
      </w:r>
      <w:r w:rsidR="000E5383">
        <w:rPr>
          <w:rFonts w:asciiTheme="minorHAnsi" w:hAnsiTheme="minorHAnsi"/>
        </w:rPr>
        <w:t>did not opt</w:t>
      </w:r>
      <w:r w:rsidR="00420520">
        <w:rPr>
          <w:rFonts w:asciiTheme="minorHAnsi" w:hAnsiTheme="minorHAnsi"/>
        </w:rPr>
        <w:t xml:space="preserve"> to transition</w:t>
      </w:r>
      <w:r w:rsidR="002400C4">
        <w:rPr>
          <w:rFonts w:asciiTheme="minorHAnsi" w:hAnsiTheme="minorHAnsi"/>
        </w:rPr>
        <w:t xml:space="preserve"> will be required to complete a</w:t>
      </w:r>
      <w:r w:rsidR="00420520">
        <w:rPr>
          <w:rFonts w:asciiTheme="minorHAnsi" w:hAnsiTheme="minorHAnsi"/>
        </w:rPr>
        <w:t xml:space="preserve"> 280-hour internship. </w:t>
      </w:r>
    </w:p>
    <w:p w:rsidR="002400C4" w:rsidRDefault="002400C4" w:rsidP="00774DE8">
      <w:pPr>
        <w:pStyle w:val="Default"/>
        <w:rPr>
          <w:rFonts w:asciiTheme="minorHAnsi" w:hAnsiTheme="minorHAnsi"/>
        </w:rPr>
      </w:pPr>
    </w:p>
    <w:p w:rsidR="000E5383" w:rsidRPr="000E5383" w:rsidRDefault="000E5383" w:rsidP="00774DE8">
      <w:pPr>
        <w:pStyle w:val="Default"/>
        <w:rPr>
          <w:rFonts w:asciiTheme="minorHAnsi" w:hAnsiTheme="minorHAnsi"/>
          <w:u w:val="single"/>
        </w:rPr>
      </w:pPr>
      <w:r w:rsidRPr="000E5383">
        <w:rPr>
          <w:rFonts w:asciiTheme="minorHAnsi" w:hAnsiTheme="minorHAnsi"/>
          <w:u w:val="single"/>
        </w:rPr>
        <w:t xml:space="preserve">Revised Internship </w:t>
      </w:r>
      <w:r>
        <w:rPr>
          <w:rFonts w:asciiTheme="minorHAnsi" w:hAnsiTheme="minorHAnsi"/>
          <w:u w:val="single"/>
        </w:rPr>
        <w:t>Materials</w:t>
      </w:r>
    </w:p>
    <w:p w:rsidR="00C4342E" w:rsidRDefault="00C83FB3" w:rsidP="00774DE8">
      <w:pPr>
        <w:pStyle w:val="Default"/>
        <w:rPr>
          <w:rFonts w:asciiTheme="minorHAnsi" w:hAnsiTheme="minorHAnsi"/>
        </w:rPr>
      </w:pPr>
      <w:r>
        <w:rPr>
          <w:rFonts w:asciiTheme="minorHAnsi" w:hAnsiTheme="minorHAnsi"/>
        </w:rPr>
        <w:t>B</w:t>
      </w:r>
      <w:r w:rsidR="00EC2120">
        <w:rPr>
          <w:rFonts w:asciiTheme="minorHAnsi" w:hAnsiTheme="minorHAnsi"/>
        </w:rPr>
        <w:t>ased on stude</w:t>
      </w:r>
      <w:r w:rsidR="000E5383">
        <w:rPr>
          <w:rFonts w:asciiTheme="minorHAnsi" w:hAnsiTheme="minorHAnsi"/>
        </w:rPr>
        <w:t>nt and preceptor feedback, i</w:t>
      </w:r>
      <w:r w:rsidR="00EC2120">
        <w:rPr>
          <w:rFonts w:asciiTheme="minorHAnsi" w:hAnsiTheme="minorHAnsi"/>
        </w:rPr>
        <w:t xml:space="preserve">nternship </w:t>
      </w:r>
      <w:r w:rsidR="000E5383">
        <w:rPr>
          <w:rFonts w:asciiTheme="minorHAnsi" w:hAnsiTheme="minorHAnsi"/>
        </w:rPr>
        <w:t>materials</w:t>
      </w:r>
      <w:r w:rsidR="00295881">
        <w:rPr>
          <w:rFonts w:asciiTheme="minorHAnsi" w:hAnsiTheme="minorHAnsi"/>
        </w:rPr>
        <w:t xml:space="preserve"> </w:t>
      </w:r>
      <w:r w:rsidR="00BC626D">
        <w:rPr>
          <w:rFonts w:asciiTheme="minorHAnsi" w:hAnsiTheme="minorHAnsi"/>
        </w:rPr>
        <w:t xml:space="preserve">were </w:t>
      </w:r>
      <w:r w:rsidR="00295881">
        <w:rPr>
          <w:rFonts w:asciiTheme="minorHAnsi" w:hAnsiTheme="minorHAnsi"/>
        </w:rPr>
        <w:t>revised substantially</w:t>
      </w:r>
      <w:r w:rsidR="00872D04">
        <w:rPr>
          <w:rFonts w:asciiTheme="minorHAnsi" w:hAnsiTheme="minorHAnsi"/>
        </w:rPr>
        <w:t xml:space="preserve"> for all students</w:t>
      </w:r>
      <w:r w:rsidR="00E2703F">
        <w:rPr>
          <w:rFonts w:asciiTheme="minorHAnsi" w:hAnsiTheme="minorHAnsi"/>
        </w:rPr>
        <w:t xml:space="preserve">, </w:t>
      </w:r>
      <w:r w:rsidR="00295881">
        <w:rPr>
          <w:rFonts w:asciiTheme="minorHAnsi" w:hAnsiTheme="minorHAnsi"/>
        </w:rPr>
        <w:t xml:space="preserve">and </w:t>
      </w:r>
      <w:r w:rsidR="00872D04">
        <w:rPr>
          <w:rFonts w:asciiTheme="minorHAnsi" w:hAnsiTheme="minorHAnsi"/>
        </w:rPr>
        <w:t xml:space="preserve">now </w:t>
      </w:r>
      <w:r w:rsidR="0025392F">
        <w:rPr>
          <w:rFonts w:asciiTheme="minorHAnsi" w:hAnsiTheme="minorHAnsi"/>
        </w:rPr>
        <w:t>align</w:t>
      </w:r>
      <w:r w:rsidR="00295881">
        <w:rPr>
          <w:rFonts w:asciiTheme="minorHAnsi" w:hAnsiTheme="minorHAnsi"/>
        </w:rPr>
        <w:t xml:space="preserve"> with the foundational</w:t>
      </w:r>
      <w:r w:rsidR="004F2E8C">
        <w:rPr>
          <w:rFonts w:asciiTheme="minorHAnsi" w:hAnsiTheme="minorHAnsi"/>
        </w:rPr>
        <w:t xml:space="preserve"> and program</w:t>
      </w:r>
      <w:r w:rsidR="00295881">
        <w:rPr>
          <w:rFonts w:asciiTheme="minorHAnsi" w:hAnsiTheme="minorHAnsi"/>
        </w:rPr>
        <w:t xml:space="preserve"> competencies</w:t>
      </w:r>
      <w:r w:rsidR="004F2E8C">
        <w:rPr>
          <w:rFonts w:asciiTheme="minorHAnsi" w:hAnsiTheme="minorHAnsi"/>
        </w:rPr>
        <w:t xml:space="preserve"> </w:t>
      </w:r>
      <w:r w:rsidR="0025392F">
        <w:rPr>
          <w:rFonts w:asciiTheme="minorHAnsi" w:hAnsiTheme="minorHAnsi"/>
        </w:rPr>
        <w:t>required by the 2016 C</w:t>
      </w:r>
      <w:r w:rsidR="00295881">
        <w:rPr>
          <w:rFonts w:asciiTheme="minorHAnsi" w:hAnsiTheme="minorHAnsi"/>
        </w:rPr>
        <w:t xml:space="preserve">riteria. </w:t>
      </w:r>
      <w:r w:rsidR="00E2703F">
        <w:rPr>
          <w:rFonts w:asciiTheme="minorHAnsi" w:hAnsiTheme="minorHAnsi"/>
        </w:rPr>
        <w:t xml:space="preserve"> </w:t>
      </w:r>
      <w:r w:rsidRPr="005B4C72">
        <w:rPr>
          <w:rFonts w:asciiTheme="minorHAnsi" w:hAnsiTheme="minorHAnsi"/>
        </w:rPr>
        <w:t>A competency cross</w:t>
      </w:r>
      <w:r w:rsidR="00676B55" w:rsidRPr="005B4C72">
        <w:rPr>
          <w:rFonts w:asciiTheme="minorHAnsi" w:hAnsiTheme="minorHAnsi"/>
        </w:rPr>
        <w:t>walk</w:t>
      </w:r>
      <w:r w:rsidR="00676B55">
        <w:rPr>
          <w:rFonts w:asciiTheme="minorHAnsi" w:hAnsiTheme="minorHAnsi"/>
        </w:rPr>
        <w:t xml:space="preserve"> </w:t>
      </w:r>
      <w:r>
        <w:rPr>
          <w:rFonts w:asciiTheme="minorHAnsi" w:hAnsiTheme="minorHAnsi"/>
        </w:rPr>
        <w:t>was created f</w:t>
      </w:r>
      <w:r w:rsidR="00676B55">
        <w:rPr>
          <w:rFonts w:asciiTheme="minorHAnsi" w:hAnsiTheme="minorHAnsi"/>
        </w:rPr>
        <w:t>o</w:t>
      </w:r>
      <w:r>
        <w:rPr>
          <w:rFonts w:asciiTheme="minorHAnsi" w:hAnsiTheme="minorHAnsi"/>
        </w:rPr>
        <w:t xml:space="preserve">r students </w:t>
      </w:r>
      <w:r w:rsidR="00641413">
        <w:rPr>
          <w:rFonts w:asciiTheme="minorHAnsi" w:hAnsiTheme="minorHAnsi"/>
        </w:rPr>
        <w:t xml:space="preserve">who did not transition to the </w:t>
      </w:r>
      <w:r w:rsidR="00BC626D">
        <w:rPr>
          <w:rFonts w:asciiTheme="minorHAnsi" w:hAnsiTheme="minorHAnsi"/>
        </w:rPr>
        <w:t>revised</w:t>
      </w:r>
      <w:r>
        <w:rPr>
          <w:rFonts w:asciiTheme="minorHAnsi" w:hAnsiTheme="minorHAnsi"/>
        </w:rPr>
        <w:t xml:space="preserve"> program. </w:t>
      </w:r>
      <w:r w:rsidR="00676B55">
        <w:rPr>
          <w:rFonts w:asciiTheme="minorHAnsi" w:hAnsiTheme="minorHAnsi"/>
        </w:rPr>
        <w:t xml:space="preserve"> </w:t>
      </w:r>
      <w:r>
        <w:rPr>
          <w:rFonts w:asciiTheme="minorHAnsi" w:hAnsiTheme="minorHAnsi"/>
        </w:rPr>
        <w:t>A</w:t>
      </w:r>
      <w:r w:rsidR="00872D04">
        <w:rPr>
          <w:rFonts w:asciiTheme="minorHAnsi" w:hAnsiTheme="minorHAnsi"/>
        </w:rPr>
        <w:t xml:space="preserve"> copy </w:t>
      </w:r>
      <w:r w:rsidR="00BC626D">
        <w:rPr>
          <w:rFonts w:asciiTheme="minorHAnsi" w:hAnsiTheme="minorHAnsi"/>
        </w:rPr>
        <w:t>of the materials</w:t>
      </w:r>
      <w:r w:rsidR="00A01D2D">
        <w:rPr>
          <w:rFonts w:asciiTheme="minorHAnsi" w:hAnsiTheme="minorHAnsi"/>
        </w:rPr>
        <w:t xml:space="preserve"> </w:t>
      </w:r>
      <w:r>
        <w:rPr>
          <w:rFonts w:asciiTheme="minorHAnsi" w:hAnsiTheme="minorHAnsi"/>
        </w:rPr>
        <w:t xml:space="preserve">and crosswalk </w:t>
      </w:r>
      <w:r w:rsidR="0025392F">
        <w:rPr>
          <w:rFonts w:asciiTheme="minorHAnsi" w:hAnsiTheme="minorHAnsi"/>
        </w:rPr>
        <w:t>are</w:t>
      </w:r>
      <w:r w:rsidR="00A01D2D">
        <w:rPr>
          <w:rFonts w:asciiTheme="minorHAnsi" w:hAnsiTheme="minorHAnsi"/>
        </w:rPr>
        <w:t xml:space="preserve"> </w:t>
      </w:r>
      <w:r w:rsidR="00872D04">
        <w:rPr>
          <w:rFonts w:asciiTheme="minorHAnsi" w:hAnsiTheme="minorHAnsi"/>
        </w:rPr>
        <w:t xml:space="preserve">found in </w:t>
      </w:r>
      <w:r w:rsidR="00CE40A5" w:rsidRPr="0023278B">
        <w:rPr>
          <w:rFonts w:asciiTheme="minorHAnsi" w:hAnsiTheme="minorHAnsi"/>
        </w:rPr>
        <w:t>Appendices</w:t>
      </w:r>
      <w:r w:rsidR="00C54D30">
        <w:rPr>
          <w:rFonts w:asciiTheme="minorHAnsi" w:hAnsiTheme="minorHAnsi"/>
        </w:rPr>
        <w:t xml:space="preserve"> F </w:t>
      </w:r>
      <w:r w:rsidR="00E600B0">
        <w:rPr>
          <w:rFonts w:asciiTheme="minorHAnsi" w:hAnsiTheme="minorHAnsi"/>
        </w:rPr>
        <w:t xml:space="preserve">and </w:t>
      </w:r>
      <w:r w:rsidR="00AD30AC" w:rsidRPr="00C54D30">
        <w:rPr>
          <w:rFonts w:asciiTheme="minorHAnsi" w:hAnsiTheme="minorHAnsi"/>
        </w:rPr>
        <w:t>G</w:t>
      </w:r>
      <w:r w:rsidR="00CE40A5">
        <w:rPr>
          <w:rFonts w:asciiTheme="minorHAnsi" w:hAnsiTheme="minorHAnsi"/>
        </w:rPr>
        <w:t xml:space="preserve"> respectively.</w:t>
      </w:r>
    </w:p>
    <w:p w:rsidR="00BC626D" w:rsidRDefault="00BC626D" w:rsidP="00774DE8">
      <w:pPr>
        <w:pStyle w:val="Default"/>
        <w:rPr>
          <w:rFonts w:asciiTheme="minorHAnsi" w:hAnsiTheme="minorHAnsi"/>
        </w:rPr>
      </w:pPr>
    </w:p>
    <w:p w:rsidR="0023278B" w:rsidRPr="0023278B" w:rsidRDefault="0023278B" w:rsidP="00774DE8">
      <w:pPr>
        <w:pStyle w:val="Default"/>
        <w:rPr>
          <w:rFonts w:asciiTheme="minorHAnsi" w:hAnsiTheme="minorHAnsi"/>
          <w:u w:val="single"/>
        </w:rPr>
      </w:pPr>
      <w:r w:rsidRPr="0023278B">
        <w:rPr>
          <w:rFonts w:asciiTheme="minorHAnsi" w:hAnsiTheme="minorHAnsi"/>
          <w:u w:val="single"/>
        </w:rPr>
        <w:t>Revised Applied Practice Experience Requirements</w:t>
      </w:r>
    </w:p>
    <w:p w:rsidR="008F744D" w:rsidRDefault="00641413" w:rsidP="00774DE8">
      <w:pPr>
        <w:pStyle w:val="Default"/>
        <w:rPr>
          <w:rFonts w:asciiTheme="minorHAnsi" w:hAnsiTheme="minorHAnsi"/>
        </w:rPr>
      </w:pPr>
      <w:r>
        <w:rPr>
          <w:rFonts w:asciiTheme="minorHAnsi" w:hAnsiTheme="minorHAnsi"/>
        </w:rPr>
        <w:t xml:space="preserve">Students </w:t>
      </w:r>
      <w:r w:rsidR="0023278B">
        <w:rPr>
          <w:rFonts w:asciiTheme="minorHAnsi" w:hAnsiTheme="minorHAnsi"/>
        </w:rPr>
        <w:t xml:space="preserve">transitioning to the revised program, and those </w:t>
      </w:r>
      <w:r>
        <w:rPr>
          <w:rFonts w:asciiTheme="minorHAnsi" w:hAnsiTheme="minorHAnsi"/>
        </w:rPr>
        <w:t xml:space="preserve">beginning </w:t>
      </w:r>
      <w:r w:rsidR="00BC626D">
        <w:rPr>
          <w:rFonts w:asciiTheme="minorHAnsi" w:hAnsiTheme="minorHAnsi"/>
        </w:rPr>
        <w:t xml:space="preserve">the MPH program in </w:t>
      </w:r>
      <w:r w:rsidR="004D74AE">
        <w:rPr>
          <w:rFonts w:asciiTheme="minorHAnsi" w:hAnsiTheme="minorHAnsi"/>
        </w:rPr>
        <w:t>f</w:t>
      </w:r>
      <w:r>
        <w:rPr>
          <w:rFonts w:asciiTheme="minorHAnsi" w:hAnsiTheme="minorHAnsi"/>
        </w:rPr>
        <w:t>all 2017</w:t>
      </w:r>
      <w:r w:rsidR="0075721D">
        <w:rPr>
          <w:rFonts w:asciiTheme="minorHAnsi" w:hAnsiTheme="minorHAnsi"/>
        </w:rPr>
        <w:t xml:space="preserve"> or after</w:t>
      </w:r>
      <w:r>
        <w:rPr>
          <w:rFonts w:asciiTheme="minorHAnsi" w:hAnsiTheme="minorHAnsi"/>
        </w:rPr>
        <w:t xml:space="preserve">, </w:t>
      </w:r>
      <w:r w:rsidR="0075721D">
        <w:rPr>
          <w:rFonts w:asciiTheme="minorHAnsi" w:hAnsiTheme="minorHAnsi"/>
        </w:rPr>
        <w:t>will adhere to the revised</w:t>
      </w:r>
      <w:r>
        <w:rPr>
          <w:rFonts w:asciiTheme="minorHAnsi" w:hAnsiTheme="minorHAnsi"/>
        </w:rPr>
        <w:t xml:space="preserve"> applied practice experience </w:t>
      </w:r>
      <w:r w:rsidR="000C4F41">
        <w:rPr>
          <w:rFonts w:asciiTheme="minorHAnsi" w:hAnsiTheme="minorHAnsi"/>
        </w:rPr>
        <w:t>requirements</w:t>
      </w:r>
      <w:r w:rsidR="006B33D2">
        <w:rPr>
          <w:rFonts w:asciiTheme="minorHAnsi" w:hAnsiTheme="minorHAnsi"/>
        </w:rPr>
        <w:t xml:space="preserve">, which include options other than internships. These will be discussed in our compliance report, as they fall outside of the scope of this compliance </w:t>
      </w:r>
      <w:r w:rsidR="006B04E1">
        <w:rPr>
          <w:rFonts w:asciiTheme="minorHAnsi" w:hAnsiTheme="minorHAnsi"/>
        </w:rPr>
        <w:t>issue</w:t>
      </w:r>
      <w:r w:rsidR="006B33D2">
        <w:rPr>
          <w:rFonts w:asciiTheme="minorHAnsi" w:hAnsiTheme="minorHAnsi"/>
        </w:rPr>
        <w:t>.</w:t>
      </w:r>
    </w:p>
    <w:p w:rsidR="00507536" w:rsidRPr="00D30B12" w:rsidRDefault="00490BE4" w:rsidP="005327E4">
      <w:pPr>
        <w:pStyle w:val="Heading1"/>
      </w:pPr>
      <w:bookmarkStart w:id="7" w:name="_Toc490316874"/>
      <w:r w:rsidRPr="00D30B12">
        <w:lastRenderedPageBreak/>
        <w:t>G.</w:t>
      </w:r>
      <w:r w:rsidR="00507536" w:rsidRPr="00D30B12">
        <w:t xml:space="preserve"> Implemented procedures to regularly review MPH core and concentration competencies and to revise competencies as appropriate. (Criterion 2.6)</w:t>
      </w:r>
      <w:bookmarkEnd w:id="7"/>
      <w:r w:rsidR="00507536" w:rsidRPr="00D30B12">
        <w:t xml:space="preserve"> </w:t>
      </w:r>
    </w:p>
    <w:p w:rsidR="009614DF" w:rsidRDefault="009614DF" w:rsidP="002E2860">
      <w:pPr>
        <w:pStyle w:val="Default"/>
        <w:rPr>
          <w:rFonts w:asciiTheme="minorHAnsi" w:hAnsiTheme="minorHAnsi"/>
          <w:u w:val="single"/>
        </w:rPr>
      </w:pPr>
    </w:p>
    <w:p w:rsidR="002E2860" w:rsidRPr="00A2376B" w:rsidRDefault="002E2860" w:rsidP="002E2860">
      <w:pPr>
        <w:pStyle w:val="Default"/>
        <w:rPr>
          <w:rFonts w:asciiTheme="minorHAnsi" w:hAnsiTheme="minorHAnsi"/>
          <w:u w:val="single"/>
        </w:rPr>
      </w:pPr>
      <w:r w:rsidRPr="00A2376B">
        <w:rPr>
          <w:rFonts w:asciiTheme="minorHAnsi" w:hAnsiTheme="minorHAnsi"/>
          <w:u w:val="single"/>
        </w:rPr>
        <w:t>Core Competencies</w:t>
      </w:r>
    </w:p>
    <w:p w:rsidR="00870ADF" w:rsidRDefault="002E2860" w:rsidP="002E2860">
      <w:pPr>
        <w:pStyle w:val="Default"/>
        <w:rPr>
          <w:rFonts w:asciiTheme="minorHAnsi" w:hAnsiTheme="minorHAnsi"/>
        </w:rPr>
      </w:pPr>
      <w:r>
        <w:rPr>
          <w:rFonts w:asciiTheme="minorHAnsi" w:hAnsiTheme="minorHAnsi"/>
        </w:rPr>
        <w:t>Foundational competenc</w:t>
      </w:r>
      <w:r w:rsidR="0057427A">
        <w:rPr>
          <w:rFonts w:asciiTheme="minorHAnsi" w:hAnsiTheme="minorHAnsi"/>
        </w:rPr>
        <w:t>ies are prescribed in the 2016 C</w:t>
      </w:r>
      <w:r>
        <w:rPr>
          <w:rFonts w:asciiTheme="minorHAnsi" w:hAnsiTheme="minorHAnsi"/>
        </w:rPr>
        <w:t xml:space="preserve">riteria and thus cannot be revised.  </w:t>
      </w:r>
      <w:r w:rsidR="0057427A">
        <w:rPr>
          <w:rFonts w:asciiTheme="minorHAnsi" w:hAnsiTheme="minorHAnsi"/>
        </w:rPr>
        <w:t>To ensure compliance, we</w:t>
      </w:r>
      <w:r>
        <w:rPr>
          <w:rFonts w:asciiTheme="minorHAnsi" w:hAnsiTheme="minorHAnsi"/>
        </w:rPr>
        <w:t xml:space="preserve"> </w:t>
      </w:r>
      <w:r w:rsidR="0057427A">
        <w:rPr>
          <w:rFonts w:asciiTheme="minorHAnsi" w:hAnsiTheme="minorHAnsi"/>
        </w:rPr>
        <w:t>conducted an</w:t>
      </w:r>
      <w:r>
        <w:rPr>
          <w:rFonts w:asciiTheme="minorHAnsi" w:hAnsiTheme="minorHAnsi"/>
        </w:rPr>
        <w:t xml:space="preserve"> </w:t>
      </w:r>
      <w:r w:rsidR="001E0D39">
        <w:rPr>
          <w:rFonts w:asciiTheme="minorHAnsi" w:hAnsiTheme="minorHAnsi"/>
        </w:rPr>
        <w:t>exhaustive competency alignment</w:t>
      </w:r>
      <w:r w:rsidR="00C94CA9">
        <w:rPr>
          <w:rFonts w:asciiTheme="minorHAnsi" w:hAnsiTheme="minorHAnsi"/>
        </w:rPr>
        <w:t xml:space="preserve"> for foundational competencies and foundational knowledge</w:t>
      </w:r>
      <w:r w:rsidR="001E0D39">
        <w:rPr>
          <w:rFonts w:asciiTheme="minorHAnsi" w:hAnsiTheme="minorHAnsi"/>
        </w:rPr>
        <w:t xml:space="preserve">.  Each MPH faculty </w:t>
      </w:r>
      <w:r w:rsidR="00BE114D">
        <w:rPr>
          <w:rFonts w:asciiTheme="minorHAnsi" w:hAnsiTheme="minorHAnsi"/>
        </w:rPr>
        <w:t xml:space="preserve">was tasked with completing a competency grid for each required core course </w:t>
      </w:r>
      <w:r w:rsidR="00BC626D">
        <w:rPr>
          <w:rFonts w:asciiTheme="minorHAnsi" w:hAnsiTheme="minorHAnsi"/>
        </w:rPr>
        <w:t>taught</w:t>
      </w:r>
      <w:r w:rsidR="00BE114D">
        <w:rPr>
          <w:rFonts w:asciiTheme="minorHAnsi" w:hAnsiTheme="minorHAnsi"/>
        </w:rPr>
        <w:t xml:space="preserve">.  The form delineates course learning objectives that fall within a competency, summarizes the content and methods used to meet the learning objectives, and </w:t>
      </w:r>
      <w:r w:rsidR="00D96CA6">
        <w:rPr>
          <w:rFonts w:asciiTheme="minorHAnsi" w:hAnsiTheme="minorHAnsi"/>
        </w:rPr>
        <w:t>identifies related assessments, as such:</w:t>
      </w:r>
    </w:p>
    <w:tbl>
      <w:tblPr>
        <w:tblStyle w:val="TableGrid"/>
        <w:tblpPr w:leftFromText="180" w:rightFromText="180" w:vertAnchor="text" w:horzAnchor="margin" w:tblpXSpec="center" w:tblpY="530"/>
        <w:tblW w:w="9175" w:type="dxa"/>
        <w:tblLook w:val="04A0" w:firstRow="1" w:lastRow="0" w:firstColumn="1" w:lastColumn="0" w:noHBand="0" w:noVBand="1"/>
      </w:tblPr>
      <w:tblGrid>
        <w:gridCol w:w="3595"/>
        <w:gridCol w:w="2520"/>
        <w:gridCol w:w="1692"/>
        <w:gridCol w:w="1368"/>
      </w:tblGrid>
      <w:tr w:rsidR="00D96CA6" w:rsidTr="00682B86">
        <w:tc>
          <w:tcPr>
            <w:tcW w:w="3595" w:type="dxa"/>
          </w:tcPr>
          <w:p w:rsidR="00D96CA6" w:rsidRPr="00682B86" w:rsidRDefault="00D96CA6" w:rsidP="00D96CA6">
            <w:pPr>
              <w:rPr>
                <w:sz w:val="22"/>
              </w:rPr>
            </w:pPr>
            <w:r w:rsidRPr="00682B86">
              <w:rPr>
                <w:sz w:val="22"/>
              </w:rPr>
              <w:t>Competency</w:t>
            </w:r>
          </w:p>
        </w:tc>
        <w:tc>
          <w:tcPr>
            <w:tcW w:w="2520" w:type="dxa"/>
          </w:tcPr>
          <w:p w:rsidR="00D96CA6" w:rsidRPr="00682B86" w:rsidRDefault="00D96CA6" w:rsidP="00682B86">
            <w:pPr>
              <w:rPr>
                <w:sz w:val="22"/>
              </w:rPr>
            </w:pPr>
            <w:r w:rsidRPr="00682B86">
              <w:rPr>
                <w:sz w:val="22"/>
              </w:rPr>
              <w:t>Course Learning Objective (</w:t>
            </w:r>
            <w:r w:rsidR="00682B86">
              <w:rPr>
                <w:sz w:val="22"/>
              </w:rPr>
              <w:t>as</w:t>
            </w:r>
            <w:r w:rsidRPr="00682B86">
              <w:rPr>
                <w:sz w:val="22"/>
              </w:rPr>
              <w:t xml:space="preserve"> on syllabus)</w:t>
            </w:r>
          </w:p>
        </w:tc>
        <w:tc>
          <w:tcPr>
            <w:tcW w:w="1692" w:type="dxa"/>
          </w:tcPr>
          <w:p w:rsidR="00D96CA6" w:rsidRPr="00682B86" w:rsidRDefault="00D96CA6" w:rsidP="00D96CA6">
            <w:pPr>
              <w:rPr>
                <w:sz w:val="22"/>
              </w:rPr>
            </w:pPr>
            <w:r w:rsidRPr="00682B86">
              <w:rPr>
                <w:sz w:val="22"/>
              </w:rPr>
              <w:t>Course Content/Activity</w:t>
            </w:r>
          </w:p>
        </w:tc>
        <w:tc>
          <w:tcPr>
            <w:tcW w:w="1368" w:type="dxa"/>
          </w:tcPr>
          <w:p w:rsidR="00D96CA6" w:rsidRPr="00682B86" w:rsidRDefault="00D96CA6" w:rsidP="00D96CA6">
            <w:pPr>
              <w:rPr>
                <w:sz w:val="22"/>
              </w:rPr>
            </w:pPr>
            <w:r w:rsidRPr="00682B86">
              <w:rPr>
                <w:sz w:val="22"/>
              </w:rPr>
              <w:t>Assessment of content</w:t>
            </w:r>
          </w:p>
        </w:tc>
      </w:tr>
      <w:tr w:rsidR="00D96CA6" w:rsidRPr="003361A5" w:rsidTr="00D96CA6">
        <w:tc>
          <w:tcPr>
            <w:tcW w:w="9175" w:type="dxa"/>
            <w:gridSpan w:val="4"/>
            <w:shd w:val="clear" w:color="auto" w:fill="D0CECE" w:themeFill="background2" w:themeFillShade="E6"/>
          </w:tcPr>
          <w:p w:rsidR="00D96CA6" w:rsidRPr="003361A5" w:rsidRDefault="00D96CA6" w:rsidP="00D96CA6">
            <w:r w:rsidRPr="003361A5">
              <w:t xml:space="preserve">Evidence-based Approaches to Public Health </w:t>
            </w:r>
          </w:p>
        </w:tc>
      </w:tr>
      <w:tr w:rsidR="00D96CA6" w:rsidTr="00682B86">
        <w:tc>
          <w:tcPr>
            <w:tcW w:w="3595" w:type="dxa"/>
          </w:tcPr>
          <w:p w:rsidR="00D96CA6" w:rsidRPr="00374271" w:rsidRDefault="00D96CA6" w:rsidP="00D96CA6">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1. Apply epidemiological methods to the breadth of settings and situations in public health practice </w:t>
            </w:r>
          </w:p>
        </w:tc>
        <w:tc>
          <w:tcPr>
            <w:tcW w:w="2520" w:type="dxa"/>
          </w:tcPr>
          <w:p w:rsidR="00D96CA6" w:rsidRDefault="00D96CA6" w:rsidP="00D96CA6"/>
        </w:tc>
        <w:tc>
          <w:tcPr>
            <w:tcW w:w="1692" w:type="dxa"/>
          </w:tcPr>
          <w:p w:rsidR="00D96CA6" w:rsidRDefault="00D96CA6" w:rsidP="00D96CA6"/>
        </w:tc>
        <w:tc>
          <w:tcPr>
            <w:tcW w:w="1368" w:type="dxa"/>
          </w:tcPr>
          <w:p w:rsidR="00D96CA6" w:rsidRDefault="00D96CA6" w:rsidP="00D96CA6"/>
        </w:tc>
      </w:tr>
    </w:tbl>
    <w:p w:rsidR="00D96CA6" w:rsidRDefault="00D96CA6" w:rsidP="002E2860">
      <w:pPr>
        <w:pStyle w:val="Default"/>
        <w:rPr>
          <w:rFonts w:asciiTheme="minorHAnsi" w:hAnsiTheme="minorHAnsi"/>
        </w:rPr>
      </w:pPr>
    </w:p>
    <w:p w:rsidR="00D96CA6" w:rsidRDefault="00D96CA6" w:rsidP="002E2860">
      <w:pPr>
        <w:pStyle w:val="Default"/>
        <w:rPr>
          <w:rFonts w:asciiTheme="minorHAnsi" w:hAnsiTheme="minorHAnsi"/>
        </w:rPr>
      </w:pPr>
    </w:p>
    <w:p w:rsidR="00870ADF" w:rsidRDefault="00870ADF" w:rsidP="002E2860">
      <w:pPr>
        <w:pStyle w:val="Default"/>
        <w:rPr>
          <w:rFonts w:asciiTheme="minorHAnsi" w:hAnsiTheme="minorHAnsi"/>
        </w:rPr>
      </w:pPr>
    </w:p>
    <w:p w:rsidR="00F54ECF" w:rsidRDefault="0025392F" w:rsidP="002E2860">
      <w:pPr>
        <w:pStyle w:val="Default"/>
        <w:rPr>
          <w:rFonts w:asciiTheme="minorHAnsi" w:hAnsiTheme="minorHAnsi"/>
        </w:rPr>
      </w:pPr>
      <w:r>
        <w:rPr>
          <w:rFonts w:asciiTheme="minorHAnsi" w:hAnsiTheme="minorHAnsi"/>
        </w:rPr>
        <w:t>The</w:t>
      </w:r>
      <w:r w:rsidR="00870ADF">
        <w:rPr>
          <w:rFonts w:asciiTheme="minorHAnsi" w:hAnsiTheme="minorHAnsi"/>
        </w:rPr>
        <w:t xml:space="preserve"> i</w:t>
      </w:r>
      <w:r w:rsidR="00C94CA9">
        <w:rPr>
          <w:rFonts w:asciiTheme="minorHAnsi" w:hAnsiTheme="minorHAnsi"/>
        </w:rPr>
        <w:t>ndividual course grids w</w:t>
      </w:r>
      <w:r>
        <w:rPr>
          <w:rFonts w:asciiTheme="minorHAnsi" w:hAnsiTheme="minorHAnsi"/>
        </w:rPr>
        <w:t>ere</w:t>
      </w:r>
      <w:r w:rsidR="00C94CA9">
        <w:rPr>
          <w:rFonts w:asciiTheme="minorHAnsi" w:hAnsiTheme="minorHAnsi"/>
        </w:rPr>
        <w:t xml:space="preserve"> combin</w:t>
      </w:r>
      <w:r w:rsidR="00870ADF">
        <w:rPr>
          <w:rFonts w:asciiTheme="minorHAnsi" w:hAnsiTheme="minorHAnsi"/>
        </w:rPr>
        <w:t>ed</w:t>
      </w:r>
      <w:r w:rsidR="00E155EE">
        <w:rPr>
          <w:rFonts w:asciiTheme="minorHAnsi" w:hAnsiTheme="minorHAnsi"/>
        </w:rPr>
        <w:t xml:space="preserve"> </w:t>
      </w:r>
      <w:r>
        <w:rPr>
          <w:rFonts w:asciiTheme="minorHAnsi" w:hAnsiTheme="minorHAnsi"/>
        </w:rPr>
        <w:t>into a master grid, so that f</w:t>
      </w:r>
      <w:r w:rsidR="00E155EE">
        <w:rPr>
          <w:rFonts w:asciiTheme="minorHAnsi" w:hAnsiTheme="minorHAnsi"/>
        </w:rPr>
        <w:t xml:space="preserve">or each foundational competency or knowledge item, </w:t>
      </w:r>
      <w:r w:rsidR="00F54ECF">
        <w:rPr>
          <w:rFonts w:asciiTheme="minorHAnsi" w:hAnsiTheme="minorHAnsi"/>
        </w:rPr>
        <w:t>each</w:t>
      </w:r>
      <w:r w:rsidR="00E155EE">
        <w:rPr>
          <w:rFonts w:asciiTheme="minorHAnsi" w:hAnsiTheme="minorHAnsi"/>
        </w:rPr>
        <w:t xml:space="preserve"> </w:t>
      </w:r>
      <w:r w:rsidR="00AA1F66">
        <w:rPr>
          <w:rFonts w:asciiTheme="minorHAnsi" w:hAnsiTheme="minorHAnsi"/>
        </w:rPr>
        <w:t>course</w:t>
      </w:r>
      <w:r w:rsidR="00AA1F66">
        <w:rPr>
          <w:rStyle w:val="FootnoteReference"/>
          <w:rFonts w:asciiTheme="minorHAnsi" w:hAnsiTheme="minorHAnsi"/>
        </w:rPr>
        <w:footnoteReference w:id="5"/>
      </w:r>
      <w:r w:rsidR="00AA1F66">
        <w:rPr>
          <w:rFonts w:asciiTheme="minorHAnsi" w:hAnsiTheme="minorHAnsi"/>
        </w:rPr>
        <w:t xml:space="preserve"> </w:t>
      </w:r>
      <w:r w:rsidR="00725C88">
        <w:rPr>
          <w:rFonts w:asciiTheme="minorHAnsi" w:hAnsiTheme="minorHAnsi"/>
        </w:rPr>
        <w:t>was</w:t>
      </w:r>
      <w:r w:rsidR="00F54ECF">
        <w:rPr>
          <w:rFonts w:asciiTheme="minorHAnsi" w:hAnsiTheme="minorHAnsi"/>
        </w:rPr>
        <w:t xml:space="preserve"> listed along with its</w:t>
      </w:r>
      <w:r w:rsidR="00E155EE">
        <w:rPr>
          <w:rFonts w:asciiTheme="minorHAnsi" w:hAnsiTheme="minorHAnsi"/>
        </w:rPr>
        <w:t xml:space="preserve"> </w:t>
      </w:r>
      <w:r w:rsidR="00725C88">
        <w:rPr>
          <w:rFonts w:asciiTheme="minorHAnsi" w:hAnsiTheme="minorHAnsi"/>
        </w:rPr>
        <w:t xml:space="preserve">related learning objectives, content, methods, and assessments. </w:t>
      </w:r>
      <w:r w:rsidR="00870ADF">
        <w:rPr>
          <w:rFonts w:asciiTheme="minorHAnsi" w:hAnsiTheme="minorHAnsi"/>
        </w:rPr>
        <w:t xml:space="preserve"> </w:t>
      </w:r>
      <w:r w:rsidR="00F54ECF">
        <w:rPr>
          <w:rFonts w:asciiTheme="minorHAnsi" w:hAnsiTheme="minorHAnsi"/>
        </w:rPr>
        <w:t>Some competency and knowledge items had multiple courses listed; others had none.</w:t>
      </w:r>
    </w:p>
    <w:p w:rsidR="00F54ECF" w:rsidRDefault="00F54ECF" w:rsidP="002E2860">
      <w:pPr>
        <w:pStyle w:val="Default"/>
        <w:rPr>
          <w:rFonts w:asciiTheme="minorHAnsi" w:hAnsiTheme="minorHAnsi"/>
        </w:rPr>
      </w:pPr>
    </w:p>
    <w:p w:rsidR="00926CF5" w:rsidRDefault="00725C88" w:rsidP="002E2860">
      <w:pPr>
        <w:pStyle w:val="Default"/>
        <w:rPr>
          <w:rFonts w:asciiTheme="minorHAnsi" w:hAnsiTheme="minorHAnsi"/>
        </w:rPr>
      </w:pPr>
      <w:r>
        <w:rPr>
          <w:rFonts w:asciiTheme="minorHAnsi" w:hAnsiTheme="minorHAnsi"/>
        </w:rPr>
        <w:t>Those</w:t>
      </w:r>
      <w:r w:rsidR="00C94CA9">
        <w:rPr>
          <w:rFonts w:asciiTheme="minorHAnsi" w:hAnsiTheme="minorHAnsi"/>
        </w:rPr>
        <w:t xml:space="preserve"> present</w:t>
      </w:r>
      <w:r w:rsidR="00E155EE">
        <w:rPr>
          <w:rFonts w:asciiTheme="minorHAnsi" w:hAnsiTheme="minorHAnsi"/>
        </w:rPr>
        <w:t xml:space="preserve"> at the </w:t>
      </w:r>
      <w:hyperlink r:id="rId19" w:history="1">
        <w:r w:rsidR="00E155EE" w:rsidRPr="00982D31">
          <w:rPr>
            <w:rStyle w:val="Hyperlink"/>
            <w:rFonts w:asciiTheme="minorHAnsi" w:hAnsiTheme="minorHAnsi"/>
          </w:rPr>
          <w:t>January MPH workday</w:t>
        </w:r>
      </w:hyperlink>
      <w:r w:rsidR="00982D31">
        <w:rPr>
          <w:rFonts w:asciiTheme="minorHAnsi" w:hAnsiTheme="minorHAnsi"/>
        </w:rPr>
        <w:t xml:space="preserve"> </w:t>
      </w:r>
      <w:r w:rsidR="00BC626D">
        <w:rPr>
          <w:rFonts w:asciiTheme="minorHAnsi" w:hAnsiTheme="minorHAnsi"/>
        </w:rPr>
        <w:t>assessed</w:t>
      </w:r>
      <w:r w:rsidR="00C94CA9">
        <w:rPr>
          <w:rFonts w:asciiTheme="minorHAnsi" w:hAnsiTheme="minorHAnsi"/>
        </w:rPr>
        <w:t xml:space="preserve"> </w:t>
      </w:r>
      <w:r w:rsidR="00F54ECF">
        <w:rPr>
          <w:rFonts w:asciiTheme="minorHAnsi" w:hAnsiTheme="minorHAnsi"/>
        </w:rPr>
        <w:t xml:space="preserve">and rated </w:t>
      </w:r>
      <w:r w:rsidR="00AA1F66">
        <w:rPr>
          <w:rFonts w:asciiTheme="minorHAnsi" w:hAnsiTheme="minorHAnsi"/>
        </w:rPr>
        <w:t xml:space="preserve">each course listed </w:t>
      </w:r>
      <w:r w:rsidR="00BC626D">
        <w:rPr>
          <w:rFonts w:asciiTheme="minorHAnsi" w:hAnsiTheme="minorHAnsi"/>
        </w:rPr>
        <w:t>relative to</w:t>
      </w:r>
      <w:r w:rsidR="00F54ECF">
        <w:rPr>
          <w:rFonts w:asciiTheme="minorHAnsi" w:hAnsiTheme="minorHAnsi"/>
        </w:rPr>
        <w:t xml:space="preserve"> the </w:t>
      </w:r>
      <w:r w:rsidR="00926CF5">
        <w:rPr>
          <w:rFonts w:asciiTheme="minorHAnsi" w:hAnsiTheme="minorHAnsi"/>
        </w:rPr>
        <w:t xml:space="preserve">competency/knowledge item.  Ratings -- </w:t>
      </w:r>
      <w:r w:rsidR="002E2860" w:rsidRPr="00BF236B">
        <w:rPr>
          <w:rFonts w:asciiTheme="minorHAnsi" w:hAnsiTheme="minorHAnsi"/>
        </w:rPr>
        <w:t xml:space="preserve"> clearly met, partially met, not met, or not enough information to determine</w:t>
      </w:r>
      <w:r w:rsidR="00926CF5">
        <w:rPr>
          <w:rFonts w:asciiTheme="minorHAnsi" w:hAnsiTheme="minorHAnsi"/>
        </w:rPr>
        <w:t xml:space="preserve"> – were then summarized. </w:t>
      </w:r>
      <w:r w:rsidR="002E2860" w:rsidRPr="00BF236B">
        <w:rPr>
          <w:rFonts w:asciiTheme="minorHAnsi" w:hAnsiTheme="minorHAnsi"/>
        </w:rPr>
        <w:t xml:space="preserve">Courses rated as </w:t>
      </w:r>
      <w:r w:rsidR="00E155EE">
        <w:rPr>
          <w:rFonts w:asciiTheme="minorHAnsi" w:hAnsiTheme="minorHAnsi"/>
        </w:rPr>
        <w:t>“</w:t>
      </w:r>
      <w:r w:rsidR="002E2860" w:rsidRPr="00BF236B">
        <w:rPr>
          <w:rFonts w:asciiTheme="minorHAnsi" w:hAnsiTheme="minorHAnsi"/>
        </w:rPr>
        <w:t>clearly met</w:t>
      </w:r>
      <w:r w:rsidR="00E155EE">
        <w:rPr>
          <w:rFonts w:asciiTheme="minorHAnsi" w:hAnsiTheme="minorHAnsi"/>
        </w:rPr>
        <w:t>”</w:t>
      </w:r>
      <w:r w:rsidR="002E2860" w:rsidRPr="00BF236B">
        <w:rPr>
          <w:rFonts w:asciiTheme="minorHAnsi" w:hAnsiTheme="minorHAnsi"/>
        </w:rPr>
        <w:t xml:space="preserve"> by more than 50% of </w:t>
      </w:r>
      <w:r w:rsidR="00E155EE">
        <w:rPr>
          <w:rFonts w:asciiTheme="minorHAnsi" w:hAnsiTheme="minorHAnsi"/>
        </w:rPr>
        <w:t>those present were identified as meeting that foundational</w:t>
      </w:r>
      <w:r w:rsidR="002E2860" w:rsidRPr="00BF236B">
        <w:rPr>
          <w:rFonts w:asciiTheme="minorHAnsi" w:hAnsiTheme="minorHAnsi"/>
        </w:rPr>
        <w:t xml:space="preserve"> competency or knowledge</w:t>
      </w:r>
      <w:r w:rsidR="00E155EE">
        <w:rPr>
          <w:rFonts w:asciiTheme="minorHAnsi" w:hAnsiTheme="minorHAnsi"/>
        </w:rPr>
        <w:t xml:space="preserve"> item</w:t>
      </w:r>
      <w:r w:rsidR="002E2860" w:rsidRPr="00BF236B">
        <w:rPr>
          <w:rFonts w:asciiTheme="minorHAnsi" w:hAnsiTheme="minorHAnsi"/>
        </w:rPr>
        <w:t xml:space="preserve">.  </w:t>
      </w:r>
    </w:p>
    <w:p w:rsidR="00926CF5" w:rsidRDefault="00926CF5" w:rsidP="002E2860">
      <w:pPr>
        <w:pStyle w:val="Default"/>
        <w:rPr>
          <w:rFonts w:asciiTheme="minorHAnsi" w:hAnsiTheme="minorHAnsi"/>
        </w:rPr>
      </w:pPr>
    </w:p>
    <w:p w:rsidR="002E2860" w:rsidRDefault="002E2860" w:rsidP="002E2860">
      <w:pPr>
        <w:pStyle w:val="Default"/>
        <w:rPr>
          <w:rFonts w:asciiTheme="minorHAnsi" w:hAnsiTheme="minorHAnsi"/>
        </w:rPr>
      </w:pPr>
      <w:r w:rsidRPr="00BF236B">
        <w:rPr>
          <w:rFonts w:asciiTheme="minorHAnsi" w:hAnsiTheme="minorHAnsi"/>
        </w:rPr>
        <w:t>Gaps were identified</w:t>
      </w:r>
      <w:r w:rsidR="00926CF5">
        <w:rPr>
          <w:rFonts w:asciiTheme="minorHAnsi" w:hAnsiTheme="minorHAnsi"/>
        </w:rPr>
        <w:t>,</w:t>
      </w:r>
      <w:r w:rsidRPr="00BF236B">
        <w:rPr>
          <w:rFonts w:asciiTheme="minorHAnsi" w:hAnsiTheme="minorHAnsi"/>
        </w:rPr>
        <w:t xml:space="preserve"> and considerable discussion was held about whether existing courses could be adapted or whether new courses needed to be created.</w:t>
      </w:r>
      <w:r w:rsidR="00926CF5">
        <w:rPr>
          <w:rFonts w:asciiTheme="minorHAnsi" w:hAnsiTheme="minorHAnsi"/>
        </w:rPr>
        <w:t xml:space="preserve"> This discussion spurred the substantial revision</w:t>
      </w:r>
      <w:r w:rsidR="00FD1CD0">
        <w:rPr>
          <w:rFonts w:asciiTheme="minorHAnsi" w:hAnsiTheme="minorHAnsi"/>
        </w:rPr>
        <w:t xml:space="preserve"> of the MPH program, which included adding existing courses to the core, creating a new course, and revising course content. </w:t>
      </w:r>
    </w:p>
    <w:p w:rsidR="00FD1CD0" w:rsidRDefault="00FD1CD0" w:rsidP="002E2860">
      <w:pPr>
        <w:pStyle w:val="Default"/>
        <w:rPr>
          <w:rFonts w:asciiTheme="minorHAnsi" w:hAnsiTheme="minorHAnsi"/>
        </w:rPr>
      </w:pPr>
    </w:p>
    <w:p w:rsidR="00FD1CD0" w:rsidRDefault="00FD1CD0" w:rsidP="002E2860">
      <w:pPr>
        <w:pStyle w:val="Default"/>
        <w:rPr>
          <w:rFonts w:asciiTheme="minorHAnsi" w:hAnsiTheme="minorHAnsi"/>
        </w:rPr>
      </w:pPr>
      <w:r>
        <w:rPr>
          <w:rFonts w:asciiTheme="minorHAnsi" w:hAnsiTheme="minorHAnsi"/>
        </w:rPr>
        <w:t>This process will be repeated during our August MPH workd</w:t>
      </w:r>
      <w:r w:rsidR="00AB241C">
        <w:rPr>
          <w:rFonts w:asciiTheme="minorHAnsi" w:hAnsiTheme="minorHAnsi"/>
        </w:rPr>
        <w:t xml:space="preserve">ay with the revised curriculum, </w:t>
      </w:r>
      <w:r>
        <w:rPr>
          <w:rFonts w:asciiTheme="minorHAnsi" w:hAnsiTheme="minorHAnsi"/>
        </w:rPr>
        <w:t>and every 3.5 years</w:t>
      </w:r>
      <w:r w:rsidR="00AB241C">
        <w:rPr>
          <w:rFonts w:asciiTheme="minorHAnsi" w:hAnsiTheme="minorHAnsi"/>
        </w:rPr>
        <w:t xml:space="preserve"> thereafter.</w:t>
      </w:r>
    </w:p>
    <w:p w:rsidR="005A41D7" w:rsidRDefault="005A41D7" w:rsidP="002E2860">
      <w:pPr>
        <w:pStyle w:val="Default"/>
        <w:rPr>
          <w:rFonts w:asciiTheme="minorHAnsi" w:hAnsiTheme="minorHAnsi"/>
        </w:rPr>
      </w:pPr>
    </w:p>
    <w:p w:rsidR="00982D31" w:rsidRDefault="00982D31" w:rsidP="002E2860">
      <w:pPr>
        <w:pStyle w:val="Default"/>
        <w:rPr>
          <w:rFonts w:asciiTheme="minorHAnsi" w:hAnsiTheme="minorHAnsi"/>
        </w:rPr>
      </w:pPr>
    </w:p>
    <w:p w:rsidR="00982D31" w:rsidRDefault="00982D31" w:rsidP="002E2860">
      <w:pPr>
        <w:pStyle w:val="Default"/>
        <w:rPr>
          <w:rFonts w:asciiTheme="minorHAnsi" w:hAnsiTheme="minorHAnsi"/>
        </w:rPr>
      </w:pPr>
    </w:p>
    <w:p w:rsidR="00253763" w:rsidRDefault="00253763" w:rsidP="00507536">
      <w:pPr>
        <w:pStyle w:val="Default"/>
        <w:rPr>
          <w:rFonts w:asciiTheme="minorHAnsi" w:hAnsiTheme="minorHAnsi"/>
        </w:rPr>
      </w:pPr>
      <w:r w:rsidRPr="00253763">
        <w:rPr>
          <w:rFonts w:asciiTheme="minorHAnsi" w:hAnsiTheme="minorHAnsi"/>
          <w:u w:val="single"/>
        </w:rPr>
        <w:lastRenderedPageBreak/>
        <w:t>Concentration Competencies</w:t>
      </w:r>
    </w:p>
    <w:p w:rsidR="00083539" w:rsidRDefault="00952134" w:rsidP="00507536">
      <w:pPr>
        <w:pStyle w:val="Default"/>
        <w:rPr>
          <w:rFonts w:asciiTheme="minorHAnsi" w:hAnsiTheme="minorHAnsi"/>
        </w:rPr>
      </w:pPr>
      <w:r>
        <w:rPr>
          <w:rFonts w:asciiTheme="minorHAnsi" w:hAnsiTheme="minorHAnsi"/>
        </w:rPr>
        <w:t>Competencies used for the</w:t>
      </w:r>
      <w:r w:rsidR="00BF236B">
        <w:rPr>
          <w:rFonts w:asciiTheme="minorHAnsi" w:hAnsiTheme="minorHAnsi"/>
        </w:rPr>
        <w:t xml:space="preserve"> health education and environmental health concentrations </w:t>
      </w:r>
      <w:r w:rsidR="00C4342E">
        <w:rPr>
          <w:rFonts w:asciiTheme="minorHAnsi" w:hAnsiTheme="minorHAnsi"/>
        </w:rPr>
        <w:t>are</w:t>
      </w:r>
      <w:r>
        <w:rPr>
          <w:rFonts w:asciiTheme="minorHAnsi" w:hAnsiTheme="minorHAnsi"/>
        </w:rPr>
        <w:t xml:space="preserve"> those</w:t>
      </w:r>
      <w:r w:rsidR="00BF236B">
        <w:rPr>
          <w:rFonts w:asciiTheme="minorHAnsi" w:hAnsiTheme="minorHAnsi"/>
        </w:rPr>
        <w:t xml:space="preserve"> established </w:t>
      </w:r>
      <w:r w:rsidR="00C4342E">
        <w:rPr>
          <w:rFonts w:asciiTheme="minorHAnsi" w:hAnsiTheme="minorHAnsi"/>
        </w:rPr>
        <w:t xml:space="preserve">and routinely updated </w:t>
      </w:r>
      <w:r w:rsidR="00BF236B">
        <w:rPr>
          <w:rFonts w:asciiTheme="minorHAnsi" w:hAnsiTheme="minorHAnsi"/>
        </w:rPr>
        <w:t xml:space="preserve">by </w:t>
      </w:r>
      <w:r w:rsidR="00D34BD6">
        <w:rPr>
          <w:rFonts w:asciiTheme="minorHAnsi" w:hAnsiTheme="minorHAnsi"/>
        </w:rPr>
        <w:t xml:space="preserve">national </w:t>
      </w:r>
      <w:r w:rsidR="008F744D">
        <w:rPr>
          <w:rFonts w:asciiTheme="minorHAnsi" w:hAnsiTheme="minorHAnsi"/>
        </w:rPr>
        <w:t>organizations.</w:t>
      </w:r>
      <w:r w:rsidR="00B32EA8">
        <w:rPr>
          <w:rFonts w:asciiTheme="minorHAnsi" w:hAnsiTheme="minorHAnsi"/>
        </w:rPr>
        <w:t xml:space="preserve"> </w:t>
      </w:r>
      <w:r w:rsidR="00083539">
        <w:rPr>
          <w:rFonts w:asciiTheme="minorHAnsi" w:hAnsiTheme="minorHAnsi"/>
        </w:rPr>
        <w:t>However, t</w:t>
      </w:r>
      <w:r w:rsidR="00BF236B">
        <w:rPr>
          <w:rFonts w:asciiTheme="minorHAnsi" w:hAnsiTheme="minorHAnsi"/>
        </w:rPr>
        <w:t>hese concentrations are being phased ou</w:t>
      </w:r>
      <w:r>
        <w:rPr>
          <w:rFonts w:asciiTheme="minorHAnsi" w:hAnsiTheme="minorHAnsi"/>
        </w:rPr>
        <w:t>t</w:t>
      </w:r>
      <w:r w:rsidR="008A6B62">
        <w:rPr>
          <w:rFonts w:asciiTheme="minorHAnsi" w:hAnsiTheme="minorHAnsi"/>
        </w:rPr>
        <w:t xml:space="preserve">, based on data collected from students, alumni, faculty and </w:t>
      </w:r>
      <w:r w:rsidR="004A3680">
        <w:rPr>
          <w:rFonts w:asciiTheme="minorHAnsi" w:hAnsiTheme="minorHAnsi"/>
        </w:rPr>
        <w:t>the curricular tran</w:t>
      </w:r>
      <w:r w:rsidR="008A6B62">
        <w:rPr>
          <w:rFonts w:asciiTheme="minorHAnsi" w:hAnsiTheme="minorHAnsi"/>
        </w:rPr>
        <w:t>s</w:t>
      </w:r>
      <w:r w:rsidR="004A3680">
        <w:rPr>
          <w:rFonts w:asciiTheme="minorHAnsi" w:hAnsiTheme="minorHAnsi"/>
        </w:rPr>
        <w:t>ition s</w:t>
      </w:r>
      <w:r w:rsidR="008A6B62">
        <w:rPr>
          <w:rFonts w:asciiTheme="minorHAnsi" w:hAnsiTheme="minorHAnsi"/>
        </w:rPr>
        <w:t xml:space="preserve">teering committee members regarding </w:t>
      </w:r>
      <w:r w:rsidR="00AB241C">
        <w:rPr>
          <w:rFonts w:asciiTheme="minorHAnsi" w:hAnsiTheme="minorHAnsi"/>
        </w:rPr>
        <w:t xml:space="preserve">the desirability of </w:t>
      </w:r>
      <w:r w:rsidR="008A6B62">
        <w:rPr>
          <w:rFonts w:asciiTheme="minorHAnsi" w:hAnsiTheme="minorHAnsi"/>
        </w:rPr>
        <w:t>concentration</w:t>
      </w:r>
      <w:r w:rsidR="00AB241C">
        <w:rPr>
          <w:rFonts w:asciiTheme="minorHAnsi" w:hAnsiTheme="minorHAnsi"/>
        </w:rPr>
        <w:t xml:space="preserve"> </w:t>
      </w:r>
      <w:r w:rsidR="008A6B62">
        <w:rPr>
          <w:rFonts w:asciiTheme="minorHAnsi" w:hAnsiTheme="minorHAnsi"/>
        </w:rPr>
        <w:t>offered. As such,</w:t>
      </w:r>
      <w:r>
        <w:rPr>
          <w:rFonts w:asciiTheme="minorHAnsi" w:hAnsiTheme="minorHAnsi"/>
        </w:rPr>
        <w:t xml:space="preserve"> the procedures described herein relate to competenc</w:t>
      </w:r>
      <w:r w:rsidR="00C4342E">
        <w:rPr>
          <w:rFonts w:asciiTheme="minorHAnsi" w:hAnsiTheme="minorHAnsi"/>
        </w:rPr>
        <w:t>ies for the revised general MPH.</w:t>
      </w:r>
    </w:p>
    <w:p w:rsidR="00083539" w:rsidRDefault="00083539" w:rsidP="00507536">
      <w:pPr>
        <w:pStyle w:val="Default"/>
        <w:rPr>
          <w:rFonts w:asciiTheme="minorHAnsi" w:hAnsiTheme="minorHAnsi"/>
        </w:rPr>
      </w:pPr>
    </w:p>
    <w:p w:rsidR="00C926ED" w:rsidRDefault="00083539" w:rsidP="00507536">
      <w:pPr>
        <w:pStyle w:val="Default"/>
        <w:rPr>
          <w:rFonts w:asciiTheme="minorHAnsi" w:hAnsiTheme="minorHAnsi"/>
        </w:rPr>
      </w:pPr>
      <w:r>
        <w:rPr>
          <w:rFonts w:asciiTheme="minorHAnsi" w:hAnsiTheme="minorHAnsi"/>
        </w:rPr>
        <w:t>We used a multi-level</w:t>
      </w:r>
      <w:r w:rsidR="00F56980">
        <w:rPr>
          <w:rFonts w:asciiTheme="minorHAnsi" w:hAnsiTheme="minorHAnsi"/>
        </w:rPr>
        <w:t>, modified nominal group technique</w:t>
      </w:r>
      <w:r>
        <w:rPr>
          <w:rFonts w:asciiTheme="minorHAnsi" w:hAnsiTheme="minorHAnsi"/>
        </w:rPr>
        <w:t xml:space="preserve"> to articulate unique competencies for the revised general MPH.  During our January </w:t>
      </w:r>
      <w:r w:rsidR="00952134">
        <w:rPr>
          <w:rFonts w:asciiTheme="minorHAnsi" w:hAnsiTheme="minorHAnsi"/>
        </w:rPr>
        <w:t xml:space="preserve">2017 </w:t>
      </w:r>
      <w:r>
        <w:rPr>
          <w:rFonts w:asciiTheme="minorHAnsi" w:hAnsiTheme="minorHAnsi"/>
        </w:rPr>
        <w:t xml:space="preserve">workday, faculty were asked to individually identify the top ten skills all MPH students should have when they graduate.  </w:t>
      </w:r>
      <w:r w:rsidR="00C926ED">
        <w:rPr>
          <w:rFonts w:asciiTheme="minorHAnsi" w:hAnsiTheme="minorHAnsi"/>
        </w:rPr>
        <w:t xml:space="preserve">Faculty dyads discussed one another’s lists and created a master list.  This process was repeated with successively larger groups until a single group list was created.  This process was repeated </w:t>
      </w:r>
      <w:r w:rsidR="008B7E38">
        <w:rPr>
          <w:rFonts w:asciiTheme="minorHAnsi" w:hAnsiTheme="minorHAnsi"/>
        </w:rPr>
        <w:t xml:space="preserve">with </w:t>
      </w:r>
      <w:r w:rsidR="00C926ED">
        <w:rPr>
          <w:rFonts w:asciiTheme="minorHAnsi" w:hAnsiTheme="minorHAnsi"/>
        </w:rPr>
        <w:t xml:space="preserve">advisory committee </w:t>
      </w:r>
      <w:r w:rsidR="008B7E38">
        <w:rPr>
          <w:rFonts w:asciiTheme="minorHAnsi" w:hAnsiTheme="minorHAnsi"/>
        </w:rPr>
        <w:t>members</w:t>
      </w:r>
      <w:r w:rsidR="004A3680">
        <w:rPr>
          <w:rFonts w:asciiTheme="minorHAnsi" w:hAnsiTheme="minorHAnsi"/>
        </w:rPr>
        <w:t xml:space="preserve"> in March 2017</w:t>
      </w:r>
      <w:r w:rsidR="008B7E38">
        <w:rPr>
          <w:rFonts w:asciiTheme="minorHAnsi" w:hAnsiTheme="minorHAnsi"/>
        </w:rPr>
        <w:t xml:space="preserve">, </w:t>
      </w:r>
      <w:r w:rsidR="00C926ED">
        <w:rPr>
          <w:rFonts w:asciiTheme="minorHAnsi" w:hAnsiTheme="minorHAnsi"/>
        </w:rPr>
        <w:t>with faculty serving as small-group facilitators.</w:t>
      </w:r>
      <w:r w:rsidR="00952134">
        <w:rPr>
          <w:rFonts w:asciiTheme="minorHAnsi" w:hAnsiTheme="minorHAnsi"/>
        </w:rPr>
        <w:t xml:space="preserve"> </w:t>
      </w:r>
    </w:p>
    <w:p w:rsidR="008B50DD" w:rsidRDefault="008B50DD" w:rsidP="00507536">
      <w:pPr>
        <w:pStyle w:val="Default"/>
        <w:rPr>
          <w:rFonts w:asciiTheme="minorHAnsi" w:hAnsiTheme="minorHAnsi"/>
        </w:rPr>
      </w:pPr>
    </w:p>
    <w:p w:rsidR="00AB241C" w:rsidRDefault="00C926ED" w:rsidP="00507536">
      <w:pPr>
        <w:pStyle w:val="Default"/>
        <w:rPr>
          <w:rFonts w:asciiTheme="minorHAnsi" w:hAnsiTheme="minorHAnsi"/>
        </w:rPr>
      </w:pPr>
      <w:r>
        <w:rPr>
          <w:rFonts w:asciiTheme="minorHAnsi" w:hAnsiTheme="minorHAnsi"/>
        </w:rPr>
        <w:t xml:space="preserve">Many of the </w:t>
      </w:r>
      <w:r w:rsidR="00447070">
        <w:rPr>
          <w:rFonts w:asciiTheme="minorHAnsi" w:hAnsiTheme="minorHAnsi"/>
        </w:rPr>
        <w:t xml:space="preserve">desired </w:t>
      </w:r>
      <w:r>
        <w:rPr>
          <w:rFonts w:asciiTheme="minorHAnsi" w:hAnsiTheme="minorHAnsi"/>
        </w:rPr>
        <w:t>skills/</w:t>
      </w:r>
      <w:r w:rsidRPr="00D96CA6">
        <w:rPr>
          <w:rFonts w:asciiTheme="minorHAnsi" w:hAnsiTheme="minorHAnsi"/>
        </w:rPr>
        <w:t>competencies identified</w:t>
      </w:r>
      <w:r w:rsidR="00447070">
        <w:rPr>
          <w:rFonts w:asciiTheme="minorHAnsi" w:hAnsiTheme="minorHAnsi"/>
        </w:rPr>
        <w:t xml:space="preserve"> by</w:t>
      </w:r>
      <w:r w:rsidR="00952134" w:rsidRPr="00D96CA6">
        <w:rPr>
          <w:rFonts w:asciiTheme="minorHAnsi" w:hAnsiTheme="minorHAnsi"/>
        </w:rPr>
        <w:t xml:space="preserve"> both groups were</w:t>
      </w:r>
      <w:r w:rsidRPr="00D96CA6">
        <w:rPr>
          <w:rFonts w:asciiTheme="minorHAnsi" w:hAnsiTheme="minorHAnsi"/>
        </w:rPr>
        <w:t xml:space="preserve"> subsumed withi</w:t>
      </w:r>
      <w:r w:rsidR="00F56980" w:rsidRPr="00D96CA6">
        <w:rPr>
          <w:rFonts w:asciiTheme="minorHAnsi" w:hAnsiTheme="minorHAnsi"/>
        </w:rPr>
        <w:t>n</w:t>
      </w:r>
      <w:r w:rsidR="0019353D">
        <w:rPr>
          <w:rFonts w:asciiTheme="minorHAnsi" w:hAnsiTheme="minorHAnsi"/>
        </w:rPr>
        <w:t xml:space="preserve"> the foundational competencies</w:t>
      </w:r>
      <w:r w:rsidR="0019353D">
        <w:rPr>
          <w:rStyle w:val="FootnoteReference"/>
          <w:rFonts w:asciiTheme="minorHAnsi" w:hAnsiTheme="minorHAnsi"/>
        </w:rPr>
        <w:footnoteReference w:id="6"/>
      </w:r>
      <w:r w:rsidR="00AB241C" w:rsidRPr="00D96CA6">
        <w:rPr>
          <w:rFonts w:asciiTheme="minorHAnsi" w:hAnsiTheme="minorHAnsi"/>
        </w:rPr>
        <w:t>.</w:t>
      </w:r>
      <w:r w:rsidR="00AB241C">
        <w:rPr>
          <w:rFonts w:asciiTheme="minorHAnsi" w:hAnsiTheme="minorHAnsi"/>
        </w:rPr>
        <w:t xml:space="preserve"> Those that were not, however, were used </w:t>
      </w:r>
      <w:r w:rsidR="005B1D8F">
        <w:rPr>
          <w:rFonts w:asciiTheme="minorHAnsi" w:hAnsiTheme="minorHAnsi"/>
        </w:rPr>
        <w:t>t</w:t>
      </w:r>
      <w:r w:rsidR="00CE04CD">
        <w:rPr>
          <w:rFonts w:asciiTheme="minorHAnsi" w:hAnsiTheme="minorHAnsi"/>
        </w:rPr>
        <w:t xml:space="preserve">o </w:t>
      </w:r>
      <w:r w:rsidR="00447070">
        <w:rPr>
          <w:rFonts w:asciiTheme="minorHAnsi" w:hAnsiTheme="minorHAnsi"/>
        </w:rPr>
        <w:t>generate these five unique competencies for our general MPH:</w:t>
      </w:r>
    </w:p>
    <w:p w:rsidR="005B1D8F" w:rsidRDefault="005B1D8F" w:rsidP="00507536">
      <w:pPr>
        <w:pStyle w:val="Default"/>
        <w:rPr>
          <w:rFonts w:asciiTheme="minorHAnsi" w:hAnsiTheme="minorHAnsi"/>
        </w:rPr>
      </w:pPr>
    </w:p>
    <w:p w:rsidR="005B1D8F" w:rsidRDefault="005B1D8F" w:rsidP="008B50E2">
      <w:pPr>
        <w:pStyle w:val="Default"/>
        <w:numPr>
          <w:ilvl w:val="0"/>
          <w:numId w:val="8"/>
        </w:numPr>
        <w:rPr>
          <w:rFonts w:asciiTheme="minorHAnsi" w:hAnsiTheme="minorHAnsi"/>
        </w:rPr>
      </w:pPr>
      <w:r w:rsidRPr="005B1D8F">
        <w:rPr>
          <w:rFonts w:asciiTheme="minorHAnsi" w:hAnsiTheme="minorHAnsi"/>
        </w:rPr>
        <w:t>Apply health behavior theories and models to address public health problems.</w:t>
      </w:r>
    </w:p>
    <w:p w:rsidR="005B1D8F" w:rsidRDefault="005B1D8F" w:rsidP="008B50E2">
      <w:pPr>
        <w:pStyle w:val="Default"/>
        <w:numPr>
          <w:ilvl w:val="0"/>
          <w:numId w:val="8"/>
        </w:numPr>
        <w:rPr>
          <w:rFonts w:asciiTheme="minorHAnsi" w:hAnsiTheme="minorHAnsi"/>
        </w:rPr>
      </w:pPr>
      <w:r w:rsidRPr="005B1D8F">
        <w:rPr>
          <w:rFonts w:asciiTheme="minorHAnsi" w:hAnsiTheme="minorHAnsi"/>
        </w:rPr>
        <w:t>Describe the role of budgeting; methods of seeking extramural funding; and methods of financial analysis in making decisions about policies, programs and services.</w:t>
      </w:r>
    </w:p>
    <w:p w:rsidR="005B1D8F" w:rsidRDefault="005B1D8F" w:rsidP="008B50E2">
      <w:pPr>
        <w:pStyle w:val="Default"/>
        <w:numPr>
          <w:ilvl w:val="0"/>
          <w:numId w:val="8"/>
        </w:numPr>
        <w:rPr>
          <w:rFonts w:asciiTheme="minorHAnsi" w:hAnsiTheme="minorHAnsi"/>
        </w:rPr>
      </w:pPr>
      <w:r w:rsidRPr="005B1D8F">
        <w:rPr>
          <w:rFonts w:asciiTheme="minorHAnsi" w:hAnsiTheme="minorHAnsi"/>
        </w:rPr>
        <w:t>Discuss theoretical models and methods used to understand, explain, and ameliorate health disparities</w:t>
      </w:r>
      <w:r w:rsidR="002D1B9F">
        <w:rPr>
          <w:rStyle w:val="FootnoteReference"/>
          <w:rFonts w:asciiTheme="minorHAnsi" w:hAnsiTheme="minorHAnsi"/>
        </w:rPr>
        <w:footnoteReference w:id="7"/>
      </w:r>
      <w:r w:rsidRPr="005B1D8F">
        <w:rPr>
          <w:rFonts w:asciiTheme="minorHAnsi" w:hAnsiTheme="minorHAnsi"/>
        </w:rPr>
        <w:t>.</w:t>
      </w:r>
    </w:p>
    <w:p w:rsidR="005B1D8F" w:rsidRDefault="005B1D8F" w:rsidP="008B50E2">
      <w:pPr>
        <w:pStyle w:val="Default"/>
        <w:numPr>
          <w:ilvl w:val="0"/>
          <w:numId w:val="8"/>
        </w:numPr>
        <w:rPr>
          <w:rFonts w:asciiTheme="minorHAnsi" w:hAnsiTheme="minorHAnsi"/>
        </w:rPr>
      </w:pPr>
      <w:r w:rsidRPr="005B1D8F">
        <w:rPr>
          <w:rFonts w:asciiTheme="minorHAnsi" w:hAnsiTheme="minorHAnsi"/>
        </w:rPr>
        <w:t xml:space="preserve">Integrate social determinants into public health science, practice, and research. </w:t>
      </w:r>
    </w:p>
    <w:p w:rsidR="005B1D8F" w:rsidRPr="005B1D8F" w:rsidRDefault="005B1D8F" w:rsidP="008B50E2">
      <w:pPr>
        <w:pStyle w:val="Default"/>
        <w:numPr>
          <w:ilvl w:val="0"/>
          <w:numId w:val="8"/>
        </w:numPr>
        <w:rPr>
          <w:rFonts w:asciiTheme="minorHAnsi" w:hAnsiTheme="minorHAnsi"/>
        </w:rPr>
      </w:pPr>
      <w:r w:rsidRPr="005B1D8F">
        <w:rPr>
          <w:rFonts w:asciiTheme="minorHAnsi" w:hAnsiTheme="minorHAnsi"/>
        </w:rPr>
        <w:t>Identify the direct and indirect population health effects of environmental hazards (biological, chemical and physical) on humans, animals and the ecology</w:t>
      </w:r>
    </w:p>
    <w:p w:rsidR="00AB241C" w:rsidRPr="005B1D8F" w:rsidRDefault="00AB241C" w:rsidP="00507536">
      <w:pPr>
        <w:pStyle w:val="Default"/>
        <w:rPr>
          <w:rFonts w:asciiTheme="minorHAnsi" w:hAnsiTheme="minorHAnsi"/>
        </w:rPr>
      </w:pPr>
    </w:p>
    <w:p w:rsidR="004A3680" w:rsidRDefault="00E33369" w:rsidP="00507536">
      <w:pPr>
        <w:pStyle w:val="Default"/>
        <w:rPr>
          <w:rFonts w:asciiTheme="minorHAnsi" w:hAnsiTheme="minorHAnsi"/>
        </w:rPr>
      </w:pPr>
      <w:r>
        <w:rPr>
          <w:rFonts w:asciiTheme="minorHAnsi" w:hAnsiTheme="minorHAnsi"/>
        </w:rPr>
        <w:t>The</w:t>
      </w:r>
      <w:r w:rsidR="00447070">
        <w:rPr>
          <w:rFonts w:asciiTheme="minorHAnsi" w:hAnsiTheme="minorHAnsi"/>
        </w:rPr>
        <w:t>se</w:t>
      </w:r>
      <w:r>
        <w:rPr>
          <w:rFonts w:asciiTheme="minorHAnsi" w:hAnsiTheme="minorHAnsi"/>
        </w:rPr>
        <w:t xml:space="preserve"> competencies have been added to the competency-alignment grid, and will be assessed as described in the section above.  </w:t>
      </w:r>
    </w:p>
    <w:p w:rsidR="004A3680" w:rsidRDefault="004A3680" w:rsidP="00507536">
      <w:pPr>
        <w:pStyle w:val="Default"/>
        <w:rPr>
          <w:rFonts w:asciiTheme="minorHAnsi" w:hAnsiTheme="minorHAnsi"/>
        </w:rPr>
      </w:pPr>
    </w:p>
    <w:p w:rsidR="004A3680" w:rsidRPr="004A3680" w:rsidRDefault="004A3680" w:rsidP="00507536">
      <w:pPr>
        <w:pStyle w:val="Default"/>
        <w:rPr>
          <w:rFonts w:asciiTheme="minorHAnsi" w:hAnsiTheme="minorHAnsi"/>
          <w:u w:val="single"/>
        </w:rPr>
      </w:pPr>
      <w:r w:rsidRPr="004A3680">
        <w:rPr>
          <w:rFonts w:asciiTheme="minorHAnsi" w:hAnsiTheme="minorHAnsi"/>
          <w:u w:val="single"/>
        </w:rPr>
        <w:t>Competency Review</w:t>
      </w:r>
    </w:p>
    <w:p w:rsidR="00AB241C" w:rsidRDefault="004A3680" w:rsidP="00507536">
      <w:pPr>
        <w:pStyle w:val="Default"/>
        <w:rPr>
          <w:rFonts w:asciiTheme="minorHAnsi" w:hAnsiTheme="minorHAnsi"/>
        </w:rPr>
      </w:pPr>
      <w:r>
        <w:rPr>
          <w:rFonts w:asciiTheme="minorHAnsi" w:hAnsiTheme="minorHAnsi"/>
        </w:rPr>
        <w:t>Begin</w:t>
      </w:r>
      <w:r w:rsidR="00E33369">
        <w:rPr>
          <w:rFonts w:asciiTheme="minorHAnsi" w:hAnsiTheme="minorHAnsi"/>
        </w:rPr>
        <w:t xml:space="preserve">ning fall 2018, </w:t>
      </w:r>
      <w:r w:rsidR="00A97EF9">
        <w:rPr>
          <w:rFonts w:asciiTheme="minorHAnsi" w:hAnsiTheme="minorHAnsi"/>
        </w:rPr>
        <w:t>we will review our</w:t>
      </w:r>
      <w:r w:rsidR="00AB241C">
        <w:rPr>
          <w:rFonts w:asciiTheme="minorHAnsi" w:hAnsiTheme="minorHAnsi"/>
        </w:rPr>
        <w:t xml:space="preserve"> concentration competencies annually during our </w:t>
      </w:r>
      <w:r>
        <w:rPr>
          <w:rFonts w:asciiTheme="minorHAnsi" w:hAnsiTheme="minorHAnsi"/>
        </w:rPr>
        <w:t>MPH</w:t>
      </w:r>
      <w:r w:rsidR="00E33369">
        <w:rPr>
          <w:rFonts w:asciiTheme="minorHAnsi" w:hAnsiTheme="minorHAnsi"/>
        </w:rPr>
        <w:t xml:space="preserve"> workday </w:t>
      </w:r>
      <w:r>
        <w:rPr>
          <w:rFonts w:asciiTheme="minorHAnsi" w:hAnsiTheme="minorHAnsi"/>
        </w:rPr>
        <w:t xml:space="preserve">in August </w:t>
      </w:r>
      <w:r w:rsidR="00E33369">
        <w:rPr>
          <w:rFonts w:asciiTheme="minorHAnsi" w:hAnsiTheme="minorHAnsi"/>
        </w:rPr>
        <w:t xml:space="preserve">and </w:t>
      </w:r>
      <w:r>
        <w:rPr>
          <w:rFonts w:asciiTheme="minorHAnsi" w:hAnsiTheme="minorHAnsi"/>
        </w:rPr>
        <w:t xml:space="preserve">again </w:t>
      </w:r>
      <w:r w:rsidR="00A97EF9">
        <w:rPr>
          <w:rFonts w:asciiTheme="minorHAnsi" w:hAnsiTheme="minorHAnsi"/>
        </w:rPr>
        <w:t>during our</w:t>
      </w:r>
      <w:r>
        <w:rPr>
          <w:rFonts w:asciiTheme="minorHAnsi" w:hAnsiTheme="minorHAnsi"/>
        </w:rPr>
        <w:t xml:space="preserve"> </w:t>
      </w:r>
      <w:r w:rsidR="00E33369">
        <w:rPr>
          <w:rFonts w:asciiTheme="minorHAnsi" w:hAnsiTheme="minorHAnsi"/>
        </w:rPr>
        <w:t xml:space="preserve">advisory committee </w:t>
      </w:r>
      <w:r w:rsidR="00A97EF9">
        <w:rPr>
          <w:rFonts w:asciiTheme="minorHAnsi" w:hAnsiTheme="minorHAnsi"/>
        </w:rPr>
        <w:t>meeting in September.</w:t>
      </w:r>
    </w:p>
    <w:p w:rsidR="00083539" w:rsidRDefault="00083539" w:rsidP="00507536">
      <w:pPr>
        <w:pStyle w:val="Default"/>
        <w:rPr>
          <w:rFonts w:asciiTheme="minorHAnsi" w:hAnsiTheme="minorHAnsi"/>
        </w:rPr>
      </w:pPr>
    </w:p>
    <w:p w:rsidR="00083539" w:rsidRDefault="00083539" w:rsidP="00507536">
      <w:pPr>
        <w:pStyle w:val="Default"/>
        <w:rPr>
          <w:rFonts w:asciiTheme="minorHAnsi" w:hAnsiTheme="minorHAnsi"/>
        </w:rPr>
      </w:pPr>
    </w:p>
    <w:p w:rsidR="00253763" w:rsidRDefault="00253763" w:rsidP="00507536">
      <w:pPr>
        <w:pStyle w:val="Default"/>
        <w:rPr>
          <w:rFonts w:asciiTheme="minorHAnsi" w:hAnsiTheme="minorHAnsi"/>
        </w:rPr>
      </w:pPr>
    </w:p>
    <w:p w:rsidR="004936CE" w:rsidRPr="00BF236B" w:rsidRDefault="004936CE">
      <w:pPr>
        <w:rPr>
          <w:rFonts w:cs="Arial"/>
          <w:color w:val="000000"/>
          <w:szCs w:val="24"/>
        </w:rPr>
      </w:pPr>
      <w:r w:rsidRPr="00BF236B">
        <w:rPr>
          <w:szCs w:val="24"/>
        </w:rPr>
        <w:br w:type="page"/>
      </w:r>
    </w:p>
    <w:p w:rsidR="00446364" w:rsidRPr="00D30B12" w:rsidRDefault="00490BE4" w:rsidP="005327E4">
      <w:pPr>
        <w:pStyle w:val="Heading1"/>
      </w:pPr>
      <w:bookmarkStart w:id="8" w:name="_Toc490316875"/>
      <w:r w:rsidRPr="00D30B12">
        <w:lastRenderedPageBreak/>
        <w:t>H.</w:t>
      </w:r>
      <w:r w:rsidR="00507536" w:rsidRPr="00D30B12">
        <w:t xml:space="preserve"> Implemented procedures to ensure that all generalist MPH students identify competencies and complete coursework that relates to the stated competencies. The report should provide samples of individual students’ competency sets and the coursework selected to address those competencies. (Criterion 2.6)</w:t>
      </w:r>
      <w:bookmarkEnd w:id="8"/>
      <w:r w:rsidR="00507536" w:rsidRPr="00D30B12">
        <w:t xml:space="preserve"> </w:t>
      </w:r>
    </w:p>
    <w:p w:rsidR="009614DF" w:rsidRDefault="009614DF" w:rsidP="00D50709">
      <w:pPr>
        <w:pStyle w:val="Default"/>
        <w:spacing w:after="43"/>
        <w:rPr>
          <w:rFonts w:asciiTheme="minorHAnsi" w:hAnsiTheme="minorHAnsi"/>
        </w:rPr>
      </w:pPr>
    </w:p>
    <w:p w:rsidR="00463D38" w:rsidRDefault="004177F7" w:rsidP="00D50709">
      <w:pPr>
        <w:pStyle w:val="Default"/>
        <w:spacing w:after="43"/>
        <w:rPr>
          <w:rFonts w:asciiTheme="minorHAnsi" w:hAnsiTheme="minorHAnsi"/>
        </w:rPr>
      </w:pPr>
      <w:r>
        <w:rPr>
          <w:rFonts w:asciiTheme="minorHAnsi" w:hAnsiTheme="minorHAnsi"/>
        </w:rPr>
        <w:t xml:space="preserve">The </w:t>
      </w:r>
      <w:r w:rsidR="00446364">
        <w:rPr>
          <w:rFonts w:asciiTheme="minorHAnsi" w:hAnsiTheme="minorHAnsi"/>
        </w:rPr>
        <w:t>Focus Area Comp</w:t>
      </w:r>
      <w:r w:rsidR="00502DCC">
        <w:rPr>
          <w:rFonts w:asciiTheme="minorHAnsi" w:hAnsiTheme="minorHAnsi"/>
        </w:rPr>
        <w:t>etency Alignment Form (F</w:t>
      </w:r>
      <w:r>
        <w:rPr>
          <w:rFonts w:asciiTheme="minorHAnsi" w:hAnsiTheme="minorHAnsi"/>
        </w:rPr>
        <w:t>ACAF)</w:t>
      </w:r>
      <w:r w:rsidR="003F109D">
        <w:rPr>
          <w:rFonts w:asciiTheme="minorHAnsi" w:hAnsiTheme="minorHAnsi"/>
        </w:rPr>
        <w:t xml:space="preserve"> requires </w:t>
      </w:r>
      <w:r w:rsidR="00463D38">
        <w:rPr>
          <w:rFonts w:asciiTheme="minorHAnsi" w:hAnsiTheme="minorHAnsi"/>
        </w:rPr>
        <w:t>MPH</w:t>
      </w:r>
      <w:r>
        <w:rPr>
          <w:rFonts w:asciiTheme="minorHAnsi" w:hAnsiTheme="minorHAnsi"/>
        </w:rPr>
        <w:t xml:space="preserve"> </w:t>
      </w:r>
      <w:r w:rsidR="003F109D">
        <w:rPr>
          <w:rFonts w:asciiTheme="minorHAnsi" w:hAnsiTheme="minorHAnsi"/>
        </w:rPr>
        <w:t>students</w:t>
      </w:r>
      <w:r w:rsidR="008B50DD">
        <w:rPr>
          <w:rFonts w:asciiTheme="minorHAnsi" w:hAnsiTheme="minorHAnsi"/>
        </w:rPr>
        <w:t xml:space="preserve"> in the original generalist concentration </w:t>
      </w:r>
      <w:r w:rsidR="003F109D">
        <w:rPr>
          <w:rFonts w:asciiTheme="minorHAnsi" w:hAnsiTheme="minorHAnsi"/>
        </w:rPr>
        <w:t xml:space="preserve">to identify </w:t>
      </w:r>
      <w:r>
        <w:rPr>
          <w:rFonts w:asciiTheme="minorHAnsi" w:hAnsiTheme="minorHAnsi"/>
        </w:rPr>
        <w:t>five unique competencies</w:t>
      </w:r>
      <w:r w:rsidR="008B50DD">
        <w:rPr>
          <w:rFonts w:asciiTheme="minorHAnsi" w:hAnsiTheme="minorHAnsi"/>
        </w:rPr>
        <w:t>,</w:t>
      </w:r>
      <w:r w:rsidR="00E2703F">
        <w:rPr>
          <w:rFonts w:asciiTheme="minorHAnsi" w:hAnsiTheme="minorHAnsi"/>
        </w:rPr>
        <w:t xml:space="preserve"> </w:t>
      </w:r>
      <w:r w:rsidR="008B50DD">
        <w:rPr>
          <w:rFonts w:asciiTheme="minorHAnsi" w:hAnsiTheme="minorHAnsi"/>
        </w:rPr>
        <w:t xml:space="preserve">in conjunction with their advisor, </w:t>
      </w:r>
      <w:r w:rsidR="00E2703F">
        <w:rPr>
          <w:rFonts w:asciiTheme="minorHAnsi" w:hAnsiTheme="minorHAnsi"/>
        </w:rPr>
        <w:t>and</w:t>
      </w:r>
      <w:r w:rsidR="003C46D7">
        <w:rPr>
          <w:rFonts w:asciiTheme="minorHAnsi" w:hAnsiTheme="minorHAnsi"/>
        </w:rPr>
        <w:t xml:space="preserve"> to</w:t>
      </w:r>
      <w:r w:rsidR="00E2703F">
        <w:rPr>
          <w:rFonts w:asciiTheme="minorHAnsi" w:hAnsiTheme="minorHAnsi"/>
        </w:rPr>
        <w:t xml:space="preserve"> select courses to meet them.</w:t>
      </w:r>
      <w:r>
        <w:rPr>
          <w:rFonts w:asciiTheme="minorHAnsi" w:hAnsiTheme="minorHAnsi"/>
        </w:rPr>
        <w:t xml:space="preserve">  </w:t>
      </w:r>
      <w:r w:rsidR="00AE20D9">
        <w:rPr>
          <w:rFonts w:asciiTheme="minorHAnsi" w:hAnsiTheme="minorHAnsi"/>
        </w:rPr>
        <w:t>The following information was</w:t>
      </w:r>
      <w:r w:rsidR="00A37FFA">
        <w:rPr>
          <w:rFonts w:asciiTheme="minorHAnsi" w:hAnsiTheme="minorHAnsi"/>
        </w:rPr>
        <w:t xml:space="preserve"> abstracted from the FACAFs of the three generalist MPH students who did not opt to transition to the </w:t>
      </w:r>
      <w:r w:rsidR="0057427A">
        <w:rPr>
          <w:rFonts w:asciiTheme="minorHAnsi" w:hAnsiTheme="minorHAnsi"/>
        </w:rPr>
        <w:t>revised</w:t>
      </w:r>
      <w:r w:rsidR="000102C4">
        <w:rPr>
          <w:rFonts w:asciiTheme="minorHAnsi" w:hAnsiTheme="minorHAnsi"/>
        </w:rPr>
        <w:t xml:space="preserve"> MPH</w:t>
      </w:r>
      <w:r w:rsidR="00A37FFA">
        <w:rPr>
          <w:rFonts w:asciiTheme="minorHAnsi" w:hAnsiTheme="minorHAnsi"/>
        </w:rPr>
        <w:t xml:space="preserve">.  </w:t>
      </w:r>
    </w:p>
    <w:p w:rsidR="00A37FFA" w:rsidRDefault="00A37FFA" w:rsidP="00D50709">
      <w:pPr>
        <w:pStyle w:val="Default"/>
        <w:spacing w:after="43"/>
        <w:rPr>
          <w:rFonts w:asciiTheme="minorHAnsi" w:hAnsiTheme="minorHAnsi"/>
        </w:rPr>
      </w:pPr>
    </w:p>
    <w:tbl>
      <w:tblPr>
        <w:tblStyle w:val="TableGrid"/>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337"/>
      </w:tblGrid>
      <w:tr w:rsidR="0014630F" w:rsidRPr="000B3292" w:rsidTr="008F744D">
        <w:tc>
          <w:tcPr>
            <w:tcW w:w="5113" w:type="dxa"/>
            <w:tcBorders>
              <w:top w:val="single" w:sz="4" w:space="0" w:color="auto"/>
              <w:bottom w:val="single" w:sz="4" w:space="0" w:color="auto"/>
            </w:tcBorders>
          </w:tcPr>
          <w:p w:rsidR="0014630F" w:rsidRPr="000B3292" w:rsidRDefault="0014630F" w:rsidP="00D50709">
            <w:pPr>
              <w:pStyle w:val="Default"/>
              <w:spacing w:after="43"/>
              <w:rPr>
                <w:rFonts w:asciiTheme="minorHAnsi" w:hAnsiTheme="minorHAnsi"/>
                <w:b/>
                <w:sz w:val="22"/>
                <w:szCs w:val="22"/>
              </w:rPr>
            </w:pPr>
            <w:r w:rsidRPr="000B3292">
              <w:rPr>
                <w:rFonts w:asciiTheme="minorHAnsi" w:hAnsiTheme="minorHAnsi"/>
                <w:b/>
                <w:sz w:val="22"/>
                <w:szCs w:val="22"/>
              </w:rPr>
              <w:t>Competencies Identified</w:t>
            </w:r>
          </w:p>
        </w:tc>
        <w:tc>
          <w:tcPr>
            <w:tcW w:w="4337" w:type="dxa"/>
            <w:tcBorders>
              <w:top w:val="single" w:sz="4" w:space="0" w:color="auto"/>
              <w:bottom w:val="single" w:sz="4" w:space="0" w:color="auto"/>
            </w:tcBorders>
          </w:tcPr>
          <w:p w:rsidR="0014630F" w:rsidRPr="000B3292" w:rsidRDefault="0014630F" w:rsidP="00D50709">
            <w:pPr>
              <w:pStyle w:val="Default"/>
              <w:spacing w:after="43"/>
              <w:rPr>
                <w:rFonts w:asciiTheme="minorHAnsi" w:hAnsiTheme="minorHAnsi"/>
                <w:b/>
                <w:sz w:val="22"/>
                <w:szCs w:val="22"/>
              </w:rPr>
            </w:pPr>
            <w:r w:rsidRPr="000B3292">
              <w:rPr>
                <w:rFonts w:asciiTheme="minorHAnsi" w:hAnsiTheme="minorHAnsi"/>
                <w:b/>
                <w:sz w:val="22"/>
                <w:szCs w:val="22"/>
              </w:rPr>
              <w:t>Courses that Meet Competencies</w:t>
            </w:r>
          </w:p>
        </w:tc>
      </w:tr>
      <w:tr w:rsidR="0014630F" w:rsidRPr="000B3292" w:rsidTr="008F744D">
        <w:tc>
          <w:tcPr>
            <w:tcW w:w="9450" w:type="dxa"/>
            <w:gridSpan w:val="2"/>
            <w:tcBorders>
              <w:top w:val="single" w:sz="4" w:space="0" w:color="auto"/>
            </w:tcBorders>
            <w:shd w:val="clear" w:color="auto" w:fill="D9D9D9" w:themeFill="background1" w:themeFillShade="D9"/>
          </w:tcPr>
          <w:p w:rsidR="0014630F" w:rsidRPr="000B3292" w:rsidRDefault="0014630F" w:rsidP="00D50709">
            <w:pPr>
              <w:pStyle w:val="Default"/>
              <w:spacing w:after="43"/>
              <w:rPr>
                <w:rFonts w:asciiTheme="minorHAnsi" w:hAnsiTheme="minorHAnsi"/>
                <w:b/>
                <w:sz w:val="22"/>
                <w:szCs w:val="22"/>
              </w:rPr>
            </w:pPr>
            <w:r w:rsidRPr="000B3292">
              <w:rPr>
                <w:rFonts w:asciiTheme="minorHAnsi" w:hAnsiTheme="minorHAnsi"/>
                <w:b/>
                <w:sz w:val="22"/>
                <w:szCs w:val="22"/>
              </w:rPr>
              <w:t>Student 1</w:t>
            </w:r>
          </w:p>
        </w:tc>
      </w:tr>
      <w:tr w:rsidR="0014630F" w:rsidRPr="000B3292" w:rsidTr="008F744D">
        <w:tc>
          <w:tcPr>
            <w:tcW w:w="5113" w:type="dxa"/>
          </w:tcPr>
          <w:p w:rsidR="0014630F" w:rsidRPr="000B3292" w:rsidRDefault="0014630F" w:rsidP="000040C0">
            <w:pPr>
              <w:rPr>
                <w:rFonts w:eastAsia="Times New Roman" w:cs="Times New Roman"/>
                <w:sz w:val="22"/>
              </w:rPr>
            </w:pPr>
            <w:r w:rsidRPr="000B3292">
              <w:rPr>
                <w:sz w:val="22"/>
              </w:rPr>
              <w:t>1.</w:t>
            </w:r>
            <w:r w:rsidR="000040C0" w:rsidRPr="000B3292">
              <w:rPr>
                <w:sz w:val="22"/>
              </w:rPr>
              <w:t xml:space="preserve"> </w:t>
            </w:r>
            <w:r w:rsidR="000040C0" w:rsidRPr="000B3292">
              <w:rPr>
                <w:rFonts w:eastAsia="Times New Roman" w:cs="Times New Roman"/>
                <w:sz w:val="22"/>
              </w:rPr>
              <w:t xml:space="preserve">Design theory-based worksite health promotion programs </w:t>
            </w:r>
          </w:p>
        </w:tc>
        <w:tc>
          <w:tcPr>
            <w:tcW w:w="4337" w:type="dxa"/>
          </w:tcPr>
          <w:p w:rsidR="000040C0" w:rsidRPr="000B3292" w:rsidRDefault="000040C0" w:rsidP="000040C0">
            <w:pPr>
              <w:pStyle w:val="Default"/>
              <w:spacing w:after="43"/>
              <w:rPr>
                <w:rFonts w:asciiTheme="minorHAnsi" w:hAnsiTheme="minorHAnsi"/>
                <w:sz w:val="22"/>
                <w:szCs w:val="22"/>
              </w:rPr>
            </w:pPr>
            <w:r w:rsidRPr="000B3292">
              <w:rPr>
                <w:rFonts w:asciiTheme="minorHAnsi" w:hAnsiTheme="minorHAnsi"/>
                <w:sz w:val="22"/>
                <w:szCs w:val="22"/>
              </w:rPr>
              <w:t>PH 502: Health Promotion in the Workplace</w:t>
            </w:r>
          </w:p>
          <w:p w:rsidR="0014630F" w:rsidRPr="000B3292" w:rsidRDefault="000040C0" w:rsidP="0055165B">
            <w:pPr>
              <w:pStyle w:val="Default"/>
              <w:spacing w:after="43"/>
              <w:rPr>
                <w:rFonts w:asciiTheme="minorHAnsi" w:hAnsiTheme="minorHAnsi"/>
                <w:sz w:val="22"/>
                <w:szCs w:val="22"/>
              </w:rPr>
            </w:pPr>
            <w:r w:rsidRPr="000B3292">
              <w:rPr>
                <w:rFonts w:asciiTheme="minorHAnsi" w:hAnsiTheme="minorHAnsi"/>
                <w:sz w:val="22"/>
                <w:szCs w:val="22"/>
              </w:rPr>
              <w:t>PH 575: Program  Planning</w:t>
            </w:r>
          </w:p>
        </w:tc>
      </w:tr>
      <w:tr w:rsidR="0014630F" w:rsidRPr="000B3292" w:rsidTr="008F744D">
        <w:tc>
          <w:tcPr>
            <w:tcW w:w="5113" w:type="dxa"/>
          </w:tcPr>
          <w:p w:rsidR="0014630F" w:rsidRPr="000B3292" w:rsidRDefault="0014630F" w:rsidP="0055165B">
            <w:pPr>
              <w:pStyle w:val="Default"/>
              <w:spacing w:after="43"/>
              <w:rPr>
                <w:rFonts w:asciiTheme="minorHAnsi" w:hAnsiTheme="minorHAnsi"/>
                <w:sz w:val="22"/>
                <w:szCs w:val="22"/>
              </w:rPr>
            </w:pPr>
            <w:r w:rsidRPr="000B3292">
              <w:rPr>
                <w:rFonts w:asciiTheme="minorHAnsi" w:hAnsiTheme="minorHAnsi"/>
                <w:sz w:val="22"/>
                <w:szCs w:val="22"/>
              </w:rPr>
              <w:t>2.</w:t>
            </w:r>
            <w:r w:rsidR="000040C0" w:rsidRPr="000B3292">
              <w:rPr>
                <w:rFonts w:asciiTheme="minorHAnsi" w:eastAsia="Times New Roman" w:hAnsiTheme="minorHAnsi" w:cs="Times New Roman"/>
                <w:sz w:val="22"/>
                <w:szCs w:val="22"/>
              </w:rPr>
              <w:t xml:space="preserve"> </w:t>
            </w:r>
            <w:r w:rsidR="0055165B" w:rsidRPr="000B3292">
              <w:rPr>
                <w:rFonts w:asciiTheme="minorHAnsi" w:eastAsia="Times New Roman" w:hAnsiTheme="minorHAnsi" w:cs="Times New Roman"/>
                <w:sz w:val="22"/>
                <w:szCs w:val="22"/>
              </w:rPr>
              <w:t>Describe a healthy culture</w:t>
            </w:r>
            <w:r w:rsidR="000040C0" w:rsidRPr="000040C0">
              <w:rPr>
                <w:rFonts w:asciiTheme="minorHAnsi" w:eastAsia="Times New Roman" w:hAnsiTheme="minorHAnsi" w:cs="Times New Roman"/>
                <w:sz w:val="22"/>
                <w:szCs w:val="22"/>
              </w:rPr>
              <w:t xml:space="preserve"> and supportive environment within the workplace</w:t>
            </w:r>
          </w:p>
        </w:tc>
        <w:tc>
          <w:tcPr>
            <w:tcW w:w="4337" w:type="dxa"/>
          </w:tcPr>
          <w:p w:rsidR="0014630F" w:rsidRPr="000B3292" w:rsidRDefault="00726EED" w:rsidP="00D50709">
            <w:pPr>
              <w:pStyle w:val="Default"/>
              <w:spacing w:after="43"/>
              <w:rPr>
                <w:rFonts w:asciiTheme="minorHAnsi" w:hAnsiTheme="minorHAnsi"/>
                <w:sz w:val="22"/>
                <w:szCs w:val="22"/>
              </w:rPr>
            </w:pPr>
            <w:r w:rsidRPr="000B3292">
              <w:rPr>
                <w:rFonts w:asciiTheme="minorHAnsi" w:hAnsiTheme="minorHAnsi"/>
                <w:sz w:val="22"/>
                <w:szCs w:val="22"/>
              </w:rPr>
              <w:t>PH 502: Health Promotion in the Workplace</w:t>
            </w:r>
          </w:p>
          <w:p w:rsidR="00726EED" w:rsidRPr="000B3292" w:rsidRDefault="00726EED" w:rsidP="00D50709">
            <w:pPr>
              <w:pStyle w:val="Default"/>
              <w:spacing w:after="43"/>
              <w:rPr>
                <w:rFonts w:asciiTheme="minorHAnsi" w:hAnsiTheme="minorHAnsi"/>
                <w:sz w:val="22"/>
                <w:szCs w:val="22"/>
              </w:rPr>
            </w:pPr>
            <w:r w:rsidRPr="000B3292">
              <w:rPr>
                <w:rFonts w:asciiTheme="minorHAnsi" w:hAnsiTheme="minorHAnsi"/>
                <w:sz w:val="22"/>
                <w:szCs w:val="22"/>
              </w:rPr>
              <w:t>PH 564: Public Health Issues in Women’s Health</w:t>
            </w:r>
          </w:p>
        </w:tc>
      </w:tr>
      <w:tr w:rsidR="0014630F" w:rsidRPr="000B3292" w:rsidTr="008F744D">
        <w:tc>
          <w:tcPr>
            <w:tcW w:w="5113" w:type="dxa"/>
          </w:tcPr>
          <w:p w:rsidR="0014630F" w:rsidRPr="000B3292" w:rsidRDefault="0014630F" w:rsidP="00D50709">
            <w:pPr>
              <w:pStyle w:val="Default"/>
              <w:spacing w:after="43"/>
              <w:rPr>
                <w:rFonts w:asciiTheme="minorHAnsi" w:hAnsiTheme="minorHAnsi"/>
                <w:sz w:val="22"/>
                <w:szCs w:val="22"/>
              </w:rPr>
            </w:pPr>
            <w:r w:rsidRPr="000B3292">
              <w:rPr>
                <w:rFonts w:asciiTheme="minorHAnsi" w:hAnsiTheme="minorHAnsi"/>
                <w:sz w:val="22"/>
                <w:szCs w:val="22"/>
              </w:rPr>
              <w:t>3.</w:t>
            </w:r>
            <w:r w:rsidR="000040C0" w:rsidRPr="000B3292">
              <w:rPr>
                <w:rFonts w:asciiTheme="minorHAnsi" w:hAnsiTheme="minorHAnsi"/>
                <w:sz w:val="22"/>
                <w:szCs w:val="22"/>
              </w:rPr>
              <w:t xml:space="preserve"> </w:t>
            </w:r>
            <w:r w:rsidR="000040C0" w:rsidRPr="000040C0">
              <w:rPr>
                <w:rFonts w:asciiTheme="minorHAnsi" w:eastAsia="Times New Roman" w:hAnsiTheme="minorHAnsi" w:cs="Times New Roman"/>
                <w:sz w:val="22"/>
                <w:szCs w:val="22"/>
              </w:rPr>
              <w:t>Demonstrate marketing strategies for health promotion programs within the workplace</w:t>
            </w:r>
          </w:p>
        </w:tc>
        <w:tc>
          <w:tcPr>
            <w:tcW w:w="4337" w:type="dxa"/>
          </w:tcPr>
          <w:p w:rsidR="00726EED" w:rsidRPr="000B3292" w:rsidRDefault="00726EED" w:rsidP="00D50709">
            <w:pPr>
              <w:pStyle w:val="Default"/>
              <w:spacing w:after="43"/>
              <w:rPr>
                <w:rFonts w:asciiTheme="minorHAnsi" w:hAnsiTheme="minorHAnsi"/>
                <w:sz w:val="22"/>
                <w:szCs w:val="22"/>
              </w:rPr>
            </w:pPr>
            <w:r w:rsidRPr="000B3292">
              <w:rPr>
                <w:rFonts w:asciiTheme="minorHAnsi" w:hAnsiTheme="minorHAnsi"/>
                <w:sz w:val="22"/>
                <w:szCs w:val="22"/>
              </w:rPr>
              <w:t>PH 502: Health Promotion in the Workplace</w:t>
            </w:r>
          </w:p>
          <w:p w:rsidR="0014630F" w:rsidRPr="000B3292" w:rsidRDefault="00AE20D9" w:rsidP="00D50709">
            <w:pPr>
              <w:pStyle w:val="Default"/>
              <w:spacing w:after="43"/>
              <w:rPr>
                <w:rFonts w:asciiTheme="minorHAnsi" w:hAnsiTheme="minorHAnsi"/>
                <w:sz w:val="22"/>
                <w:szCs w:val="22"/>
              </w:rPr>
            </w:pPr>
            <w:r w:rsidRPr="000B3292">
              <w:rPr>
                <w:rFonts w:asciiTheme="minorHAnsi" w:hAnsiTheme="minorHAnsi"/>
                <w:sz w:val="22"/>
                <w:szCs w:val="22"/>
              </w:rPr>
              <w:t>PH 575: Program Planning</w:t>
            </w:r>
          </w:p>
        </w:tc>
      </w:tr>
      <w:tr w:rsidR="0014630F" w:rsidRPr="000B3292" w:rsidTr="008F744D">
        <w:tc>
          <w:tcPr>
            <w:tcW w:w="5113" w:type="dxa"/>
          </w:tcPr>
          <w:p w:rsidR="0014630F" w:rsidRPr="000B3292" w:rsidRDefault="0014630F" w:rsidP="00D50709">
            <w:pPr>
              <w:pStyle w:val="Default"/>
              <w:spacing w:after="43"/>
              <w:rPr>
                <w:rFonts w:asciiTheme="minorHAnsi" w:hAnsiTheme="minorHAnsi"/>
                <w:sz w:val="22"/>
                <w:szCs w:val="22"/>
              </w:rPr>
            </w:pPr>
            <w:r w:rsidRPr="000B3292">
              <w:rPr>
                <w:rFonts w:asciiTheme="minorHAnsi" w:hAnsiTheme="minorHAnsi"/>
                <w:sz w:val="22"/>
                <w:szCs w:val="22"/>
              </w:rPr>
              <w:t>4.</w:t>
            </w:r>
            <w:r w:rsidR="000040C0" w:rsidRPr="000B3292">
              <w:rPr>
                <w:rFonts w:asciiTheme="minorHAnsi" w:hAnsiTheme="minorHAnsi"/>
                <w:sz w:val="22"/>
                <w:szCs w:val="22"/>
              </w:rPr>
              <w:t xml:space="preserve"> </w:t>
            </w:r>
            <w:r w:rsidR="000040C0" w:rsidRPr="000B3292">
              <w:rPr>
                <w:rFonts w:asciiTheme="minorHAnsi" w:eastAsia="Times New Roman" w:hAnsiTheme="minorHAnsi" w:cs="Times New Roman"/>
                <w:color w:val="auto"/>
                <w:sz w:val="22"/>
                <w:szCs w:val="22"/>
              </w:rPr>
              <w:t>Utilize effective communication techniques with employees and employers, including conflict resolution</w:t>
            </w:r>
          </w:p>
        </w:tc>
        <w:tc>
          <w:tcPr>
            <w:tcW w:w="4337" w:type="dxa"/>
          </w:tcPr>
          <w:p w:rsidR="0014630F" w:rsidRPr="000B3292" w:rsidRDefault="00AE20D9" w:rsidP="00D50709">
            <w:pPr>
              <w:pStyle w:val="Default"/>
              <w:spacing w:after="43"/>
              <w:rPr>
                <w:rFonts w:asciiTheme="minorHAnsi" w:hAnsiTheme="minorHAnsi"/>
                <w:sz w:val="22"/>
                <w:szCs w:val="22"/>
              </w:rPr>
            </w:pPr>
            <w:r w:rsidRPr="000B3292">
              <w:rPr>
                <w:rFonts w:asciiTheme="minorHAnsi" w:hAnsiTheme="minorHAnsi"/>
                <w:sz w:val="22"/>
                <w:szCs w:val="22"/>
              </w:rPr>
              <w:t>PH 5</w:t>
            </w:r>
            <w:r w:rsidR="000040C0" w:rsidRPr="000B3292">
              <w:rPr>
                <w:rFonts w:asciiTheme="minorHAnsi" w:hAnsiTheme="minorHAnsi"/>
                <w:sz w:val="22"/>
                <w:szCs w:val="22"/>
              </w:rPr>
              <w:t xml:space="preserve">76: Educational Methods and </w:t>
            </w:r>
            <w:r w:rsidR="008F744D">
              <w:rPr>
                <w:rFonts w:asciiTheme="minorHAnsi" w:hAnsiTheme="minorHAnsi"/>
                <w:sz w:val="22"/>
                <w:szCs w:val="22"/>
              </w:rPr>
              <w:t>T</w:t>
            </w:r>
            <w:r w:rsidR="000040C0" w:rsidRPr="000B3292">
              <w:rPr>
                <w:rFonts w:asciiTheme="minorHAnsi" w:hAnsiTheme="minorHAnsi"/>
                <w:sz w:val="22"/>
                <w:szCs w:val="22"/>
              </w:rPr>
              <w:t>echniques</w:t>
            </w:r>
          </w:p>
          <w:p w:rsidR="000040C0" w:rsidRPr="000B3292" w:rsidRDefault="000040C0" w:rsidP="00D50709">
            <w:pPr>
              <w:pStyle w:val="Default"/>
              <w:spacing w:after="43"/>
              <w:rPr>
                <w:rFonts w:asciiTheme="minorHAnsi" w:hAnsiTheme="minorHAnsi"/>
                <w:sz w:val="22"/>
                <w:szCs w:val="22"/>
              </w:rPr>
            </w:pPr>
            <w:r w:rsidRPr="000B3292">
              <w:rPr>
                <w:rFonts w:asciiTheme="minorHAnsi" w:hAnsiTheme="minorHAnsi"/>
                <w:sz w:val="22"/>
                <w:szCs w:val="22"/>
              </w:rPr>
              <w:t>PH 548: Community Health Organization</w:t>
            </w:r>
          </w:p>
        </w:tc>
      </w:tr>
      <w:tr w:rsidR="0014630F" w:rsidRPr="000B3292" w:rsidTr="008F744D">
        <w:tc>
          <w:tcPr>
            <w:tcW w:w="5113" w:type="dxa"/>
          </w:tcPr>
          <w:p w:rsidR="0014630F" w:rsidRPr="000B3292" w:rsidRDefault="0014630F" w:rsidP="0055165B">
            <w:pPr>
              <w:pStyle w:val="Default"/>
              <w:spacing w:after="43"/>
              <w:rPr>
                <w:rFonts w:asciiTheme="minorHAnsi" w:hAnsiTheme="minorHAnsi"/>
                <w:sz w:val="22"/>
                <w:szCs w:val="22"/>
              </w:rPr>
            </w:pPr>
            <w:r w:rsidRPr="000B3292">
              <w:rPr>
                <w:rFonts w:asciiTheme="minorHAnsi" w:hAnsiTheme="minorHAnsi"/>
                <w:sz w:val="22"/>
                <w:szCs w:val="22"/>
              </w:rPr>
              <w:t>5.</w:t>
            </w:r>
            <w:r w:rsidR="00726EED" w:rsidRPr="000B3292">
              <w:rPr>
                <w:rFonts w:asciiTheme="minorHAnsi" w:hAnsiTheme="minorHAnsi"/>
                <w:sz w:val="22"/>
                <w:szCs w:val="22"/>
              </w:rPr>
              <w:t xml:space="preserve"> Advocate </w:t>
            </w:r>
            <w:r w:rsidR="0055165B" w:rsidRPr="000B3292">
              <w:rPr>
                <w:rFonts w:asciiTheme="minorHAnsi" w:hAnsiTheme="minorHAnsi"/>
                <w:sz w:val="22"/>
                <w:szCs w:val="22"/>
              </w:rPr>
              <w:t xml:space="preserve">for programs and </w:t>
            </w:r>
            <w:r w:rsidR="00726EED" w:rsidRPr="000B3292">
              <w:rPr>
                <w:rFonts w:asciiTheme="minorHAnsi" w:hAnsiTheme="minorHAnsi"/>
                <w:sz w:val="22"/>
                <w:szCs w:val="22"/>
              </w:rPr>
              <w:t xml:space="preserve">policies and programs that will improve </w:t>
            </w:r>
            <w:r w:rsidR="0055165B" w:rsidRPr="000B3292">
              <w:rPr>
                <w:rFonts w:asciiTheme="minorHAnsi" w:hAnsiTheme="minorHAnsi"/>
                <w:sz w:val="22"/>
                <w:szCs w:val="22"/>
              </w:rPr>
              <w:t>health of the workforce.</w:t>
            </w:r>
          </w:p>
        </w:tc>
        <w:tc>
          <w:tcPr>
            <w:tcW w:w="4337" w:type="dxa"/>
          </w:tcPr>
          <w:p w:rsidR="0055165B" w:rsidRPr="000B3292" w:rsidRDefault="0055165B" w:rsidP="0055165B">
            <w:pPr>
              <w:pStyle w:val="Default"/>
              <w:spacing w:after="43"/>
              <w:rPr>
                <w:rFonts w:asciiTheme="minorHAnsi" w:hAnsiTheme="minorHAnsi"/>
                <w:sz w:val="22"/>
                <w:szCs w:val="22"/>
              </w:rPr>
            </w:pPr>
            <w:r w:rsidRPr="000B3292">
              <w:rPr>
                <w:rFonts w:asciiTheme="minorHAnsi" w:hAnsiTheme="minorHAnsi"/>
                <w:sz w:val="22"/>
                <w:szCs w:val="22"/>
              </w:rPr>
              <w:t>PH 502: Health Promotion in the Workplace</w:t>
            </w:r>
          </w:p>
          <w:p w:rsidR="0014630F" w:rsidRDefault="0055165B" w:rsidP="00D50709">
            <w:pPr>
              <w:pStyle w:val="Default"/>
              <w:spacing w:after="43"/>
              <w:rPr>
                <w:rFonts w:asciiTheme="minorHAnsi" w:hAnsiTheme="minorHAnsi"/>
                <w:sz w:val="22"/>
                <w:szCs w:val="22"/>
              </w:rPr>
            </w:pPr>
            <w:r w:rsidRPr="000B3292">
              <w:rPr>
                <w:rFonts w:asciiTheme="minorHAnsi" w:hAnsiTheme="minorHAnsi"/>
                <w:sz w:val="22"/>
                <w:szCs w:val="22"/>
              </w:rPr>
              <w:t>PH 548: Community Health Organization</w:t>
            </w:r>
          </w:p>
          <w:p w:rsidR="00AD326B" w:rsidRPr="000B3292" w:rsidRDefault="00AD326B" w:rsidP="00D50709">
            <w:pPr>
              <w:pStyle w:val="Default"/>
              <w:spacing w:after="43"/>
              <w:rPr>
                <w:rFonts w:asciiTheme="minorHAnsi" w:hAnsiTheme="minorHAnsi"/>
                <w:sz w:val="22"/>
                <w:szCs w:val="22"/>
              </w:rPr>
            </w:pPr>
          </w:p>
        </w:tc>
      </w:tr>
      <w:tr w:rsidR="0014630F" w:rsidRPr="000B3292" w:rsidTr="008F744D">
        <w:tc>
          <w:tcPr>
            <w:tcW w:w="9450" w:type="dxa"/>
            <w:gridSpan w:val="2"/>
            <w:shd w:val="clear" w:color="auto" w:fill="D9D9D9" w:themeFill="background1" w:themeFillShade="D9"/>
          </w:tcPr>
          <w:p w:rsidR="0014630F" w:rsidRPr="000B3292" w:rsidRDefault="0014630F" w:rsidP="00D50709">
            <w:pPr>
              <w:pStyle w:val="Default"/>
              <w:spacing w:after="43"/>
              <w:rPr>
                <w:rFonts w:asciiTheme="minorHAnsi" w:hAnsiTheme="minorHAnsi"/>
                <w:b/>
                <w:sz w:val="22"/>
                <w:szCs w:val="22"/>
              </w:rPr>
            </w:pPr>
            <w:r w:rsidRPr="000B3292">
              <w:rPr>
                <w:rFonts w:asciiTheme="minorHAnsi" w:hAnsiTheme="minorHAnsi"/>
                <w:b/>
                <w:sz w:val="22"/>
                <w:szCs w:val="22"/>
              </w:rPr>
              <w:t>Student 2</w:t>
            </w:r>
          </w:p>
        </w:tc>
      </w:tr>
      <w:tr w:rsidR="0014630F" w:rsidRPr="000B3292" w:rsidTr="008F744D">
        <w:tc>
          <w:tcPr>
            <w:tcW w:w="5113" w:type="dxa"/>
          </w:tcPr>
          <w:p w:rsidR="0014630F" w:rsidRPr="000B3292" w:rsidRDefault="0014630F" w:rsidP="00536201">
            <w:pPr>
              <w:pStyle w:val="Default"/>
              <w:spacing w:after="43"/>
              <w:rPr>
                <w:rFonts w:asciiTheme="minorHAnsi" w:hAnsiTheme="minorHAnsi"/>
                <w:sz w:val="22"/>
                <w:szCs w:val="22"/>
              </w:rPr>
            </w:pPr>
            <w:r w:rsidRPr="000B3292">
              <w:rPr>
                <w:rFonts w:asciiTheme="minorHAnsi" w:hAnsiTheme="minorHAnsi"/>
                <w:sz w:val="22"/>
                <w:szCs w:val="22"/>
              </w:rPr>
              <w:t>1.</w:t>
            </w:r>
            <w:r w:rsidR="00FB5C16" w:rsidRPr="000B3292">
              <w:rPr>
                <w:rFonts w:asciiTheme="minorHAnsi" w:hAnsiTheme="minorHAnsi"/>
                <w:sz w:val="22"/>
                <w:szCs w:val="22"/>
              </w:rPr>
              <w:t xml:space="preserve"> </w:t>
            </w:r>
            <w:r w:rsidR="00536201" w:rsidRPr="000B3292">
              <w:rPr>
                <w:rFonts w:asciiTheme="minorHAnsi" w:hAnsiTheme="minorHAnsi"/>
                <w:sz w:val="22"/>
                <w:szCs w:val="22"/>
              </w:rPr>
              <w:t xml:space="preserve">Assess </w:t>
            </w:r>
            <w:r w:rsidR="00FB5C16" w:rsidRPr="000B3292">
              <w:rPr>
                <w:rFonts w:asciiTheme="minorHAnsi" w:hAnsiTheme="minorHAnsi"/>
                <w:sz w:val="22"/>
                <w:szCs w:val="22"/>
              </w:rPr>
              <w:t>hazards in the built and natural environments</w:t>
            </w:r>
            <w:r w:rsidR="00536201" w:rsidRPr="000B3292">
              <w:rPr>
                <w:rFonts w:asciiTheme="minorHAnsi" w:hAnsiTheme="minorHAnsi"/>
                <w:sz w:val="22"/>
                <w:szCs w:val="22"/>
              </w:rPr>
              <w:t xml:space="preserve"> on human and ecosystem health</w:t>
            </w:r>
          </w:p>
        </w:tc>
        <w:tc>
          <w:tcPr>
            <w:tcW w:w="4337" w:type="dxa"/>
          </w:tcPr>
          <w:p w:rsidR="0014630F" w:rsidRPr="000B3292" w:rsidRDefault="0055165B" w:rsidP="0014630F">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536201" w:rsidRPr="000B3292" w:rsidRDefault="00536201" w:rsidP="0014630F">
            <w:pPr>
              <w:pStyle w:val="Default"/>
              <w:spacing w:after="43"/>
              <w:rPr>
                <w:rFonts w:asciiTheme="minorHAnsi" w:hAnsiTheme="minorHAnsi"/>
                <w:sz w:val="22"/>
                <w:szCs w:val="22"/>
              </w:rPr>
            </w:pPr>
            <w:r w:rsidRPr="000B3292">
              <w:rPr>
                <w:rFonts w:asciiTheme="minorHAnsi" w:hAnsiTheme="minorHAnsi"/>
                <w:sz w:val="22"/>
                <w:szCs w:val="22"/>
              </w:rPr>
              <w:t xml:space="preserve">EHS 580  Solid and Hazardous Waste </w:t>
            </w:r>
            <w:r w:rsidR="00350675">
              <w:rPr>
                <w:rFonts w:asciiTheme="minorHAnsi" w:hAnsiTheme="minorHAnsi"/>
                <w:sz w:val="22"/>
                <w:szCs w:val="22"/>
              </w:rPr>
              <w:t>Mgmt</w:t>
            </w:r>
          </w:p>
          <w:p w:rsidR="00536201" w:rsidRPr="000B3292" w:rsidRDefault="00536201" w:rsidP="0014630F">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p w:rsidR="00536201" w:rsidRPr="000B3292" w:rsidRDefault="00536201" w:rsidP="0014630F">
            <w:pPr>
              <w:pStyle w:val="Default"/>
              <w:spacing w:after="43"/>
              <w:rPr>
                <w:rFonts w:asciiTheme="minorHAnsi" w:hAnsiTheme="minorHAnsi"/>
                <w:sz w:val="22"/>
                <w:szCs w:val="22"/>
              </w:rPr>
            </w:pPr>
            <w:r w:rsidRPr="000B3292">
              <w:rPr>
                <w:rFonts w:asciiTheme="minorHAnsi" w:hAnsiTheme="minorHAnsi"/>
                <w:sz w:val="22"/>
                <w:szCs w:val="22"/>
              </w:rPr>
              <w:t>PH 510 Watershed Management and Science</w:t>
            </w:r>
          </w:p>
        </w:tc>
      </w:tr>
      <w:tr w:rsidR="000B3292" w:rsidRPr="000B3292" w:rsidTr="008F744D">
        <w:tc>
          <w:tcPr>
            <w:tcW w:w="5113" w:type="dxa"/>
          </w:tcPr>
          <w:p w:rsidR="000B3292" w:rsidRPr="000B3292" w:rsidRDefault="000B3292" w:rsidP="000B3292">
            <w:pPr>
              <w:rPr>
                <w:sz w:val="22"/>
              </w:rPr>
            </w:pPr>
            <w:r w:rsidRPr="000B3292">
              <w:rPr>
                <w:sz w:val="22"/>
              </w:rPr>
              <w:t xml:space="preserve">2. </w:t>
            </w:r>
            <w:r w:rsidRPr="000B3292">
              <w:rPr>
                <w:rFonts w:eastAsia="Times New Roman" w:cs="Times New Roman"/>
                <w:sz w:val="22"/>
              </w:rPr>
              <w:t>Propose</w:t>
            </w:r>
            <w:r w:rsidRPr="00D11291">
              <w:rPr>
                <w:rFonts w:eastAsia="Times New Roman" w:cs="Times New Roman"/>
                <w:sz w:val="22"/>
              </w:rPr>
              <w:t xml:space="preserve"> appropriate solutions to environmental health problems. </w:t>
            </w:r>
          </w:p>
        </w:tc>
        <w:tc>
          <w:tcPr>
            <w:tcW w:w="4337" w:type="dxa"/>
          </w:tcPr>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EHS 580  Solid and Hazardous Waste M</w:t>
            </w:r>
            <w:r w:rsidR="00350675">
              <w:rPr>
                <w:rFonts w:asciiTheme="minorHAnsi" w:hAnsiTheme="minorHAnsi"/>
                <w:sz w:val="22"/>
                <w:szCs w:val="22"/>
              </w:rPr>
              <w:t>gm</w:t>
            </w:r>
            <w:r w:rsidR="004B4140">
              <w:rPr>
                <w:rFonts w:asciiTheme="minorHAnsi" w:hAnsiTheme="minorHAnsi"/>
                <w:sz w:val="22"/>
                <w:szCs w:val="22"/>
              </w:rPr>
              <w:t>t</w:t>
            </w:r>
          </w:p>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510 Watershed Management and Science</w:t>
            </w:r>
          </w:p>
        </w:tc>
      </w:tr>
      <w:tr w:rsidR="004F07FB" w:rsidRPr="000B3292" w:rsidTr="008F744D">
        <w:tc>
          <w:tcPr>
            <w:tcW w:w="5113" w:type="dxa"/>
          </w:tcPr>
          <w:p w:rsidR="004F07FB" w:rsidRPr="000B3292" w:rsidRDefault="004F07FB" w:rsidP="004B4140">
            <w:pPr>
              <w:pStyle w:val="Default"/>
              <w:spacing w:after="43"/>
              <w:rPr>
                <w:rFonts w:asciiTheme="minorHAnsi" w:hAnsiTheme="minorHAnsi"/>
                <w:sz w:val="22"/>
                <w:szCs w:val="22"/>
              </w:rPr>
            </w:pPr>
            <w:r w:rsidRPr="000B3292">
              <w:rPr>
                <w:rFonts w:asciiTheme="minorHAnsi" w:hAnsiTheme="minorHAnsi"/>
                <w:sz w:val="22"/>
                <w:szCs w:val="22"/>
              </w:rPr>
              <w:t>3. Describe the mechanisms of toxicity of biological, chemical, and physical stressors.</w:t>
            </w:r>
          </w:p>
        </w:tc>
        <w:tc>
          <w:tcPr>
            <w:tcW w:w="4337" w:type="dxa"/>
          </w:tcPr>
          <w:p w:rsidR="004F07FB" w:rsidRPr="000B3292" w:rsidRDefault="004F07FB" w:rsidP="004F07FB">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tc>
      </w:tr>
      <w:tr w:rsidR="0014630F" w:rsidRPr="000B3292" w:rsidTr="008F744D">
        <w:tc>
          <w:tcPr>
            <w:tcW w:w="5113" w:type="dxa"/>
          </w:tcPr>
          <w:p w:rsidR="0014630F" w:rsidRPr="000B3292" w:rsidRDefault="0014630F" w:rsidP="004B4140">
            <w:pPr>
              <w:pStyle w:val="Default"/>
              <w:spacing w:after="43"/>
              <w:rPr>
                <w:rFonts w:asciiTheme="minorHAnsi" w:hAnsiTheme="minorHAnsi"/>
                <w:sz w:val="22"/>
                <w:szCs w:val="22"/>
              </w:rPr>
            </w:pPr>
            <w:r w:rsidRPr="000B3292">
              <w:rPr>
                <w:rFonts w:asciiTheme="minorHAnsi" w:hAnsiTheme="minorHAnsi"/>
                <w:sz w:val="22"/>
                <w:szCs w:val="22"/>
              </w:rPr>
              <w:t>4.</w:t>
            </w:r>
            <w:r w:rsidR="00D11291" w:rsidRPr="000B3292">
              <w:rPr>
                <w:rFonts w:asciiTheme="minorHAnsi" w:hAnsiTheme="minorHAnsi"/>
                <w:sz w:val="22"/>
                <w:szCs w:val="22"/>
              </w:rPr>
              <w:t xml:space="preserve"> Use epidemiological, exposure assessment toxicological, and statistical techniques in assessing the risks associated with environmental hazards.</w:t>
            </w:r>
          </w:p>
        </w:tc>
        <w:tc>
          <w:tcPr>
            <w:tcW w:w="4337" w:type="dxa"/>
          </w:tcPr>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EHS 580  Solid and Hazardous Waste M</w:t>
            </w:r>
            <w:r w:rsidR="00350675">
              <w:rPr>
                <w:rFonts w:asciiTheme="minorHAnsi" w:hAnsiTheme="minorHAnsi"/>
                <w:sz w:val="22"/>
                <w:szCs w:val="22"/>
              </w:rPr>
              <w:t>gm</w:t>
            </w:r>
            <w:r w:rsidR="004B4140">
              <w:rPr>
                <w:rFonts w:asciiTheme="minorHAnsi" w:hAnsiTheme="minorHAnsi"/>
                <w:sz w:val="22"/>
                <w:szCs w:val="22"/>
              </w:rPr>
              <w:t>t</w:t>
            </w:r>
          </w:p>
          <w:p w:rsidR="0014630F" w:rsidRPr="000B3292" w:rsidRDefault="00D11291" w:rsidP="0014630F">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tc>
      </w:tr>
      <w:tr w:rsidR="0014630F" w:rsidRPr="000B3292" w:rsidTr="008F744D">
        <w:tc>
          <w:tcPr>
            <w:tcW w:w="5113" w:type="dxa"/>
          </w:tcPr>
          <w:p w:rsidR="0014630F" w:rsidRDefault="0014630F" w:rsidP="0014630F">
            <w:pPr>
              <w:pStyle w:val="Default"/>
              <w:spacing w:after="43"/>
              <w:rPr>
                <w:rFonts w:asciiTheme="minorHAnsi" w:eastAsia="Times New Roman" w:hAnsiTheme="minorHAnsi"/>
                <w:sz w:val="22"/>
                <w:szCs w:val="22"/>
              </w:rPr>
            </w:pPr>
            <w:r w:rsidRPr="000B3292">
              <w:rPr>
                <w:rFonts w:asciiTheme="minorHAnsi" w:hAnsiTheme="minorHAnsi"/>
                <w:sz w:val="22"/>
                <w:szCs w:val="22"/>
              </w:rPr>
              <w:t>5.</w:t>
            </w:r>
            <w:r w:rsidR="00FB5C16" w:rsidRPr="000B3292">
              <w:rPr>
                <w:rFonts w:asciiTheme="minorHAnsi" w:hAnsiTheme="minorHAnsi"/>
                <w:sz w:val="22"/>
                <w:szCs w:val="22"/>
              </w:rPr>
              <w:t xml:space="preserve"> </w:t>
            </w:r>
            <w:r w:rsidR="00FB5C16" w:rsidRPr="000B3292">
              <w:rPr>
                <w:rFonts w:asciiTheme="minorHAnsi" w:eastAsia="Times New Roman" w:hAnsiTheme="minorHAnsi"/>
                <w:sz w:val="22"/>
                <w:szCs w:val="22"/>
              </w:rPr>
              <w:t>Synthesize information from divergent sources to communicate scope of environmental problem.</w:t>
            </w:r>
          </w:p>
          <w:p w:rsidR="00AD326B" w:rsidRPr="000B3292" w:rsidRDefault="00AD326B" w:rsidP="0014630F">
            <w:pPr>
              <w:pStyle w:val="Default"/>
              <w:spacing w:after="43"/>
              <w:rPr>
                <w:rFonts w:asciiTheme="minorHAnsi" w:hAnsiTheme="minorHAnsi"/>
                <w:sz w:val="22"/>
                <w:szCs w:val="22"/>
              </w:rPr>
            </w:pPr>
          </w:p>
        </w:tc>
        <w:tc>
          <w:tcPr>
            <w:tcW w:w="4337" w:type="dxa"/>
          </w:tcPr>
          <w:p w:rsidR="0014630F" w:rsidRPr="000B3292" w:rsidRDefault="00FB5C16" w:rsidP="0014630F">
            <w:pPr>
              <w:pStyle w:val="Default"/>
              <w:spacing w:after="43"/>
              <w:rPr>
                <w:rFonts w:asciiTheme="minorHAnsi" w:hAnsiTheme="minorHAnsi"/>
                <w:sz w:val="22"/>
                <w:szCs w:val="22"/>
              </w:rPr>
            </w:pPr>
            <w:r w:rsidRPr="000B3292">
              <w:rPr>
                <w:rFonts w:asciiTheme="minorHAnsi" w:hAnsiTheme="minorHAnsi"/>
                <w:sz w:val="22"/>
                <w:szCs w:val="22"/>
              </w:rPr>
              <w:t>PH 530: Independent Investigations</w:t>
            </w:r>
          </w:p>
        </w:tc>
      </w:tr>
      <w:tr w:rsidR="0014630F" w:rsidRPr="000B3292" w:rsidTr="008F744D">
        <w:tc>
          <w:tcPr>
            <w:tcW w:w="9450" w:type="dxa"/>
            <w:gridSpan w:val="2"/>
            <w:shd w:val="pct12" w:color="auto" w:fill="auto"/>
          </w:tcPr>
          <w:p w:rsidR="0014630F" w:rsidRPr="000B3292" w:rsidRDefault="0014630F" w:rsidP="0014630F">
            <w:pPr>
              <w:pStyle w:val="Default"/>
              <w:spacing w:after="43"/>
              <w:rPr>
                <w:rFonts w:asciiTheme="minorHAnsi" w:hAnsiTheme="minorHAnsi"/>
                <w:b/>
                <w:sz w:val="22"/>
                <w:szCs w:val="22"/>
              </w:rPr>
            </w:pPr>
            <w:r w:rsidRPr="000B3292">
              <w:rPr>
                <w:rFonts w:asciiTheme="minorHAnsi" w:hAnsiTheme="minorHAnsi"/>
                <w:b/>
                <w:sz w:val="22"/>
                <w:szCs w:val="22"/>
              </w:rPr>
              <w:lastRenderedPageBreak/>
              <w:t>Student 3</w:t>
            </w:r>
          </w:p>
        </w:tc>
      </w:tr>
      <w:tr w:rsidR="00536201" w:rsidRPr="000B3292" w:rsidTr="008F744D">
        <w:tc>
          <w:tcPr>
            <w:tcW w:w="5113" w:type="dxa"/>
          </w:tcPr>
          <w:p w:rsidR="00536201" w:rsidRPr="000B3292" w:rsidRDefault="00536201" w:rsidP="00536201">
            <w:pPr>
              <w:pStyle w:val="Default"/>
              <w:spacing w:after="43"/>
              <w:rPr>
                <w:rFonts w:asciiTheme="minorHAnsi" w:hAnsiTheme="minorHAnsi"/>
                <w:sz w:val="22"/>
                <w:szCs w:val="22"/>
              </w:rPr>
            </w:pPr>
            <w:r w:rsidRPr="000B3292">
              <w:rPr>
                <w:rFonts w:asciiTheme="minorHAnsi" w:hAnsiTheme="minorHAnsi"/>
                <w:sz w:val="22"/>
                <w:szCs w:val="22"/>
              </w:rPr>
              <w:t>1. Assess hazards in the built and natural environments on human and ecosystem health</w:t>
            </w:r>
          </w:p>
        </w:tc>
        <w:tc>
          <w:tcPr>
            <w:tcW w:w="4337" w:type="dxa"/>
          </w:tcPr>
          <w:p w:rsidR="00536201" w:rsidRPr="000B3292" w:rsidRDefault="00536201" w:rsidP="00536201">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536201" w:rsidRPr="000B3292" w:rsidRDefault="00536201" w:rsidP="00536201">
            <w:pPr>
              <w:pStyle w:val="Default"/>
              <w:spacing w:after="43"/>
              <w:rPr>
                <w:rFonts w:asciiTheme="minorHAnsi" w:hAnsiTheme="minorHAnsi"/>
                <w:sz w:val="22"/>
                <w:szCs w:val="22"/>
              </w:rPr>
            </w:pPr>
            <w:r w:rsidRPr="000B3292">
              <w:rPr>
                <w:rFonts w:asciiTheme="minorHAnsi" w:hAnsiTheme="minorHAnsi"/>
                <w:sz w:val="22"/>
                <w:szCs w:val="22"/>
              </w:rPr>
              <w:t>EHS 580  Soli</w:t>
            </w:r>
            <w:r w:rsidR="00350675">
              <w:rPr>
                <w:rFonts w:asciiTheme="minorHAnsi" w:hAnsiTheme="minorHAnsi"/>
                <w:sz w:val="22"/>
                <w:szCs w:val="22"/>
              </w:rPr>
              <w:t>d and Hazardous Waste Mgm</w:t>
            </w:r>
            <w:r w:rsidR="004B4140">
              <w:rPr>
                <w:rFonts w:asciiTheme="minorHAnsi" w:hAnsiTheme="minorHAnsi"/>
                <w:sz w:val="22"/>
                <w:szCs w:val="22"/>
              </w:rPr>
              <w:t>t</w:t>
            </w:r>
          </w:p>
          <w:p w:rsidR="00536201" w:rsidRPr="000B3292" w:rsidRDefault="00536201" w:rsidP="00536201">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p w:rsidR="00536201" w:rsidRPr="000B3292" w:rsidRDefault="00536201" w:rsidP="00536201">
            <w:pPr>
              <w:pStyle w:val="Default"/>
              <w:spacing w:after="43"/>
              <w:rPr>
                <w:rFonts w:asciiTheme="minorHAnsi" w:hAnsiTheme="minorHAnsi"/>
                <w:sz w:val="22"/>
                <w:szCs w:val="22"/>
              </w:rPr>
            </w:pPr>
            <w:r w:rsidRPr="000B3292">
              <w:rPr>
                <w:rFonts w:asciiTheme="minorHAnsi" w:hAnsiTheme="minorHAnsi"/>
                <w:sz w:val="22"/>
                <w:szCs w:val="22"/>
              </w:rPr>
              <w:t>PH 510 Watershed Management and Science</w:t>
            </w:r>
          </w:p>
        </w:tc>
      </w:tr>
      <w:tr w:rsidR="0014630F" w:rsidRPr="000B3292" w:rsidTr="008F744D">
        <w:tc>
          <w:tcPr>
            <w:tcW w:w="5113" w:type="dxa"/>
          </w:tcPr>
          <w:p w:rsidR="0014630F" w:rsidRPr="000B3292" w:rsidRDefault="0014630F" w:rsidP="00D11291">
            <w:pPr>
              <w:rPr>
                <w:sz w:val="22"/>
              </w:rPr>
            </w:pPr>
            <w:r w:rsidRPr="000B3292">
              <w:rPr>
                <w:sz w:val="22"/>
              </w:rPr>
              <w:t>2.</w:t>
            </w:r>
            <w:r w:rsidR="00D11291" w:rsidRPr="000B3292">
              <w:rPr>
                <w:sz w:val="22"/>
              </w:rPr>
              <w:t xml:space="preserve"> </w:t>
            </w:r>
            <w:r w:rsidR="00D11291" w:rsidRPr="000B3292">
              <w:rPr>
                <w:rFonts w:eastAsia="Times New Roman" w:cs="Times New Roman"/>
                <w:sz w:val="22"/>
              </w:rPr>
              <w:t>Propose</w:t>
            </w:r>
            <w:r w:rsidR="00D11291" w:rsidRPr="00D11291">
              <w:rPr>
                <w:rFonts w:eastAsia="Times New Roman" w:cs="Times New Roman"/>
                <w:sz w:val="22"/>
              </w:rPr>
              <w:t xml:space="preserve"> appropriate solutions to environmental health problems. </w:t>
            </w:r>
          </w:p>
        </w:tc>
        <w:tc>
          <w:tcPr>
            <w:tcW w:w="4337" w:type="dxa"/>
          </w:tcPr>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EHS 580  Soli</w:t>
            </w:r>
            <w:r w:rsidR="00350675">
              <w:rPr>
                <w:rFonts w:asciiTheme="minorHAnsi" w:hAnsiTheme="minorHAnsi"/>
                <w:sz w:val="22"/>
                <w:szCs w:val="22"/>
              </w:rPr>
              <w:t>d and Hazardous Waste Mgm</w:t>
            </w:r>
            <w:r w:rsidR="004B4140">
              <w:rPr>
                <w:rFonts w:asciiTheme="minorHAnsi" w:hAnsiTheme="minorHAnsi"/>
                <w:sz w:val="22"/>
                <w:szCs w:val="22"/>
              </w:rPr>
              <w:t>t</w:t>
            </w:r>
          </w:p>
          <w:p w:rsidR="000B3292"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p w:rsidR="0014630F" w:rsidRPr="000B3292" w:rsidRDefault="000B3292" w:rsidP="000B3292">
            <w:pPr>
              <w:pStyle w:val="Default"/>
              <w:spacing w:after="43"/>
              <w:rPr>
                <w:rFonts w:asciiTheme="minorHAnsi" w:hAnsiTheme="minorHAnsi"/>
                <w:sz w:val="22"/>
                <w:szCs w:val="22"/>
              </w:rPr>
            </w:pPr>
            <w:r w:rsidRPr="000B3292">
              <w:rPr>
                <w:rFonts w:asciiTheme="minorHAnsi" w:hAnsiTheme="minorHAnsi"/>
                <w:sz w:val="22"/>
                <w:szCs w:val="22"/>
              </w:rPr>
              <w:t>PH 510 Watershed Management and Science</w:t>
            </w:r>
          </w:p>
        </w:tc>
      </w:tr>
      <w:tr w:rsidR="0014630F" w:rsidRPr="000B3292" w:rsidTr="008F744D">
        <w:tc>
          <w:tcPr>
            <w:tcW w:w="5113" w:type="dxa"/>
          </w:tcPr>
          <w:p w:rsidR="0014630F" w:rsidRPr="000B3292" w:rsidRDefault="0014630F" w:rsidP="004B4140">
            <w:pPr>
              <w:pStyle w:val="Default"/>
              <w:spacing w:after="43"/>
              <w:rPr>
                <w:rFonts w:asciiTheme="minorHAnsi" w:hAnsiTheme="minorHAnsi"/>
                <w:sz w:val="22"/>
                <w:szCs w:val="22"/>
              </w:rPr>
            </w:pPr>
            <w:r w:rsidRPr="000B3292">
              <w:rPr>
                <w:rFonts w:asciiTheme="minorHAnsi" w:hAnsiTheme="minorHAnsi"/>
                <w:sz w:val="22"/>
                <w:szCs w:val="22"/>
              </w:rPr>
              <w:t>3.</w:t>
            </w:r>
            <w:r w:rsidR="004F07FB" w:rsidRPr="000B3292">
              <w:rPr>
                <w:rFonts w:asciiTheme="minorHAnsi" w:hAnsiTheme="minorHAnsi"/>
                <w:sz w:val="22"/>
                <w:szCs w:val="22"/>
              </w:rPr>
              <w:t xml:space="preserve"> Describe the mechanisms of toxicity of biological, chemical, and physical stressors.</w:t>
            </w:r>
          </w:p>
        </w:tc>
        <w:tc>
          <w:tcPr>
            <w:tcW w:w="4337" w:type="dxa"/>
          </w:tcPr>
          <w:p w:rsidR="0014630F" w:rsidRPr="000B3292" w:rsidRDefault="00FB5C16" w:rsidP="0014630F">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tc>
      </w:tr>
      <w:tr w:rsidR="00D11291" w:rsidRPr="000B3292" w:rsidTr="008F744D">
        <w:tc>
          <w:tcPr>
            <w:tcW w:w="5113" w:type="dxa"/>
          </w:tcPr>
          <w:p w:rsidR="00D11291" w:rsidRPr="000B3292" w:rsidRDefault="00D11291" w:rsidP="004B4140">
            <w:pPr>
              <w:pStyle w:val="Default"/>
              <w:spacing w:after="43"/>
              <w:rPr>
                <w:rFonts w:asciiTheme="minorHAnsi" w:hAnsiTheme="minorHAnsi"/>
                <w:sz w:val="22"/>
                <w:szCs w:val="22"/>
              </w:rPr>
            </w:pPr>
            <w:r w:rsidRPr="000B3292">
              <w:rPr>
                <w:rFonts w:asciiTheme="minorHAnsi" w:hAnsiTheme="minorHAnsi"/>
                <w:sz w:val="22"/>
                <w:szCs w:val="22"/>
              </w:rPr>
              <w:t>4. Use epidemiological, exposure assessment toxicological, and statistical techniques in assessing the risks associated with environmental hazards.</w:t>
            </w:r>
          </w:p>
        </w:tc>
        <w:tc>
          <w:tcPr>
            <w:tcW w:w="4337" w:type="dxa"/>
          </w:tcPr>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PH 577 Environmental Toxicology</w:t>
            </w:r>
          </w:p>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EHS 5</w:t>
            </w:r>
            <w:r w:rsidR="004B4140">
              <w:rPr>
                <w:rFonts w:asciiTheme="minorHAnsi" w:hAnsiTheme="minorHAnsi"/>
                <w:sz w:val="22"/>
                <w:szCs w:val="22"/>
              </w:rPr>
              <w:t>8</w:t>
            </w:r>
            <w:r w:rsidR="00350675">
              <w:rPr>
                <w:rFonts w:asciiTheme="minorHAnsi" w:hAnsiTheme="minorHAnsi"/>
                <w:sz w:val="22"/>
                <w:szCs w:val="22"/>
              </w:rPr>
              <w:t>0  Solid and Hazardous Waste Mgm</w:t>
            </w:r>
            <w:r w:rsidR="004B4140">
              <w:rPr>
                <w:rFonts w:asciiTheme="minorHAnsi" w:hAnsiTheme="minorHAnsi"/>
                <w:sz w:val="22"/>
                <w:szCs w:val="22"/>
              </w:rPr>
              <w:t>t</w:t>
            </w:r>
          </w:p>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PH 571   Air Quality Management</w:t>
            </w:r>
          </w:p>
          <w:p w:rsidR="00D11291" w:rsidRPr="000B3292" w:rsidRDefault="00D11291" w:rsidP="00D11291">
            <w:pPr>
              <w:pStyle w:val="Default"/>
              <w:spacing w:after="43"/>
              <w:rPr>
                <w:rFonts w:asciiTheme="minorHAnsi" w:hAnsiTheme="minorHAnsi"/>
                <w:sz w:val="22"/>
                <w:szCs w:val="22"/>
              </w:rPr>
            </w:pPr>
            <w:r w:rsidRPr="000B3292">
              <w:rPr>
                <w:rFonts w:asciiTheme="minorHAnsi" w:hAnsiTheme="minorHAnsi"/>
                <w:sz w:val="22"/>
                <w:szCs w:val="22"/>
              </w:rPr>
              <w:t>PH 630: Advanced Epidemiology</w:t>
            </w:r>
          </w:p>
        </w:tc>
      </w:tr>
      <w:tr w:rsidR="0014630F" w:rsidRPr="000B3292" w:rsidTr="008F744D">
        <w:tc>
          <w:tcPr>
            <w:tcW w:w="5113" w:type="dxa"/>
          </w:tcPr>
          <w:p w:rsidR="0014630F" w:rsidRPr="000B3292" w:rsidRDefault="0014630F" w:rsidP="0014630F">
            <w:pPr>
              <w:pStyle w:val="Default"/>
              <w:spacing w:after="43"/>
              <w:rPr>
                <w:rFonts w:asciiTheme="minorHAnsi" w:hAnsiTheme="minorHAnsi"/>
                <w:sz w:val="22"/>
                <w:szCs w:val="22"/>
              </w:rPr>
            </w:pPr>
            <w:r w:rsidRPr="000B3292">
              <w:rPr>
                <w:rFonts w:asciiTheme="minorHAnsi" w:hAnsiTheme="minorHAnsi"/>
                <w:sz w:val="22"/>
                <w:szCs w:val="22"/>
              </w:rPr>
              <w:t>5.</w:t>
            </w:r>
            <w:r w:rsidR="00FB5C16" w:rsidRPr="000B3292">
              <w:rPr>
                <w:rFonts w:asciiTheme="minorHAnsi" w:hAnsiTheme="minorHAnsi"/>
                <w:sz w:val="22"/>
                <w:szCs w:val="22"/>
              </w:rPr>
              <w:t xml:space="preserve"> </w:t>
            </w:r>
            <w:r w:rsidR="00FB5C16" w:rsidRPr="000B3292">
              <w:rPr>
                <w:rFonts w:asciiTheme="minorHAnsi" w:eastAsia="Times New Roman" w:hAnsiTheme="minorHAnsi"/>
                <w:sz w:val="22"/>
                <w:szCs w:val="22"/>
              </w:rPr>
              <w:t>Synthesize information from divergent sources to communicate scope of environmental problem.</w:t>
            </w:r>
          </w:p>
        </w:tc>
        <w:tc>
          <w:tcPr>
            <w:tcW w:w="4337" w:type="dxa"/>
          </w:tcPr>
          <w:p w:rsidR="0014630F" w:rsidRPr="000B3292" w:rsidRDefault="00FB5C16" w:rsidP="0014630F">
            <w:pPr>
              <w:pStyle w:val="Default"/>
              <w:spacing w:after="43"/>
              <w:rPr>
                <w:rFonts w:asciiTheme="minorHAnsi" w:hAnsiTheme="minorHAnsi"/>
                <w:sz w:val="22"/>
                <w:szCs w:val="22"/>
              </w:rPr>
            </w:pPr>
            <w:r w:rsidRPr="000B3292">
              <w:rPr>
                <w:rFonts w:asciiTheme="minorHAnsi" w:hAnsiTheme="minorHAnsi"/>
                <w:sz w:val="22"/>
                <w:szCs w:val="22"/>
              </w:rPr>
              <w:t>PH 530: Independent Investigations</w:t>
            </w:r>
          </w:p>
          <w:p w:rsidR="00536201" w:rsidRPr="000B3292" w:rsidRDefault="00536201" w:rsidP="0014630F">
            <w:pPr>
              <w:pStyle w:val="Default"/>
              <w:spacing w:after="43"/>
              <w:rPr>
                <w:rFonts w:asciiTheme="minorHAnsi" w:hAnsiTheme="minorHAnsi"/>
                <w:sz w:val="22"/>
                <w:szCs w:val="22"/>
              </w:rPr>
            </w:pPr>
            <w:r w:rsidRPr="000B3292">
              <w:rPr>
                <w:rFonts w:asciiTheme="minorHAnsi" w:hAnsiTheme="minorHAnsi"/>
                <w:sz w:val="22"/>
                <w:szCs w:val="22"/>
              </w:rPr>
              <w:t>PH 630: Advanced Epidemiology</w:t>
            </w:r>
          </w:p>
        </w:tc>
      </w:tr>
    </w:tbl>
    <w:p w:rsidR="00A37FFA" w:rsidRPr="00FB5C16" w:rsidRDefault="00A37FFA" w:rsidP="00D50709">
      <w:pPr>
        <w:pStyle w:val="Default"/>
        <w:spacing w:after="43"/>
        <w:rPr>
          <w:rFonts w:asciiTheme="minorHAnsi" w:hAnsiTheme="minorHAnsi"/>
        </w:rPr>
      </w:pPr>
    </w:p>
    <w:p w:rsidR="003F109D" w:rsidRDefault="00FB5C16" w:rsidP="00FB5C16">
      <w:pPr>
        <w:pStyle w:val="Default"/>
        <w:tabs>
          <w:tab w:val="left" w:pos="900"/>
        </w:tabs>
        <w:spacing w:after="43"/>
        <w:rPr>
          <w:rFonts w:asciiTheme="minorHAnsi" w:hAnsiTheme="minorHAnsi"/>
        </w:rPr>
      </w:pPr>
      <w:r>
        <w:rPr>
          <w:rFonts w:asciiTheme="minorHAnsi" w:hAnsiTheme="minorHAnsi"/>
        </w:rPr>
        <w:tab/>
      </w:r>
    </w:p>
    <w:p w:rsidR="00A37FFA" w:rsidRDefault="006109DF" w:rsidP="00D50709">
      <w:pPr>
        <w:pStyle w:val="Default"/>
        <w:spacing w:after="43"/>
        <w:rPr>
          <w:rFonts w:asciiTheme="minorHAnsi" w:hAnsiTheme="minorHAnsi"/>
        </w:rPr>
      </w:pPr>
      <w:r>
        <w:rPr>
          <w:rFonts w:asciiTheme="minorHAnsi" w:hAnsiTheme="minorHAnsi"/>
        </w:rPr>
        <w:t xml:space="preserve">In the revised general MPH program, all students will achieve the five </w:t>
      </w:r>
      <w:r w:rsidR="00AD2988">
        <w:rPr>
          <w:rFonts w:asciiTheme="minorHAnsi" w:hAnsiTheme="minorHAnsi"/>
        </w:rPr>
        <w:t>generalist</w:t>
      </w:r>
      <w:r>
        <w:rPr>
          <w:rFonts w:asciiTheme="minorHAnsi" w:hAnsiTheme="minorHAnsi"/>
        </w:rPr>
        <w:t xml:space="preserve"> competencies described in our response to </w:t>
      </w:r>
      <w:r w:rsidR="006B04E1">
        <w:rPr>
          <w:rFonts w:asciiTheme="minorHAnsi" w:hAnsiTheme="minorHAnsi"/>
        </w:rPr>
        <w:t>compliance item</w:t>
      </w:r>
      <w:r>
        <w:rPr>
          <w:rFonts w:asciiTheme="minorHAnsi" w:hAnsiTheme="minorHAnsi"/>
        </w:rPr>
        <w:t xml:space="preserve"> G.</w:t>
      </w:r>
    </w:p>
    <w:p w:rsidR="00D50709" w:rsidRDefault="00D50709" w:rsidP="00D50709">
      <w:pPr>
        <w:pStyle w:val="Default"/>
        <w:spacing w:after="43"/>
        <w:rPr>
          <w:rFonts w:asciiTheme="minorHAnsi" w:hAnsiTheme="minorHAnsi"/>
        </w:rPr>
      </w:pPr>
    </w:p>
    <w:p w:rsidR="00D50709" w:rsidRDefault="00D50709" w:rsidP="003F109D">
      <w:pPr>
        <w:pStyle w:val="Default"/>
        <w:spacing w:after="43"/>
        <w:rPr>
          <w:rFonts w:asciiTheme="minorHAnsi" w:hAnsiTheme="minorHAnsi"/>
        </w:rPr>
      </w:pPr>
    </w:p>
    <w:p w:rsidR="00D50709" w:rsidRDefault="00D50709" w:rsidP="00D50709">
      <w:pPr>
        <w:pStyle w:val="Default"/>
        <w:spacing w:after="43"/>
        <w:rPr>
          <w:rFonts w:asciiTheme="minorHAnsi" w:hAnsiTheme="minorHAnsi"/>
        </w:rPr>
      </w:pPr>
    </w:p>
    <w:p w:rsidR="00D50709" w:rsidRPr="00D50709" w:rsidRDefault="00D50709" w:rsidP="00D50709">
      <w:pPr>
        <w:pStyle w:val="Default"/>
        <w:spacing w:after="43"/>
        <w:rPr>
          <w:rFonts w:asciiTheme="minorHAnsi" w:hAnsiTheme="minorHAnsi"/>
        </w:rPr>
      </w:pPr>
    </w:p>
    <w:p w:rsidR="00D50709" w:rsidRDefault="00D50709">
      <w:pPr>
        <w:rPr>
          <w:rFonts w:cs="Arial"/>
          <w:b/>
          <w:color w:val="000000"/>
          <w:szCs w:val="24"/>
        </w:rPr>
      </w:pPr>
      <w:r>
        <w:br w:type="page"/>
      </w:r>
    </w:p>
    <w:p w:rsidR="00507536" w:rsidRPr="00AE50A7" w:rsidRDefault="004936CE" w:rsidP="005327E4">
      <w:pPr>
        <w:pStyle w:val="Heading1"/>
      </w:pPr>
      <w:bookmarkStart w:id="9" w:name="_Toc490316876"/>
      <w:r w:rsidRPr="00AE50A7">
        <w:lastRenderedPageBreak/>
        <w:t>I.</w:t>
      </w:r>
      <w:r w:rsidR="00507536" w:rsidRPr="00AE50A7">
        <w:t xml:space="preserve"> Collected and assessed data from employers on graduates’ readiness for practice. The report should present data and analysis. (Criterion 2.7)</w:t>
      </w:r>
      <w:bookmarkEnd w:id="9"/>
      <w:r w:rsidR="00507536" w:rsidRPr="00AE50A7">
        <w:t xml:space="preserve"> </w:t>
      </w:r>
    </w:p>
    <w:p w:rsidR="009614DF" w:rsidRDefault="009614DF" w:rsidP="00ED7253">
      <w:pPr>
        <w:pStyle w:val="Default"/>
        <w:rPr>
          <w:rFonts w:asciiTheme="minorHAnsi" w:hAnsiTheme="minorHAnsi"/>
          <w:u w:val="single"/>
        </w:rPr>
      </w:pPr>
    </w:p>
    <w:p w:rsidR="00833DF3" w:rsidRPr="009B0C38" w:rsidRDefault="00833DF3" w:rsidP="00ED7253">
      <w:pPr>
        <w:pStyle w:val="Default"/>
        <w:rPr>
          <w:rFonts w:asciiTheme="minorHAnsi" w:hAnsiTheme="minorHAnsi"/>
          <w:u w:val="single"/>
        </w:rPr>
      </w:pPr>
      <w:r w:rsidRPr="009B0C38">
        <w:rPr>
          <w:rFonts w:asciiTheme="minorHAnsi" w:hAnsiTheme="minorHAnsi"/>
          <w:u w:val="single"/>
        </w:rPr>
        <w:t>Collected Data</w:t>
      </w:r>
    </w:p>
    <w:p w:rsidR="00833DF3" w:rsidRDefault="009B0C38" w:rsidP="00ED7253">
      <w:pPr>
        <w:pStyle w:val="Default"/>
        <w:rPr>
          <w:rFonts w:asciiTheme="minorHAnsi" w:hAnsiTheme="minorHAnsi"/>
        </w:rPr>
      </w:pPr>
      <w:r>
        <w:rPr>
          <w:rFonts w:asciiTheme="minorHAnsi" w:hAnsiTheme="minorHAnsi"/>
        </w:rPr>
        <w:t xml:space="preserve">In mid-August 2016, </w:t>
      </w:r>
      <w:r w:rsidR="00A97EF9">
        <w:rPr>
          <w:rFonts w:asciiTheme="minorHAnsi" w:hAnsiTheme="minorHAnsi"/>
        </w:rPr>
        <w:t xml:space="preserve">we sent </w:t>
      </w:r>
      <w:r w:rsidR="003F274F">
        <w:rPr>
          <w:rFonts w:asciiTheme="minorHAnsi" w:hAnsiTheme="minorHAnsi"/>
        </w:rPr>
        <w:t xml:space="preserve">a link to </w:t>
      </w:r>
      <w:r>
        <w:rPr>
          <w:rFonts w:asciiTheme="minorHAnsi" w:hAnsiTheme="minorHAnsi"/>
        </w:rPr>
        <w:t xml:space="preserve">an </w:t>
      </w:r>
      <w:r w:rsidR="003F274F">
        <w:rPr>
          <w:rFonts w:asciiTheme="minorHAnsi" w:hAnsiTheme="minorHAnsi"/>
        </w:rPr>
        <w:t>online survey that assessed graduates’ readiness for practice</w:t>
      </w:r>
      <w:r>
        <w:rPr>
          <w:rFonts w:asciiTheme="minorHAnsi" w:hAnsiTheme="minorHAnsi"/>
        </w:rPr>
        <w:t xml:space="preserve"> to</w:t>
      </w:r>
      <w:r w:rsidR="00E843A1">
        <w:rPr>
          <w:rFonts w:asciiTheme="minorHAnsi" w:hAnsiTheme="minorHAnsi"/>
        </w:rPr>
        <w:t xml:space="preserve"> a total of 211</w:t>
      </w:r>
      <w:r>
        <w:rPr>
          <w:rFonts w:asciiTheme="minorHAnsi" w:hAnsiTheme="minorHAnsi"/>
        </w:rPr>
        <w:t xml:space="preserve"> internship preceptors, employers, health department directors, and other state public health employees</w:t>
      </w:r>
      <w:r w:rsidR="003F274F">
        <w:rPr>
          <w:rFonts w:asciiTheme="minorHAnsi" w:hAnsiTheme="minorHAnsi"/>
        </w:rPr>
        <w:t xml:space="preserve">.  </w:t>
      </w:r>
      <w:r>
        <w:rPr>
          <w:rFonts w:asciiTheme="minorHAnsi" w:hAnsiTheme="minorHAnsi"/>
        </w:rPr>
        <w:t>The</w:t>
      </w:r>
      <w:r w:rsidR="003F274F">
        <w:rPr>
          <w:rFonts w:asciiTheme="minorHAnsi" w:hAnsiTheme="minorHAnsi"/>
        </w:rPr>
        <w:t xml:space="preserve"> survey link was opened</w:t>
      </w:r>
      <w:r w:rsidR="00350675">
        <w:rPr>
          <w:rFonts w:asciiTheme="minorHAnsi" w:hAnsiTheme="minorHAnsi"/>
        </w:rPr>
        <w:t xml:space="preserve"> 51 times; </w:t>
      </w:r>
      <w:r w:rsidR="003F274F">
        <w:rPr>
          <w:rFonts w:asciiTheme="minorHAnsi" w:hAnsiTheme="minorHAnsi"/>
        </w:rPr>
        <w:t>36</w:t>
      </w:r>
      <w:r>
        <w:rPr>
          <w:rFonts w:asciiTheme="minorHAnsi" w:hAnsiTheme="minorHAnsi"/>
        </w:rPr>
        <w:t xml:space="preserve"> </w:t>
      </w:r>
      <w:r w:rsidR="00EF4D14">
        <w:rPr>
          <w:rFonts w:asciiTheme="minorHAnsi" w:hAnsiTheme="minorHAnsi"/>
        </w:rPr>
        <w:t>useable responses were gathered, yielding a 17% useable response rate.</w:t>
      </w:r>
    </w:p>
    <w:p w:rsidR="00833DF3" w:rsidRDefault="00833DF3" w:rsidP="00ED7253">
      <w:pPr>
        <w:pStyle w:val="Default"/>
        <w:rPr>
          <w:rFonts w:asciiTheme="minorHAnsi" w:hAnsiTheme="minorHAnsi"/>
        </w:rPr>
      </w:pPr>
    </w:p>
    <w:p w:rsidR="00833DF3" w:rsidRPr="009B0C38" w:rsidRDefault="001F6E41" w:rsidP="00ED7253">
      <w:pPr>
        <w:pStyle w:val="Default"/>
        <w:rPr>
          <w:rFonts w:asciiTheme="minorHAnsi" w:hAnsiTheme="minorHAnsi"/>
          <w:u w:val="single"/>
        </w:rPr>
      </w:pPr>
      <w:r>
        <w:rPr>
          <w:rFonts w:asciiTheme="minorHAnsi" w:hAnsiTheme="minorHAnsi"/>
          <w:u w:val="single"/>
        </w:rPr>
        <w:t xml:space="preserve">Assessed, </w:t>
      </w:r>
      <w:r w:rsidR="00F46669">
        <w:rPr>
          <w:rFonts w:asciiTheme="minorHAnsi" w:hAnsiTheme="minorHAnsi"/>
          <w:u w:val="single"/>
        </w:rPr>
        <w:t>Analyzed</w:t>
      </w:r>
      <w:r>
        <w:rPr>
          <w:rFonts w:asciiTheme="minorHAnsi" w:hAnsiTheme="minorHAnsi"/>
          <w:u w:val="single"/>
        </w:rPr>
        <w:t>, and Used</w:t>
      </w:r>
      <w:r w:rsidR="00F46669">
        <w:rPr>
          <w:rFonts w:asciiTheme="minorHAnsi" w:hAnsiTheme="minorHAnsi"/>
          <w:u w:val="single"/>
        </w:rPr>
        <w:t xml:space="preserve"> Data</w:t>
      </w:r>
    </w:p>
    <w:p w:rsidR="00E56EDF" w:rsidRDefault="000102C4" w:rsidP="00ED7253">
      <w:pPr>
        <w:pStyle w:val="Default"/>
        <w:rPr>
          <w:rFonts w:asciiTheme="minorHAnsi" w:hAnsiTheme="minorHAnsi"/>
        </w:rPr>
      </w:pPr>
      <w:r>
        <w:rPr>
          <w:rFonts w:asciiTheme="minorHAnsi" w:hAnsiTheme="minorHAnsi"/>
        </w:rPr>
        <w:t>Under the 2011 Criteria, we operationalized readiness for practice as at least 70% of the employer survey respondents rating our graduates as 4 (of 5) or higher on how well they demonstrate competence in each of the core competency areas (</w:t>
      </w:r>
      <w:r w:rsidR="00C90F5A">
        <w:rPr>
          <w:rFonts w:asciiTheme="minorHAnsi" w:hAnsiTheme="minorHAnsi"/>
        </w:rPr>
        <w:t>objective I</w:t>
      </w:r>
      <w:r>
        <w:rPr>
          <w:rFonts w:asciiTheme="minorHAnsi" w:hAnsiTheme="minorHAnsi"/>
        </w:rPr>
        <w:t xml:space="preserve">1.1.c). </w:t>
      </w:r>
      <w:r w:rsidR="00E4419D">
        <w:rPr>
          <w:rFonts w:asciiTheme="minorHAnsi" w:hAnsiTheme="minorHAnsi"/>
        </w:rPr>
        <w:t xml:space="preserve">  </w:t>
      </w:r>
      <w:r w:rsidR="00203992">
        <w:rPr>
          <w:rFonts w:asciiTheme="minorHAnsi" w:hAnsiTheme="minorHAnsi"/>
        </w:rPr>
        <w:t xml:space="preserve">As reported in </w:t>
      </w:r>
      <w:r w:rsidR="00E33369">
        <w:rPr>
          <w:rFonts w:asciiTheme="minorHAnsi" w:hAnsiTheme="minorHAnsi"/>
        </w:rPr>
        <w:t>the table below,</w:t>
      </w:r>
      <w:r w:rsidR="00203992">
        <w:rPr>
          <w:rFonts w:asciiTheme="minorHAnsi" w:hAnsiTheme="minorHAnsi"/>
        </w:rPr>
        <w:t xml:space="preserve"> targets were met in all but three competency areas: public health administration for BSPH students, and epidemiology and biostatistics for MPH students. </w:t>
      </w:r>
    </w:p>
    <w:p w:rsidR="00203992" w:rsidRDefault="00203992" w:rsidP="00ED7253">
      <w:pPr>
        <w:pStyle w:val="Default"/>
        <w:rPr>
          <w:rFonts w:asciiTheme="minorHAnsi" w:hAnsiTheme="minorHAnsi"/>
        </w:rPr>
      </w:pPr>
    </w:p>
    <w:p w:rsidR="00724263" w:rsidRPr="00862D0E" w:rsidRDefault="00E4419D" w:rsidP="00ED7253">
      <w:pPr>
        <w:pStyle w:val="Default"/>
        <w:rPr>
          <w:rFonts w:asciiTheme="minorHAnsi" w:hAnsiTheme="minorHAnsi"/>
          <w:i/>
        </w:rPr>
      </w:pPr>
      <w:r w:rsidRPr="00862D0E">
        <w:rPr>
          <w:rFonts w:asciiTheme="minorHAnsi" w:hAnsiTheme="minorHAnsi"/>
          <w:i/>
        </w:rPr>
        <w:t>Percent</w:t>
      </w:r>
      <w:r w:rsidR="00B34255" w:rsidRPr="00862D0E">
        <w:rPr>
          <w:rFonts w:asciiTheme="minorHAnsi" w:hAnsiTheme="minorHAnsi"/>
          <w:i/>
        </w:rPr>
        <w:t>age</w:t>
      </w:r>
      <w:r w:rsidRPr="00862D0E">
        <w:rPr>
          <w:rFonts w:asciiTheme="minorHAnsi" w:hAnsiTheme="minorHAnsi"/>
          <w:i/>
        </w:rPr>
        <w:t xml:space="preserve"> of respondents rating 4 or higher on competencies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620"/>
        <w:gridCol w:w="1800"/>
      </w:tblGrid>
      <w:tr w:rsidR="00A3640A" w:rsidRPr="00774DE8" w:rsidTr="00231F60">
        <w:tc>
          <w:tcPr>
            <w:tcW w:w="4855" w:type="dxa"/>
            <w:tcBorders>
              <w:top w:val="single" w:sz="4" w:space="0" w:color="auto"/>
              <w:bottom w:val="single" w:sz="4" w:space="0" w:color="auto"/>
            </w:tcBorders>
            <w:vAlign w:val="center"/>
          </w:tcPr>
          <w:p w:rsidR="00A3640A" w:rsidRPr="00774DE8" w:rsidRDefault="00A3640A" w:rsidP="00724263">
            <w:pPr>
              <w:keepNext/>
              <w:rPr>
                <w:rFonts w:cs="Arial"/>
                <w:b/>
                <w:szCs w:val="24"/>
              </w:rPr>
            </w:pPr>
            <w:r w:rsidRPr="00774DE8">
              <w:rPr>
                <w:rFonts w:cs="Arial"/>
                <w:b/>
                <w:szCs w:val="24"/>
              </w:rPr>
              <w:t>Competency</w:t>
            </w:r>
          </w:p>
        </w:tc>
        <w:tc>
          <w:tcPr>
            <w:tcW w:w="1620" w:type="dxa"/>
            <w:tcBorders>
              <w:top w:val="single" w:sz="4" w:space="0" w:color="auto"/>
              <w:bottom w:val="single" w:sz="4" w:space="0" w:color="auto"/>
            </w:tcBorders>
          </w:tcPr>
          <w:p w:rsidR="00A3640A" w:rsidRPr="00774DE8" w:rsidRDefault="00A3640A" w:rsidP="00A3640A">
            <w:pPr>
              <w:pStyle w:val="Default"/>
              <w:jc w:val="center"/>
              <w:rPr>
                <w:rFonts w:asciiTheme="minorHAnsi" w:hAnsiTheme="minorHAnsi"/>
                <w:b/>
              </w:rPr>
            </w:pPr>
            <w:r w:rsidRPr="00774DE8">
              <w:rPr>
                <w:rFonts w:asciiTheme="minorHAnsi" w:hAnsiTheme="minorHAnsi"/>
                <w:b/>
              </w:rPr>
              <w:t>BSPH</w:t>
            </w:r>
          </w:p>
        </w:tc>
        <w:tc>
          <w:tcPr>
            <w:tcW w:w="1800" w:type="dxa"/>
            <w:tcBorders>
              <w:top w:val="single" w:sz="4" w:space="0" w:color="auto"/>
              <w:bottom w:val="single" w:sz="4" w:space="0" w:color="auto"/>
            </w:tcBorders>
          </w:tcPr>
          <w:p w:rsidR="00A3640A" w:rsidRPr="00774DE8" w:rsidRDefault="00A3640A" w:rsidP="00A3640A">
            <w:pPr>
              <w:pStyle w:val="Default"/>
              <w:jc w:val="center"/>
              <w:rPr>
                <w:rFonts w:asciiTheme="minorHAnsi" w:hAnsiTheme="minorHAnsi"/>
                <w:b/>
              </w:rPr>
            </w:pPr>
            <w:r w:rsidRPr="00774DE8">
              <w:rPr>
                <w:rFonts w:asciiTheme="minorHAnsi" w:hAnsiTheme="minorHAnsi"/>
                <w:b/>
              </w:rPr>
              <w:t>MPH</w:t>
            </w:r>
          </w:p>
        </w:tc>
      </w:tr>
      <w:tr w:rsidR="00A3640A" w:rsidRPr="00774DE8" w:rsidTr="00231F60">
        <w:tc>
          <w:tcPr>
            <w:tcW w:w="4855" w:type="dxa"/>
            <w:tcBorders>
              <w:top w:val="single" w:sz="4" w:space="0" w:color="auto"/>
            </w:tcBorders>
            <w:vAlign w:val="center"/>
          </w:tcPr>
          <w:p w:rsidR="00A3640A" w:rsidRPr="00774DE8" w:rsidRDefault="00A3640A" w:rsidP="00724263">
            <w:pPr>
              <w:keepNext/>
              <w:rPr>
                <w:rFonts w:cs="Arial"/>
                <w:szCs w:val="24"/>
              </w:rPr>
            </w:pPr>
            <w:r w:rsidRPr="00774DE8">
              <w:rPr>
                <w:rFonts w:cs="Arial"/>
                <w:szCs w:val="24"/>
              </w:rPr>
              <w:t>Biostatistics</w:t>
            </w:r>
          </w:p>
        </w:tc>
        <w:tc>
          <w:tcPr>
            <w:tcW w:w="1620" w:type="dxa"/>
            <w:tcBorders>
              <w:top w:val="single" w:sz="4" w:space="0" w:color="auto"/>
            </w:tcBorders>
          </w:tcPr>
          <w:p w:rsidR="00A3640A" w:rsidRPr="00774DE8" w:rsidRDefault="00E4419D" w:rsidP="00A3640A">
            <w:pPr>
              <w:pStyle w:val="Default"/>
              <w:jc w:val="center"/>
              <w:rPr>
                <w:rFonts w:asciiTheme="minorHAnsi" w:hAnsiTheme="minorHAnsi"/>
              </w:rPr>
            </w:pPr>
            <w:r w:rsidRPr="00774DE8">
              <w:rPr>
                <w:rFonts w:asciiTheme="minorHAnsi" w:hAnsiTheme="minorHAnsi"/>
              </w:rPr>
              <w:t>70.0</w:t>
            </w:r>
          </w:p>
        </w:tc>
        <w:tc>
          <w:tcPr>
            <w:tcW w:w="1800" w:type="dxa"/>
            <w:tcBorders>
              <w:top w:val="single" w:sz="4" w:space="0" w:color="auto"/>
            </w:tcBorders>
          </w:tcPr>
          <w:p w:rsidR="00A3640A" w:rsidRPr="00774DE8" w:rsidRDefault="00A3640A" w:rsidP="00A3640A">
            <w:pPr>
              <w:pStyle w:val="Default"/>
              <w:jc w:val="center"/>
              <w:rPr>
                <w:rFonts w:asciiTheme="minorHAnsi" w:hAnsiTheme="minorHAnsi"/>
              </w:rPr>
            </w:pPr>
            <w:r w:rsidRPr="00774DE8">
              <w:rPr>
                <w:rFonts w:asciiTheme="minorHAnsi" w:hAnsiTheme="minorHAnsi"/>
              </w:rPr>
              <w:t>66.7</w:t>
            </w:r>
            <w:r w:rsidR="00A97EF9">
              <w:rPr>
                <w:rFonts w:asciiTheme="minorHAnsi" w:hAnsiTheme="minorHAnsi"/>
              </w:rPr>
              <w:t>*</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Epidemiology</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72.7</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66.7</w:t>
            </w:r>
            <w:r w:rsidR="00A97EF9">
              <w:rPr>
                <w:rFonts w:asciiTheme="minorHAnsi" w:hAnsiTheme="minorHAnsi"/>
              </w:rPr>
              <w:t>*</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Public Health Administration</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69.0</w:t>
            </w:r>
            <w:r w:rsidR="00A97EF9">
              <w:rPr>
                <w:rFonts w:asciiTheme="minorHAnsi" w:hAnsiTheme="minorHAnsi"/>
              </w:rPr>
              <w:t>*</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78.9</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Environmental Health.</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91.6</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82.4</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Behavioral and Social Sciences.</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72.9</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82.4</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Analytical Assessment/ Critical Thinking</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83.3</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80.0</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Communication</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84.7</w:t>
            </w:r>
          </w:p>
        </w:tc>
        <w:tc>
          <w:tcPr>
            <w:tcW w:w="1800" w:type="dxa"/>
          </w:tcPr>
          <w:p w:rsidR="00A3640A" w:rsidRPr="00774DE8" w:rsidRDefault="00A3640A" w:rsidP="00A3640A">
            <w:pPr>
              <w:pStyle w:val="Default"/>
              <w:jc w:val="center"/>
              <w:rPr>
                <w:rFonts w:asciiTheme="minorHAnsi" w:hAnsiTheme="minorHAnsi"/>
              </w:rPr>
            </w:pPr>
            <w:r w:rsidRPr="00774DE8">
              <w:rPr>
                <w:rFonts w:asciiTheme="minorHAnsi" w:hAnsiTheme="minorHAnsi"/>
              </w:rPr>
              <w:t>80.0</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Cultural Competence</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92.3</w:t>
            </w:r>
          </w:p>
        </w:tc>
        <w:tc>
          <w:tcPr>
            <w:tcW w:w="180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84.2</w:t>
            </w:r>
          </w:p>
        </w:tc>
      </w:tr>
      <w:tr w:rsidR="00A3640A" w:rsidRPr="00774DE8" w:rsidTr="00231F60">
        <w:tc>
          <w:tcPr>
            <w:tcW w:w="4855" w:type="dxa"/>
            <w:vAlign w:val="center"/>
          </w:tcPr>
          <w:p w:rsidR="00A3640A" w:rsidRPr="00774DE8" w:rsidRDefault="00A3640A" w:rsidP="00724263">
            <w:pPr>
              <w:keepNext/>
              <w:rPr>
                <w:rFonts w:cs="Arial"/>
                <w:szCs w:val="24"/>
              </w:rPr>
            </w:pPr>
            <w:r w:rsidRPr="00774DE8">
              <w:rPr>
                <w:rFonts w:cs="Arial"/>
                <w:szCs w:val="24"/>
              </w:rPr>
              <w:t>Leadership and Professionalism</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92.4</w:t>
            </w:r>
          </w:p>
        </w:tc>
        <w:tc>
          <w:tcPr>
            <w:tcW w:w="180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84.2</w:t>
            </w:r>
          </w:p>
        </w:tc>
      </w:tr>
      <w:tr w:rsidR="00A3640A" w:rsidRPr="00774DE8" w:rsidTr="00231F60">
        <w:tc>
          <w:tcPr>
            <w:tcW w:w="4855" w:type="dxa"/>
            <w:vAlign w:val="center"/>
          </w:tcPr>
          <w:p w:rsidR="00A3640A" w:rsidRPr="00774DE8" w:rsidRDefault="00A3640A" w:rsidP="00A3640A">
            <w:pPr>
              <w:keepNext/>
              <w:rPr>
                <w:rFonts w:cs="Arial"/>
                <w:szCs w:val="24"/>
              </w:rPr>
            </w:pPr>
            <w:r w:rsidRPr="00774DE8">
              <w:rPr>
                <w:rFonts w:cs="Arial"/>
                <w:szCs w:val="24"/>
              </w:rPr>
              <w:t>Program and Policy Development</w:t>
            </w:r>
          </w:p>
        </w:tc>
        <w:tc>
          <w:tcPr>
            <w:tcW w:w="162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88.3</w:t>
            </w:r>
          </w:p>
        </w:tc>
        <w:tc>
          <w:tcPr>
            <w:tcW w:w="1800" w:type="dxa"/>
          </w:tcPr>
          <w:p w:rsidR="00A3640A" w:rsidRPr="00774DE8" w:rsidRDefault="00E4419D" w:rsidP="00A3640A">
            <w:pPr>
              <w:pStyle w:val="Default"/>
              <w:jc w:val="center"/>
              <w:rPr>
                <w:rFonts w:asciiTheme="minorHAnsi" w:hAnsiTheme="minorHAnsi"/>
              </w:rPr>
            </w:pPr>
            <w:r w:rsidRPr="00774DE8">
              <w:rPr>
                <w:rFonts w:asciiTheme="minorHAnsi" w:hAnsiTheme="minorHAnsi"/>
              </w:rPr>
              <w:t>84.2</w:t>
            </w:r>
          </w:p>
        </w:tc>
      </w:tr>
    </w:tbl>
    <w:p w:rsidR="00A36638" w:rsidRPr="00F46669" w:rsidRDefault="00A97EF9" w:rsidP="00ED7253">
      <w:pPr>
        <w:pStyle w:val="Default"/>
        <w:rPr>
          <w:rFonts w:asciiTheme="minorHAnsi" w:hAnsiTheme="minorHAnsi"/>
          <w:i/>
        </w:rPr>
      </w:pPr>
      <w:r w:rsidRPr="00A97EF9">
        <w:rPr>
          <w:rFonts w:asciiTheme="minorHAnsi" w:hAnsiTheme="minorHAnsi"/>
          <w:i/>
        </w:rPr>
        <w:t>* Below target</w:t>
      </w:r>
    </w:p>
    <w:p w:rsidR="00A36638" w:rsidRDefault="00A36638" w:rsidP="00ED7253">
      <w:pPr>
        <w:pStyle w:val="Default"/>
        <w:rPr>
          <w:rFonts w:asciiTheme="minorHAnsi" w:hAnsiTheme="minorHAnsi"/>
        </w:rPr>
      </w:pPr>
    </w:p>
    <w:p w:rsidR="00EB01B3" w:rsidRDefault="00F46669" w:rsidP="00F46669">
      <w:pPr>
        <w:pStyle w:val="Default"/>
        <w:rPr>
          <w:rFonts w:asciiTheme="minorHAnsi" w:hAnsiTheme="minorHAnsi"/>
        </w:rPr>
      </w:pPr>
      <w:r>
        <w:rPr>
          <w:rFonts w:asciiTheme="minorHAnsi" w:hAnsiTheme="minorHAnsi"/>
        </w:rPr>
        <w:t xml:space="preserve">In Fall 2016, we added </w:t>
      </w:r>
      <w:r w:rsidRPr="00A36638">
        <w:rPr>
          <w:rFonts w:asciiTheme="minorHAnsi" w:hAnsiTheme="minorHAnsi"/>
        </w:rPr>
        <w:t>PH 483</w:t>
      </w:r>
      <w:r>
        <w:rPr>
          <w:rFonts w:asciiTheme="minorHAnsi" w:hAnsiTheme="minorHAnsi"/>
        </w:rPr>
        <w:t>,</w:t>
      </w:r>
      <w:r w:rsidRPr="00A36638">
        <w:rPr>
          <w:rFonts w:asciiTheme="minorHAnsi" w:hAnsiTheme="minorHAnsi"/>
        </w:rPr>
        <w:t xml:space="preserve"> Administration of Health Programs</w:t>
      </w:r>
      <w:r>
        <w:rPr>
          <w:rFonts w:asciiTheme="minorHAnsi" w:hAnsiTheme="minorHAnsi"/>
        </w:rPr>
        <w:t>, to the required</w:t>
      </w:r>
      <w:r w:rsidR="005134EB">
        <w:rPr>
          <w:rFonts w:asciiTheme="minorHAnsi" w:hAnsiTheme="minorHAnsi"/>
        </w:rPr>
        <w:t xml:space="preserve"> BSPH</w:t>
      </w:r>
      <w:r w:rsidRPr="00A36638">
        <w:rPr>
          <w:rFonts w:asciiTheme="minorHAnsi" w:hAnsiTheme="minorHAnsi"/>
        </w:rPr>
        <w:t xml:space="preserve"> curriculum</w:t>
      </w:r>
      <w:r w:rsidR="005134EB">
        <w:rPr>
          <w:rFonts w:asciiTheme="minorHAnsi" w:hAnsiTheme="minorHAnsi"/>
        </w:rPr>
        <w:t xml:space="preserve">.  </w:t>
      </w:r>
      <w:r w:rsidR="00EB01B3">
        <w:rPr>
          <w:rFonts w:asciiTheme="minorHAnsi" w:hAnsiTheme="minorHAnsi"/>
        </w:rPr>
        <w:t xml:space="preserve">Although this course addition was not prompted by the data, it is </w:t>
      </w:r>
      <w:r w:rsidR="000E2080">
        <w:rPr>
          <w:rFonts w:asciiTheme="minorHAnsi" w:hAnsiTheme="minorHAnsi"/>
        </w:rPr>
        <w:t>plausible that the data reflect</w:t>
      </w:r>
      <w:r w:rsidR="00EB01B3">
        <w:rPr>
          <w:rFonts w:asciiTheme="minorHAnsi" w:hAnsiTheme="minorHAnsi"/>
        </w:rPr>
        <w:t xml:space="preserve"> our previous lack of a dedicated administration</w:t>
      </w:r>
      <w:r w:rsidR="000E2080">
        <w:rPr>
          <w:rFonts w:asciiTheme="minorHAnsi" w:hAnsiTheme="minorHAnsi"/>
        </w:rPr>
        <w:t xml:space="preserve"> course</w:t>
      </w:r>
      <w:r w:rsidR="00EB01B3">
        <w:rPr>
          <w:rFonts w:asciiTheme="minorHAnsi" w:hAnsiTheme="minorHAnsi"/>
        </w:rPr>
        <w:t xml:space="preserve"> at the BSPH level. </w:t>
      </w:r>
    </w:p>
    <w:p w:rsidR="00EB01B3" w:rsidRDefault="00EB01B3" w:rsidP="00F46669">
      <w:pPr>
        <w:pStyle w:val="Default"/>
        <w:rPr>
          <w:rFonts w:asciiTheme="minorHAnsi" w:hAnsiTheme="minorHAnsi"/>
        </w:rPr>
      </w:pPr>
    </w:p>
    <w:p w:rsidR="00F46669" w:rsidRDefault="001F6E41" w:rsidP="00ED7253">
      <w:pPr>
        <w:pStyle w:val="Default"/>
        <w:rPr>
          <w:rFonts w:asciiTheme="minorHAnsi" w:hAnsiTheme="minorHAnsi"/>
        </w:rPr>
      </w:pPr>
      <w:r>
        <w:rPr>
          <w:rFonts w:asciiTheme="minorHAnsi" w:hAnsiTheme="minorHAnsi"/>
        </w:rPr>
        <w:t>We conducted key informant interviews to identify specific desired MPH skill sets for epi</w:t>
      </w:r>
      <w:r w:rsidR="008574FC">
        <w:rPr>
          <w:rFonts w:asciiTheme="minorHAnsi" w:hAnsiTheme="minorHAnsi"/>
        </w:rPr>
        <w:t>demiology and biostatistics.  I</w:t>
      </w:r>
      <w:r>
        <w:rPr>
          <w:rFonts w:asciiTheme="minorHAnsi" w:hAnsiTheme="minorHAnsi"/>
        </w:rPr>
        <w:t>nformation gleaned is being used to revise existing course content</w:t>
      </w:r>
      <w:r w:rsidR="00AA715F">
        <w:rPr>
          <w:rFonts w:asciiTheme="minorHAnsi" w:hAnsiTheme="minorHAnsi"/>
        </w:rPr>
        <w:t>,</w:t>
      </w:r>
      <w:r>
        <w:rPr>
          <w:rFonts w:asciiTheme="minorHAnsi" w:hAnsiTheme="minorHAnsi"/>
        </w:rPr>
        <w:t xml:space="preserve"> and </w:t>
      </w:r>
      <w:r w:rsidR="00AA715F">
        <w:rPr>
          <w:rFonts w:asciiTheme="minorHAnsi" w:hAnsiTheme="minorHAnsi"/>
        </w:rPr>
        <w:t xml:space="preserve">was used </w:t>
      </w:r>
      <w:r w:rsidR="001E7997">
        <w:rPr>
          <w:rFonts w:asciiTheme="minorHAnsi" w:hAnsiTheme="minorHAnsi"/>
        </w:rPr>
        <w:t>to develop</w:t>
      </w:r>
      <w:r w:rsidR="00CC1B56">
        <w:rPr>
          <w:rFonts w:asciiTheme="minorHAnsi" w:hAnsiTheme="minorHAnsi"/>
        </w:rPr>
        <w:t xml:space="preserve"> the content for one </w:t>
      </w:r>
      <w:r w:rsidR="00CC1B56" w:rsidRPr="00AB57E5">
        <w:rPr>
          <w:rFonts w:asciiTheme="minorHAnsi" w:hAnsiTheme="minorHAnsi"/>
        </w:rPr>
        <w:t>of the new required core courses in the revised MPH.  While these changes will strengthen our program a</w:t>
      </w:r>
      <w:r w:rsidR="008574FC" w:rsidRPr="00AB57E5">
        <w:rPr>
          <w:rFonts w:asciiTheme="minorHAnsi" w:hAnsiTheme="minorHAnsi"/>
        </w:rPr>
        <w:t>nd better prepare our students</w:t>
      </w:r>
      <w:r w:rsidR="00A72777" w:rsidRPr="00AB57E5">
        <w:rPr>
          <w:rFonts w:asciiTheme="minorHAnsi" w:hAnsiTheme="minorHAnsi"/>
        </w:rPr>
        <w:t xml:space="preserve"> for public health practice, </w:t>
      </w:r>
      <w:r w:rsidR="008574FC" w:rsidRPr="00AB57E5">
        <w:rPr>
          <w:rFonts w:asciiTheme="minorHAnsi" w:hAnsiTheme="minorHAnsi"/>
        </w:rPr>
        <w:t>our students</w:t>
      </w:r>
      <w:r w:rsidR="00A72777" w:rsidRPr="00AB57E5">
        <w:rPr>
          <w:rFonts w:asciiTheme="minorHAnsi" w:hAnsiTheme="minorHAnsi"/>
        </w:rPr>
        <w:t xml:space="preserve"> </w:t>
      </w:r>
      <w:r w:rsidR="00D20636">
        <w:rPr>
          <w:rFonts w:asciiTheme="minorHAnsi" w:hAnsiTheme="minorHAnsi"/>
        </w:rPr>
        <w:t>are</w:t>
      </w:r>
      <w:r w:rsidR="00AA715F" w:rsidRPr="00AB57E5">
        <w:rPr>
          <w:rFonts w:asciiTheme="minorHAnsi" w:hAnsiTheme="minorHAnsi"/>
        </w:rPr>
        <w:t xml:space="preserve"> compared to </w:t>
      </w:r>
      <w:r w:rsidR="00A72777" w:rsidRPr="00AB57E5">
        <w:rPr>
          <w:rFonts w:asciiTheme="minorHAnsi" w:hAnsiTheme="minorHAnsi"/>
        </w:rPr>
        <w:t>MPH students in dedicated epidemiology/biostatistics concentrations or</w:t>
      </w:r>
      <w:r w:rsidR="00AB57E5" w:rsidRPr="00AB57E5">
        <w:rPr>
          <w:rFonts w:asciiTheme="minorHAnsi" w:hAnsiTheme="minorHAnsi"/>
        </w:rPr>
        <w:t xml:space="preserve"> programs, and thus may continue to be evaluated less favorably by employers.</w:t>
      </w:r>
      <w:r w:rsidR="008574FC" w:rsidRPr="00AB57E5">
        <w:rPr>
          <w:rFonts w:asciiTheme="minorHAnsi" w:hAnsiTheme="minorHAnsi"/>
        </w:rPr>
        <w:t xml:space="preserve"> </w:t>
      </w:r>
      <w:r w:rsidR="00AB57E5" w:rsidRPr="00AB57E5">
        <w:rPr>
          <w:rFonts w:asciiTheme="minorHAnsi" w:hAnsiTheme="minorHAnsi"/>
        </w:rPr>
        <w:t xml:space="preserve">One key informant, for example, </w:t>
      </w:r>
      <w:r w:rsidR="00A72777" w:rsidRPr="00AB57E5">
        <w:rPr>
          <w:rFonts w:asciiTheme="minorHAnsi" w:hAnsiTheme="minorHAnsi"/>
        </w:rPr>
        <w:t xml:space="preserve">stated that </w:t>
      </w:r>
      <w:r w:rsidR="00AA715F" w:rsidRPr="00AB57E5">
        <w:rPr>
          <w:rFonts w:asciiTheme="minorHAnsi" w:hAnsiTheme="minorHAnsi"/>
        </w:rPr>
        <w:t xml:space="preserve">all </w:t>
      </w:r>
      <w:r w:rsidR="00A72777" w:rsidRPr="00AB57E5">
        <w:rPr>
          <w:rFonts w:asciiTheme="minorHAnsi" w:hAnsiTheme="minorHAnsi"/>
        </w:rPr>
        <w:t>MPH students should have at lea</w:t>
      </w:r>
      <w:r w:rsidR="00AA715F" w:rsidRPr="00AB57E5">
        <w:rPr>
          <w:rFonts w:asciiTheme="minorHAnsi" w:hAnsiTheme="minorHAnsi"/>
        </w:rPr>
        <w:t xml:space="preserve">st five courses in epidemiology. </w:t>
      </w:r>
    </w:p>
    <w:p w:rsidR="00F46669" w:rsidRDefault="00F46669" w:rsidP="00ED7253">
      <w:pPr>
        <w:pStyle w:val="Default"/>
        <w:rPr>
          <w:rFonts w:asciiTheme="minorHAnsi" w:hAnsiTheme="minorHAnsi"/>
        </w:rPr>
      </w:pPr>
    </w:p>
    <w:p w:rsidR="004936CE" w:rsidRDefault="002F4BC7" w:rsidP="00ED7253">
      <w:pPr>
        <w:pStyle w:val="Default"/>
        <w:rPr>
          <w:rFonts w:asciiTheme="minorHAnsi" w:hAnsiTheme="minorHAnsi"/>
        </w:rPr>
      </w:pPr>
      <w:r>
        <w:rPr>
          <w:rFonts w:asciiTheme="minorHAnsi" w:hAnsiTheme="minorHAnsi"/>
        </w:rPr>
        <w:lastRenderedPageBreak/>
        <w:t xml:space="preserve">Respondents were also asked </w:t>
      </w:r>
      <w:r w:rsidR="00802FFB">
        <w:rPr>
          <w:rFonts w:asciiTheme="minorHAnsi" w:hAnsiTheme="minorHAnsi"/>
        </w:rPr>
        <w:t xml:space="preserve">how </w:t>
      </w:r>
      <w:r w:rsidR="00802FFB" w:rsidRPr="00802FFB">
        <w:rPr>
          <w:rFonts w:asciiTheme="minorHAnsi" w:hAnsiTheme="minorHAnsi"/>
        </w:rPr>
        <w:t>li</w:t>
      </w:r>
      <w:r>
        <w:rPr>
          <w:rFonts w:asciiTheme="minorHAnsi" w:hAnsiTheme="minorHAnsi"/>
        </w:rPr>
        <w:t>k</w:t>
      </w:r>
      <w:r w:rsidR="00802FFB" w:rsidRPr="00802FFB">
        <w:rPr>
          <w:rFonts w:asciiTheme="minorHAnsi" w:hAnsiTheme="minorHAnsi"/>
        </w:rPr>
        <w:t xml:space="preserve">ely </w:t>
      </w:r>
      <w:r>
        <w:rPr>
          <w:rFonts w:asciiTheme="minorHAnsi" w:hAnsiTheme="minorHAnsi"/>
        </w:rPr>
        <w:t xml:space="preserve">they </w:t>
      </w:r>
      <w:r w:rsidR="00802FFB" w:rsidRPr="00802FFB">
        <w:rPr>
          <w:rFonts w:asciiTheme="minorHAnsi" w:hAnsiTheme="minorHAnsi"/>
        </w:rPr>
        <w:t xml:space="preserve">would be to seek out and/or employ </w:t>
      </w:r>
      <w:r>
        <w:rPr>
          <w:rFonts w:asciiTheme="minorHAnsi" w:hAnsiTheme="minorHAnsi"/>
        </w:rPr>
        <w:t>other WKU graduates (</w:t>
      </w:r>
      <w:r w:rsidR="00AC1B46">
        <w:rPr>
          <w:rFonts w:asciiTheme="minorHAnsi" w:hAnsiTheme="minorHAnsi"/>
        </w:rPr>
        <w:t xml:space="preserve">5 point scale, </w:t>
      </w:r>
      <w:r>
        <w:rPr>
          <w:rFonts w:asciiTheme="minorHAnsi" w:hAnsiTheme="minorHAnsi"/>
        </w:rPr>
        <w:t>not likely to very likely)</w:t>
      </w:r>
      <w:r w:rsidR="00E97E69">
        <w:rPr>
          <w:rFonts w:asciiTheme="minorHAnsi" w:hAnsiTheme="minorHAnsi"/>
        </w:rPr>
        <w:t>,</w:t>
      </w:r>
      <w:r>
        <w:rPr>
          <w:rFonts w:asciiTheme="minorHAnsi" w:hAnsiTheme="minorHAnsi"/>
        </w:rPr>
        <w:t xml:space="preserve"> and</w:t>
      </w:r>
      <w:r w:rsidR="00802FFB">
        <w:rPr>
          <w:rFonts w:asciiTheme="minorHAnsi" w:hAnsiTheme="minorHAnsi"/>
        </w:rPr>
        <w:t xml:space="preserve"> how our graduates rate in comparison to graduates from other institutions on academic preparation and </w:t>
      </w:r>
      <w:r>
        <w:rPr>
          <w:rFonts w:asciiTheme="minorHAnsi" w:hAnsiTheme="minorHAnsi"/>
        </w:rPr>
        <w:t xml:space="preserve">on </w:t>
      </w:r>
      <w:r w:rsidR="00AC1B46">
        <w:rPr>
          <w:rFonts w:asciiTheme="minorHAnsi" w:hAnsiTheme="minorHAnsi"/>
        </w:rPr>
        <w:t xml:space="preserve">professionalism (3 point scale, less prepared, better prepared).  </w:t>
      </w:r>
      <w:r w:rsidR="004C08D9">
        <w:rPr>
          <w:rFonts w:asciiTheme="minorHAnsi" w:hAnsiTheme="minorHAnsi"/>
        </w:rPr>
        <w:t>Nearly all respondents stated they were likely or very likely to seek out and/or employ other WKU graduates (89.5% MPH and 100% BSPH)</w:t>
      </w:r>
      <w:r w:rsidR="00C44E90">
        <w:rPr>
          <w:rFonts w:asciiTheme="minorHAnsi" w:hAnsiTheme="minorHAnsi"/>
        </w:rPr>
        <w:t xml:space="preserve">; </w:t>
      </w:r>
      <w:r w:rsidR="004C08D9">
        <w:rPr>
          <w:rFonts w:asciiTheme="minorHAnsi" w:hAnsiTheme="minorHAnsi"/>
        </w:rPr>
        <w:t xml:space="preserve">all </w:t>
      </w:r>
      <w:r w:rsidR="00C44E90">
        <w:rPr>
          <w:rFonts w:asciiTheme="minorHAnsi" w:hAnsiTheme="minorHAnsi"/>
        </w:rPr>
        <w:t>rated our students’ academic preparation and professionalism as either better than or about the same as students from other institutions.  The table below shows three percentage of respondents reporting the highest ratings by degree level.  The full report is in Appendix H.</w:t>
      </w:r>
    </w:p>
    <w:p w:rsidR="002F4BC7" w:rsidRDefault="002F4BC7" w:rsidP="00ED7253">
      <w:pPr>
        <w:pStyle w:val="Default"/>
        <w:rPr>
          <w:rFonts w:asciiTheme="minorHAnsi" w:hAnsiTheme="minorHAnsi"/>
        </w:rPr>
      </w:pPr>
    </w:p>
    <w:p w:rsidR="00B34255" w:rsidRPr="00862D0E" w:rsidRDefault="00B34255" w:rsidP="00ED7253">
      <w:pPr>
        <w:pStyle w:val="Default"/>
        <w:rPr>
          <w:rFonts w:asciiTheme="minorHAnsi" w:hAnsiTheme="minorHAnsi"/>
          <w:i/>
        </w:rPr>
      </w:pPr>
      <w:r w:rsidRPr="00862D0E">
        <w:rPr>
          <w:rFonts w:asciiTheme="minorHAnsi" w:hAnsiTheme="minorHAnsi"/>
          <w:i/>
        </w:rPr>
        <w:t>Percentage of respondents rating WKU graduates highly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1439"/>
        <w:gridCol w:w="1621"/>
      </w:tblGrid>
      <w:tr w:rsidR="002F4BC7" w:rsidTr="00B34255">
        <w:tc>
          <w:tcPr>
            <w:tcW w:w="5305" w:type="dxa"/>
            <w:tcBorders>
              <w:top w:val="single" w:sz="4" w:space="0" w:color="auto"/>
              <w:bottom w:val="single" w:sz="4" w:space="0" w:color="auto"/>
            </w:tcBorders>
          </w:tcPr>
          <w:p w:rsidR="002F4BC7" w:rsidRPr="00B34255" w:rsidRDefault="002F4BC7" w:rsidP="00ED7253">
            <w:pPr>
              <w:pStyle w:val="Default"/>
              <w:rPr>
                <w:rFonts w:asciiTheme="minorHAnsi" w:hAnsiTheme="minorHAnsi"/>
                <w:b/>
              </w:rPr>
            </w:pPr>
            <w:r w:rsidRPr="00B34255">
              <w:rPr>
                <w:rFonts w:asciiTheme="minorHAnsi" w:hAnsiTheme="minorHAnsi"/>
                <w:b/>
              </w:rPr>
              <w:t>Item</w:t>
            </w:r>
          </w:p>
        </w:tc>
        <w:tc>
          <w:tcPr>
            <w:tcW w:w="1439" w:type="dxa"/>
            <w:tcBorders>
              <w:top w:val="single" w:sz="4" w:space="0" w:color="auto"/>
              <w:bottom w:val="single" w:sz="4" w:space="0" w:color="auto"/>
            </w:tcBorders>
          </w:tcPr>
          <w:p w:rsidR="002F4BC7" w:rsidRPr="00B34255" w:rsidRDefault="00AC1B46" w:rsidP="00B34255">
            <w:pPr>
              <w:pStyle w:val="Default"/>
              <w:jc w:val="center"/>
              <w:rPr>
                <w:rFonts w:asciiTheme="minorHAnsi" w:hAnsiTheme="minorHAnsi"/>
                <w:b/>
              </w:rPr>
            </w:pPr>
            <w:r w:rsidRPr="00B34255">
              <w:rPr>
                <w:rFonts w:asciiTheme="minorHAnsi" w:hAnsiTheme="minorHAnsi"/>
                <w:b/>
              </w:rPr>
              <w:t>BSPH</w:t>
            </w:r>
          </w:p>
        </w:tc>
        <w:tc>
          <w:tcPr>
            <w:tcW w:w="1621" w:type="dxa"/>
            <w:tcBorders>
              <w:top w:val="single" w:sz="4" w:space="0" w:color="auto"/>
              <w:bottom w:val="single" w:sz="4" w:space="0" w:color="auto"/>
            </w:tcBorders>
          </w:tcPr>
          <w:p w:rsidR="002F4BC7" w:rsidRPr="00B34255" w:rsidRDefault="00AC1B46" w:rsidP="00B34255">
            <w:pPr>
              <w:pStyle w:val="Default"/>
              <w:jc w:val="center"/>
              <w:rPr>
                <w:rFonts w:asciiTheme="minorHAnsi" w:hAnsiTheme="minorHAnsi"/>
                <w:b/>
              </w:rPr>
            </w:pPr>
            <w:r w:rsidRPr="00B34255">
              <w:rPr>
                <w:rFonts w:asciiTheme="minorHAnsi" w:hAnsiTheme="minorHAnsi"/>
                <w:b/>
              </w:rPr>
              <w:t>MPH</w:t>
            </w:r>
          </w:p>
        </w:tc>
      </w:tr>
      <w:tr w:rsidR="002F4BC7" w:rsidTr="00B34255">
        <w:tc>
          <w:tcPr>
            <w:tcW w:w="5305" w:type="dxa"/>
            <w:tcBorders>
              <w:top w:val="single" w:sz="4" w:space="0" w:color="auto"/>
            </w:tcBorders>
          </w:tcPr>
          <w:p w:rsidR="002F4BC7" w:rsidRDefault="00AC1B46" w:rsidP="00ED7253">
            <w:pPr>
              <w:pStyle w:val="Default"/>
              <w:rPr>
                <w:rFonts w:asciiTheme="minorHAnsi" w:hAnsiTheme="minorHAnsi"/>
              </w:rPr>
            </w:pPr>
            <w:r>
              <w:rPr>
                <w:rFonts w:asciiTheme="minorHAnsi" w:hAnsiTheme="minorHAnsi"/>
              </w:rPr>
              <w:t>Very likely to seek</w:t>
            </w:r>
            <w:r w:rsidR="002F4BC7">
              <w:rPr>
                <w:rFonts w:asciiTheme="minorHAnsi" w:hAnsiTheme="minorHAnsi"/>
              </w:rPr>
              <w:t xml:space="preserve"> out WKU graduates</w:t>
            </w:r>
          </w:p>
        </w:tc>
        <w:tc>
          <w:tcPr>
            <w:tcW w:w="1439" w:type="dxa"/>
            <w:tcBorders>
              <w:top w:val="single" w:sz="4" w:space="0" w:color="auto"/>
            </w:tcBorders>
          </w:tcPr>
          <w:p w:rsidR="002F4BC7" w:rsidRDefault="00AC1B46" w:rsidP="00B34255">
            <w:pPr>
              <w:pStyle w:val="Default"/>
              <w:jc w:val="center"/>
              <w:rPr>
                <w:rFonts w:asciiTheme="minorHAnsi" w:hAnsiTheme="minorHAnsi"/>
              </w:rPr>
            </w:pPr>
            <w:r>
              <w:rPr>
                <w:rFonts w:asciiTheme="minorHAnsi" w:hAnsiTheme="minorHAnsi"/>
              </w:rPr>
              <w:t>58.3</w:t>
            </w:r>
          </w:p>
        </w:tc>
        <w:tc>
          <w:tcPr>
            <w:tcW w:w="1621" w:type="dxa"/>
            <w:tcBorders>
              <w:top w:val="single" w:sz="4" w:space="0" w:color="auto"/>
            </w:tcBorders>
          </w:tcPr>
          <w:p w:rsidR="002F4BC7" w:rsidRDefault="00AC1B46" w:rsidP="00B34255">
            <w:pPr>
              <w:pStyle w:val="Default"/>
              <w:jc w:val="center"/>
              <w:rPr>
                <w:rFonts w:asciiTheme="minorHAnsi" w:hAnsiTheme="minorHAnsi"/>
              </w:rPr>
            </w:pPr>
            <w:r>
              <w:rPr>
                <w:rFonts w:asciiTheme="minorHAnsi" w:hAnsiTheme="minorHAnsi"/>
              </w:rPr>
              <w:t>73.7</w:t>
            </w:r>
          </w:p>
        </w:tc>
      </w:tr>
      <w:tr w:rsidR="002F4BC7" w:rsidTr="00B34255">
        <w:tc>
          <w:tcPr>
            <w:tcW w:w="5305" w:type="dxa"/>
          </w:tcPr>
          <w:p w:rsidR="002F4BC7" w:rsidRDefault="00AC1B46" w:rsidP="00AC1B46">
            <w:pPr>
              <w:pStyle w:val="Default"/>
              <w:rPr>
                <w:rFonts w:asciiTheme="minorHAnsi" w:hAnsiTheme="minorHAnsi"/>
              </w:rPr>
            </w:pPr>
            <w:r>
              <w:rPr>
                <w:rFonts w:asciiTheme="minorHAnsi" w:hAnsiTheme="minorHAnsi"/>
              </w:rPr>
              <w:t>Academic preparation better than other institutions</w:t>
            </w:r>
          </w:p>
        </w:tc>
        <w:tc>
          <w:tcPr>
            <w:tcW w:w="1439" w:type="dxa"/>
          </w:tcPr>
          <w:p w:rsidR="002F4BC7" w:rsidRDefault="00AC1B46" w:rsidP="00B34255">
            <w:pPr>
              <w:pStyle w:val="Default"/>
              <w:jc w:val="center"/>
              <w:rPr>
                <w:rFonts w:asciiTheme="minorHAnsi" w:hAnsiTheme="minorHAnsi"/>
              </w:rPr>
            </w:pPr>
            <w:r>
              <w:rPr>
                <w:rFonts w:asciiTheme="minorHAnsi" w:hAnsiTheme="minorHAnsi"/>
              </w:rPr>
              <w:t>41.7</w:t>
            </w:r>
          </w:p>
        </w:tc>
        <w:tc>
          <w:tcPr>
            <w:tcW w:w="1621" w:type="dxa"/>
          </w:tcPr>
          <w:p w:rsidR="002F4BC7" w:rsidRDefault="00AC1B46" w:rsidP="00B34255">
            <w:pPr>
              <w:pStyle w:val="Default"/>
              <w:jc w:val="center"/>
              <w:rPr>
                <w:rFonts w:asciiTheme="minorHAnsi" w:hAnsiTheme="minorHAnsi"/>
              </w:rPr>
            </w:pPr>
            <w:r>
              <w:rPr>
                <w:rFonts w:asciiTheme="minorHAnsi" w:hAnsiTheme="minorHAnsi"/>
              </w:rPr>
              <w:t>18.8</w:t>
            </w:r>
          </w:p>
        </w:tc>
      </w:tr>
      <w:tr w:rsidR="002F4BC7" w:rsidTr="00B34255">
        <w:tc>
          <w:tcPr>
            <w:tcW w:w="5305" w:type="dxa"/>
          </w:tcPr>
          <w:p w:rsidR="002F4BC7" w:rsidRDefault="00AC1B46" w:rsidP="00ED7253">
            <w:pPr>
              <w:pStyle w:val="Default"/>
              <w:rPr>
                <w:rFonts w:asciiTheme="minorHAnsi" w:hAnsiTheme="minorHAnsi"/>
              </w:rPr>
            </w:pPr>
            <w:r>
              <w:rPr>
                <w:rFonts w:asciiTheme="minorHAnsi" w:hAnsiTheme="minorHAnsi"/>
              </w:rPr>
              <w:t>Professionalism better than other institutions</w:t>
            </w:r>
          </w:p>
        </w:tc>
        <w:tc>
          <w:tcPr>
            <w:tcW w:w="1439" w:type="dxa"/>
          </w:tcPr>
          <w:p w:rsidR="002F4BC7" w:rsidRDefault="00AC1B46" w:rsidP="00B34255">
            <w:pPr>
              <w:pStyle w:val="Default"/>
              <w:jc w:val="center"/>
              <w:rPr>
                <w:rFonts w:asciiTheme="minorHAnsi" w:hAnsiTheme="minorHAnsi"/>
              </w:rPr>
            </w:pPr>
            <w:r>
              <w:rPr>
                <w:rFonts w:asciiTheme="minorHAnsi" w:hAnsiTheme="minorHAnsi"/>
              </w:rPr>
              <w:t>45.5</w:t>
            </w:r>
          </w:p>
        </w:tc>
        <w:tc>
          <w:tcPr>
            <w:tcW w:w="1621" w:type="dxa"/>
          </w:tcPr>
          <w:p w:rsidR="002F4BC7" w:rsidRDefault="00AC1B46" w:rsidP="00B34255">
            <w:pPr>
              <w:pStyle w:val="Default"/>
              <w:jc w:val="center"/>
              <w:rPr>
                <w:rFonts w:asciiTheme="minorHAnsi" w:hAnsiTheme="minorHAnsi"/>
              </w:rPr>
            </w:pPr>
            <w:r>
              <w:rPr>
                <w:rFonts w:asciiTheme="minorHAnsi" w:hAnsiTheme="minorHAnsi"/>
              </w:rPr>
              <w:t>29.4</w:t>
            </w:r>
          </w:p>
        </w:tc>
      </w:tr>
    </w:tbl>
    <w:p w:rsidR="002F4BC7" w:rsidRDefault="002F4BC7" w:rsidP="00ED7253">
      <w:pPr>
        <w:pStyle w:val="Default"/>
        <w:rPr>
          <w:rFonts w:asciiTheme="minorHAnsi" w:hAnsiTheme="minorHAnsi"/>
        </w:rPr>
      </w:pPr>
    </w:p>
    <w:p w:rsidR="00164ADF" w:rsidRDefault="00164ADF" w:rsidP="00726B29">
      <w:pPr>
        <w:spacing w:after="0"/>
      </w:pPr>
    </w:p>
    <w:p w:rsidR="00DC5E34" w:rsidRDefault="00DC5E34" w:rsidP="00726B29">
      <w:pPr>
        <w:spacing w:after="0"/>
      </w:pPr>
      <w:r>
        <w:t xml:space="preserve">As we transition to the 2016 Criteria, we will explore </w:t>
      </w:r>
      <w:r w:rsidR="00B06252">
        <w:t xml:space="preserve">multiple </w:t>
      </w:r>
      <w:r>
        <w:t>methods to gather employer’s f</w:t>
      </w:r>
      <w:r w:rsidR="00E843A1">
        <w:t>eedback on student outcomes, and examine the effectiveness of each.</w:t>
      </w:r>
      <w:r w:rsidR="00066A8A">
        <w:t xml:space="preserve"> </w:t>
      </w:r>
    </w:p>
    <w:p w:rsidR="00DC5E34" w:rsidRDefault="00DC5E34" w:rsidP="00726B29">
      <w:pPr>
        <w:spacing w:after="0"/>
      </w:pPr>
    </w:p>
    <w:p w:rsidR="00CF5FFC" w:rsidRDefault="00CF5FFC" w:rsidP="00726B29">
      <w:pPr>
        <w:spacing w:after="0"/>
      </w:pPr>
    </w:p>
    <w:p w:rsidR="00686890" w:rsidRDefault="00686890" w:rsidP="00726B29">
      <w:pPr>
        <w:spacing w:after="0"/>
      </w:pPr>
    </w:p>
    <w:p w:rsidR="00802FFB" w:rsidRDefault="00802FFB" w:rsidP="00726B29">
      <w:pPr>
        <w:spacing w:after="0"/>
        <w:rPr>
          <w:rFonts w:cs="Arial"/>
          <w:b/>
          <w:color w:val="000000"/>
          <w:szCs w:val="24"/>
        </w:rPr>
      </w:pPr>
      <w:r>
        <w:br w:type="page"/>
      </w:r>
    </w:p>
    <w:p w:rsidR="00507536" w:rsidRPr="00CB5EB0" w:rsidRDefault="004936CE" w:rsidP="005327E4">
      <w:pPr>
        <w:pStyle w:val="Heading1"/>
      </w:pPr>
      <w:bookmarkStart w:id="10" w:name="_Toc490316877"/>
      <w:r w:rsidRPr="00CB5EB0">
        <w:lastRenderedPageBreak/>
        <w:t>J.</w:t>
      </w:r>
      <w:r w:rsidR="00507536" w:rsidRPr="00CB5EB0">
        <w:t xml:space="preserve"> Implemented practices to plan and manage workforce development activities based on identified community needs. (Criterion 3.3)</w:t>
      </w:r>
      <w:bookmarkEnd w:id="10"/>
      <w:r w:rsidR="00507536" w:rsidRPr="00CB5EB0">
        <w:t xml:space="preserve"> </w:t>
      </w:r>
    </w:p>
    <w:p w:rsidR="009614DF" w:rsidRPr="009614DF" w:rsidRDefault="009614DF" w:rsidP="00147FE8">
      <w:pPr>
        <w:spacing w:after="0"/>
      </w:pPr>
    </w:p>
    <w:p w:rsidR="00285B6B" w:rsidRDefault="001D6BD6" w:rsidP="00147FE8">
      <w:pPr>
        <w:pStyle w:val="Default"/>
        <w:rPr>
          <w:rFonts w:asciiTheme="minorHAnsi" w:hAnsiTheme="minorHAnsi"/>
        </w:rPr>
      </w:pPr>
      <w:r>
        <w:rPr>
          <w:rFonts w:asciiTheme="minorHAnsi" w:hAnsiTheme="minorHAnsi"/>
        </w:rPr>
        <w:t>2016 C</w:t>
      </w:r>
      <w:r w:rsidR="00285B6B" w:rsidRPr="00822881">
        <w:rPr>
          <w:rFonts w:asciiTheme="minorHAnsi" w:hAnsiTheme="minorHAnsi"/>
        </w:rPr>
        <w:t xml:space="preserve">riteria F3 and F4 were used to guide our response to this </w:t>
      </w:r>
      <w:r w:rsidR="006B04E1">
        <w:rPr>
          <w:rFonts w:asciiTheme="minorHAnsi" w:hAnsiTheme="minorHAnsi"/>
        </w:rPr>
        <w:t>compliance issue</w:t>
      </w:r>
      <w:r w:rsidR="00285B6B" w:rsidRPr="00822881">
        <w:rPr>
          <w:rFonts w:asciiTheme="minorHAnsi" w:hAnsiTheme="minorHAnsi"/>
        </w:rPr>
        <w:t xml:space="preserve">.  </w:t>
      </w:r>
    </w:p>
    <w:p w:rsidR="00F93FD6" w:rsidRDefault="00F93FD6" w:rsidP="004936CE">
      <w:pPr>
        <w:pStyle w:val="Default"/>
        <w:rPr>
          <w:rFonts w:asciiTheme="minorHAnsi" w:hAnsiTheme="minorHAnsi"/>
        </w:rPr>
      </w:pPr>
    </w:p>
    <w:p w:rsidR="001D6BD6" w:rsidRPr="001D6BD6" w:rsidRDefault="001D6BD6" w:rsidP="004936CE">
      <w:pPr>
        <w:pStyle w:val="Default"/>
        <w:rPr>
          <w:rFonts w:asciiTheme="minorHAnsi" w:hAnsiTheme="minorHAnsi"/>
          <w:u w:val="single"/>
        </w:rPr>
      </w:pPr>
      <w:r w:rsidRPr="001D6BD6">
        <w:rPr>
          <w:rFonts w:asciiTheme="minorHAnsi" w:hAnsiTheme="minorHAnsi"/>
          <w:u w:val="single"/>
        </w:rPr>
        <w:t>Priority Communities</w:t>
      </w:r>
    </w:p>
    <w:p w:rsidR="001D6BD6" w:rsidRDefault="00E00BB3" w:rsidP="004936CE">
      <w:pPr>
        <w:pStyle w:val="Default"/>
        <w:rPr>
          <w:rFonts w:asciiTheme="minorHAnsi" w:eastAsia="Times New Roman" w:hAnsiTheme="minorHAnsi" w:cs="Times New Roman"/>
        </w:rPr>
      </w:pPr>
      <w:r>
        <w:rPr>
          <w:rFonts w:asciiTheme="minorHAnsi" w:eastAsia="Times New Roman" w:hAnsiTheme="minorHAnsi" w:cs="Times New Roman"/>
        </w:rPr>
        <w:t>We identified t</w:t>
      </w:r>
      <w:r w:rsidR="00F93FD6" w:rsidRPr="003C46D7">
        <w:rPr>
          <w:rFonts w:asciiTheme="minorHAnsi" w:eastAsia="Times New Roman" w:hAnsiTheme="minorHAnsi" w:cs="Times New Roman"/>
        </w:rPr>
        <w:t xml:space="preserve">wo priority communities </w:t>
      </w:r>
      <w:r>
        <w:rPr>
          <w:rFonts w:asciiTheme="minorHAnsi" w:eastAsia="Times New Roman" w:hAnsiTheme="minorHAnsi" w:cs="Times New Roman"/>
        </w:rPr>
        <w:t xml:space="preserve">for </w:t>
      </w:r>
      <w:r w:rsidR="009C7E9A">
        <w:rPr>
          <w:rFonts w:asciiTheme="minorHAnsi" w:eastAsia="Times New Roman" w:hAnsiTheme="minorHAnsi" w:cs="Times New Roman"/>
        </w:rPr>
        <w:t xml:space="preserve">delivering </w:t>
      </w:r>
      <w:r>
        <w:rPr>
          <w:rFonts w:asciiTheme="minorHAnsi" w:eastAsia="Times New Roman" w:hAnsiTheme="minorHAnsi" w:cs="Times New Roman"/>
        </w:rPr>
        <w:t xml:space="preserve">professional development </w:t>
      </w:r>
      <w:r w:rsidR="00147FE8">
        <w:rPr>
          <w:rFonts w:asciiTheme="minorHAnsi" w:eastAsia="Times New Roman" w:hAnsiTheme="minorHAnsi" w:cs="Times New Roman"/>
        </w:rPr>
        <w:t>activities</w:t>
      </w:r>
      <w:r w:rsidR="00F93FD6" w:rsidRPr="003C46D7">
        <w:rPr>
          <w:rFonts w:asciiTheme="minorHAnsi" w:eastAsia="Times New Roman" w:hAnsiTheme="minorHAnsi" w:cs="Times New Roman"/>
        </w:rPr>
        <w:t xml:space="preserve">: </w:t>
      </w:r>
      <w:r w:rsidR="00834FFB">
        <w:rPr>
          <w:rFonts w:asciiTheme="minorHAnsi" w:eastAsia="Times New Roman" w:hAnsiTheme="minorHAnsi" w:cs="Times New Roman"/>
        </w:rPr>
        <w:t xml:space="preserve">our </w:t>
      </w:r>
      <w:r w:rsidR="00D30507">
        <w:rPr>
          <w:rFonts w:asciiTheme="minorHAnsi" w:eastAsia="Times New Roman" w:hAnsiTheme="minorHAnsi" w:cs="Times New Roman"/>
        </w:rPr>
        <w:t xml:space="preserve">two </w:t>
      </w:r>
      <w:r w:rsidR="00F93FD6" w:rsidRPr="003C46D7">
        <w:rPr>
          <w:rFonts w:asciiTheme="minorHAnsi" w:eastAsia="Times New Roman" w:hAnsiTheme="minorHAnsi" w:cs="Times New Roman"/>
        </w:rPr>
        <w:t>academic he</w:t>
      </w:r>
      <w:r w:rsidR="001D6BD6">
        <w:rPr>
          <w:rFonts w:asciiTheme="minorHAnsi" w:eastAsia="Times New Roman" w:hAnsiTheme="minorHAnsi" w:cs="Times New Roman"/>
        </w:rPr>
        <w:t>alth department (AHD) partners</w:t>
      </w:r>
      <w:r w:rsidR="00834FFB">
        <w:rPr>
          <w:rFonts w:asciiTheme="minorHAnsi" w:eastAsia="Times New Roman" w:hAnsiTheme="minorHAnsi" w:cs="Times New Roman"/>
        </w:rPr>
        <w:t xml:space="preserve"> (</w:t>
      </w:r>
      <w:r w:rsidR="00834FFB" w:rsidRPr="005866F2">
        <w:rPr>
          <w:rFonts w:asciiTheme="minorHAnsi" w:eastAsia="Times New Roman" w:hAnsiTheme="minorHAnsi" w:cs="Times New Roman"/>
        </w:rPr>
        <w:t xml:space="preserve">see </w:t>
      </w:r>
      <w:r w:rsidR="00834FFB" w:rsidRPr="00A36638">
        <w:rPr>
          <w:rFonts w:asciiTheme="minorHAnsi" w:eastAsia="Times New Roman" w:hAnsiTheme="minorHAnsi" w:cs="Times New Roman"/>
        </w:rPr>
        <w:t>Appendices</w:t>
      </w:r>
      <w:r w:rsidR="00AD30AC" w:rsidRPr="00A36638">
        <w:rPr>
          <w:rFonts w:asciiTheme="minorHAnsi" w:eastAsia="Times New Roman" w:hAnsiTheme="minorHAnsi" w:cs="Times New Roman"/>
        </w:rPr>
        <w:t xml:space="preserve"> I</w:t>
      </w:r>
      <w:r w:rsidR="00834FFB" w:rsidRPr="005866F2">
        <w:rPr>
          <w:rFonts w:asciiTheme="minorHAnsi" w:eastAsia="Times New Roman" w:hAnsiTheme="minorHAnsi" w:cs="Times New Roman"/>
        </w:rPr>
        <w:t xml:space="preserve"> and </w:t>
      </w:r>
      <w:r w:rsidR="00AD30AC" w:rsidRPr="00A36638">
        <w:rPr>
          <w:rFonts w:asciiTheme="minorHAnsi" w:eastAsia="Times New Roman" w:hAnsiTheme="minorHAnsi" w:cs="Times New Roman"/>
        </w:rPr>
        <w:t>J</w:t>
      </w:r>
      <w:r w:rsidR="00834FFB">
        <w:rPr>
          <w:rFonts w:asciiTheme="minorHAnsi" w:eastAsia="Times New Roman" w:hAnsiTheme="minorHAnsi" w:cs="Times New Roman"/>
        </w:rPr>
        <w:t>)</w:t>
      </w:r>
      <w:r w:rsidR="001D6BD6">
        <w:rPr>
          <w:rFonts w:asciiTheme="minorHAnsi" w:eastAsia="Times New Roman" w:hAnsiTheme="minorHAnsi" w:cs="Times New Roman"/>
        </w:rPr>
        <w:t xml:space="preserve">, </w:t>
      </w:r>
      <w:r w:rsidR="00F93FD6" w:rsidRPr="003C46D7">
        <w:rPr>
          <w:rFonts w:asciiTheme="minorHAnsi" w:eastAsia="Times New Roman" w:hAnsiTheme="minorHAnsi" w:cs="Times New Roman"/>
        </w:rPr>
        <w:t>as workforce</w:t>
      </w:r>
      <w:r w:rsidR="009C7E9A">
        <w:rPr>
          <w:rFonts w:asciiTheme="minorHAnsi" w:eastAsia="Times New Roman" w:hAnsiTheme="minorHAnsi" w:cs="Times New Roman"/>
        </w:rPr>
        <w:t>/professional</w:t>
      </w:r>
      <w:r w:rsidR="00F93FD6" w:rsidRPr="003C46D7">
        <w:rPr>
          <w:rFonts w:asciiTheme="minorHAnsi" w:eastAsia="Times New Roman" w:hAnsiTheme="minorHAnsi" w:cs="Times New Roman"/>
        </w:rPr>
        <w:t xml:space="preserve"> developm</w:t>
      </w:r>
      <w:r w:rsidR="009F01FE">
        <w:rPr>
          <w:rFonts w:asciiTheme="minorHAnsi" w:eastAsia="Times New Roman" w:hAnsiTheme="minorHAnsi" w:cs="Times New Roman"/>
        </w:rPr>
        <w:t>ent is part of these</w:t>
      </w:r>
      <w:r w:rsidR="001D6BD6">
        <w:rPr>
          <w:rFonts w:asciiTheme="minorHAnsi" w:eastAsia="Times New Roman" w:hAnsiTheme="minorHAnsi" w:cs="Times New Roman"/>
        </w:rPr>
        <w:t xml:space="preserve"> partne</w:t>
      </w:r>
      <w:r w:rsidR="00E355DD">
        <w:rPr>
          <w:rFonts w:asciiTheme="minorHAnsi" w:eastAsia="Times New Roman" w:hAnsiTheme="minorHAnsi" w:cs="Times New Roman"/>
        </w:rPr>
        <w:t>rship</w:t>
      </w:r>
      <w:r w:rsidR="009C7E9A">
        <w:rPr>
          <w:rFonts w:asciiTheme="minorHAnsi" w:eastAsia="Times New Roman" w:hAnsiTheme="minorHAnsi" w:cs="Times New Roman"/>
        </w:rPr>
        <w:t xml:space="preserve"> agreement</w:t>
      </w:r>
      <w:r w:rsidR="009F01FE">
        <w:rPr>
          <w:rFonts w:asciiTheme="minorHAnsi" w:eastAsia="Times New Roman" w:hAnsiTheme="minorHAnsi" w:cs="Times New Roman"/>
        </w:rPr>
        <w:t>s</w:t>
      </w:r>
      <w:r w:rsidR="00E355DD">
        <w:rPr>
          <w:rFonts w:asciiTheme="minorHAnsi" w:eastAsia="Times New Roman" w:hAnsiTheme="minorHAnsi" w:cs="Times New Roman"/>
        </w:rPr>
        <w:t>;</w:t>
      </w:r>
      <w:r w:rsidR="00F93FD6" w:rsidRPr="003C46D7">
        <w:rPr>
          <w:rFonts w:asciiTheme="minorHAnsi" w:eastAsia="Times New Roman" w:hAnsiTheme="minorHAnsi" w:cs="Times New Roman"/>
        </w:rPr>
        <w:t xml:space="preserve"> and</w:t>
      </w:r>
      <w:r w:rsidR="001D6BD6">
        <w:rPr>
          <w:rFonts w:asciiTheme="minorHAnsi" w:eastAsia="Times New Roman" w:hAnsiTheme="minorHAnsi" w:cs="Times New Roman"/>
        </w:rPr>
        <w:t>,</w:t>
      </w:r>
      <w:r w:rsidR="00F93FD6" w:rsidRPr="003C46D7">
        <w:rPr>
          <w:rFonts w:asciiTheme="minorHAnsi" w:eastAsia="Times New Roman" w:hAnsiTheme="minorHAnsi" w:cs="Times New Roman"/>
        </w:rPr>
        <w:t xml:space="preserve"> local organizations serving marginalized populations, as this is part of our diversity plan.</w:t>
      </w:r>
      <w:r>
        <w:rPr>
          <w:rFonts w:asciiTheme="minorHAnsi" w:eastAsia="Times New Roman" w:hAnsiTheme="minorHAnsi" w:cs="Times New Roman"/>
        </w:rPr>
        <w:t xml:space="preserve"> </w:t>
      </w:r>
    </w:p>
    <w:p w:rsidR="006317E1" w:rsidRDefault="006317E1" w:rsidP="004936CE">
      <w:pPr>
        <w:pStyle w:val="Default"/>
        <w:rPr>
          <w:rFonts w:asciiTheme="minorHAnsi" w:eastAsia="Times New Roman" w:hAnsiTheme="minorHAnsi" w:cs="Times New Roman"/>
        </w:rPr>
      </w:pPr>
    </w:p>
    <w:p w:rsidR="001D6BD6" w:rsidRPr="001D6BD6" w:rsidRDefault="00F04631" w:rsidP="004936CE">
      <w:pPr>
        <w:pStyle w:val="Default"/>
        <w:rPr>
          <w:rFonts w:asciiTheme="minorHAnsi" w:eastAsia="Times New Roman" w:hAnsiTheme="minorHAnsi" w:cs="Times New Roman"/>
          <w:u w:val="single"/>
        </w:rPr>
      </w:pPr>
      <w:r>
        <w:rPr>
          <w:rFonts w:asciiTheme="minorHAnsi" w:eastAsia="Times New Roman" w:hAnsiTheme="minorHAnsi" w:cs="Times New Roman"/>
          <w:u w:val="single"/>
        </w:rPr>
        <w:t xml:space="preserve">Professional Development </w:t>
      </w:r>
      <w:r w:rsidR="001D6BD6" w:rsidRPr="001D6BD6">
        <w:rPr>
          <w:rFonts w:asciiTheme="minorHAnsi" w:eastAsia="Times New Roman" w:hAnsiTheme="minorHAnsi" w:cs="Times New Roman"/>
          <w:u w:val="single"/>
        </w:rPr>
        <w:t>Needs</w:t>
      </w:r>
    </w:p>
    <w:p w:rsidR="006317E1" w:rsidRDefault="007639D4" w:rsidP="004936CE">
      <w:pPr>
        <w:pStyle w:val="Default"/>
        <w:rPr>
          <w:rFonts w:asciiTheme="minorHAnsi" w:eastAsia="Times New Roman" w:hAnsiTheme="minorHAnsi" w:cs="Times New Roman"/>
        </w:rPr>
      </w:pPr>
      <w:r>
        <w:rPr>
          <w:rFonts w:asciiTheme="minorHAnsi" w:eastAsia="Times New Roman" w:hAnsiTheme="minorHAnsi" w:cs="Times New Roman"/>
        </w:rPr>
        <w:t>Several</w:t>
      </w:r>
      <w:r w:rsidR="00F93FD6" w:rsidRPr="003C46D7">
        <w:rPr>
          <w:rFonts w:asciiTheme="minorHAnsi" w:eastAsia="Times New Roman" w:hAnsiTheme="minorHAnsi" w:cs="Times New Roman"/>
        </w:rPr>
        <w:t xml:space="preserve"> </w:t>
      </w:r>
      <w:r w:rsidR="005123CC">
        <w:rPr>
          <w:rFonts w:asciiTheme="minorHAnsi" w:eastAsia="Times New Roman" w:hAnsiTheme="minorHAnsi" w:cs="Times New Roman"/>
        </w:rPr>
        <w:t xml:space="preserve">formal and informal </w:t>
      </w:r>
      <w:r>
        <w:rPr>
          <w:rFonts w:asciiTheme="minorHAnsi" w:eastAsia="Times New Roman" w:hAnsiTheme="minorHAnsi" w:cs="Times New Roman"/>
        </w:rPr>
        <w:t>avenues</w:t>
      </w:r>
      <w:r w:rsidR="009F01FE">
        <w:rPr>
          <w:rFonts w:asciiTheme="minorHAnsi" w:eastAsia="Times New Roman" w:hAnsiTheme="minorHAnsi" w:cs="Times New Roman"/>
        </w:rPr>
        <w:t xml:space="preserve"> assess</w:t>
      </w:r>
      <w:r w:rsidR="001D6BD6">
        <w:rPr>
          <w:rFonts w:asciiTheme="minorHAnsi" w:eastAsia="Times New Roman" w:hAnsiTheme="minorHAnsi" w:cs="Times New Roman"/>
        </w:rPr>
        <w:t xml:space="preserve"> </w:t>
      </w:r>
      <w:r w:rsidR="001C4474">
        <w:rPr>
          <w:rFonts w:asciiTheme="minorHAnsi" w:eastAsia="Times New Roman" w:hAnsiTheme="minorHAnsi" w:cs="Times New Roman"/>
        </w:rPr>
        <w:t>professional development needs</w:t>
      </w:r>
      <w:r w:rsidR="00F93FD6" w:rsidRPr="003C46D7">
        <w:rPr>
          <w:rFonts w:asciiTheme="minorHAnsi" w:eastAsia="Times New Roman" w:hAnsiTheme="minorHAnsi" w:cs="Times New Roman"/>
        </w:rPr>
        <w:t>: B</w:t>
      </w:r>
      <w:r w:rsidR="00235773">
        <w:rPr>
          <w:rFonts w:asciiTheme="minorHAnsi" w:eastAsia="Times New Roman" w:hAnsiTheme="minorHAnsi" w:cs="Times New Roman"/>
        </w:rPr>
        <w:t>ECKY</w:t>
      </w:r>
      <w:r w:rsidR="00FA21CE">
        <w:rPr>
          <w:rStyle w:val="FootnoteReference"/>
          <w:rFonts w:asciiTheme="minorHAnsi" w:eastAsia="Times New Roman" w:hAnsiTheme="minorHAnsi" w:cs="Times New Roman"/>
        </w:rPr>
        <w:footnoteReference w:id="8"/>
      </w:r>
      <w:r w:rsidR="00235773">
        <w:rPr>
          <w:rFonts w:asciiTheme="minorHAnsi" w:eastAsia="Times New Roman" w:hAnsiTheme="minorHAnsi" w:cs="Times New Roman"/>
        </w:rPr>
        <w:t xml:space="preserve"> meetings, AHD </w:t>
      </w:r>
      <w:r w:rsidR="009F01FE">
        <w:rPr>
          <w:rFonts w:asciiTheme="minorHAnsi" w:eastAsia="Times New Roman" w:hAnsiTheme="minorHAnsi" w:cs="Times New Roman"/>
        </w:rPr>
        <w:t>bi-annual meetings, a</w:t>
      </w:r>
      <w:r w:rsidR="00235773">
        <w:rPr>
          <w:rFonts w:asciiTheme="minorHAnsi" w:eastAsia="Times New Roman" w:hAnsiTheme="minorHAnsi" w:cs="Times New Roman"/>
        </w:rPr>
        <w:t xml:space="preserve"> </w:t>
      </w:r>
      <w:r w:rsidR="00F93FD6" w:rsidRPr="003C46D7">
        <w:rPr>
          <w:rFonts w:asciiTheme="minorHAnsi" w:eastAsia="Times New Roman" w:hAnsiTheme="minorHAnsi" w:cs="Times New Roman"/>
        </w:rPr>
        <w:t>workforce/employer survey</w:t>
      </w:r>
      <w:r w:rsidR="00235773">
        <w:rPr>
          <w:rFonts w:asciiTheme="minorHAnsi" w:eastAsia="Times New Roman" w:hAnsiTheme="minorHAnsi" w:cs="Times New Roman"/>
        </w:rPr>
        <w:t>, discussions with leadership and staff in public h</w:t>
      </w:r>
      <w:r w:rsidR="00D906CB">
        <w:rPr>
          <w:rFonts w:asciiTheme="minorHAnsi" w:eastAsia="Times New Roman" w:hAnsiTheme="minorHAnsi" w:cs="Times New Roman"/>
        </w:rPr>
        <w:t xml:space="preserve">ealth and related agencies, </w:t>
      </w:r>
      <w:r w:rsidR="00235773">
        <w:rPr>
          <w:rFonts w:asciiTheme="minorHAnsi" w:eastAsia="Times New Roman" w:hAnsiTheme="minorHAnsi" w:cs="Times New Roman"/>
        </w:rPr>
        <w:t>advisory committee meetings</w:t>
      </w:r>
      <w:r w:rsidR="00D906CB">
        <w:rPr>
          <w:rFonts w:asciiTheme="minorHAnsi" w:eastAsia="Times New Roman" w:hAnsiTheme="minorHAnsi" w:cs="Times New Roman"/>
        </w:rPr>
        <w:t>, and faculty research on current trends in public health</w:t>
      </w:r>
      <w:r w:rsidR="00235773">
        <w:rPr>
          <w:rFonts w:asciiTheme="minorHAnsi" w:eastAsia="Times New Roman" w:hAnsiTheme="minorHAnsi" w:cs="Times New Roman"/>
        </w:rPr>
        <w:t>.</w:t>
      </w:r>
      <w:r w:rsidR="009C7E9A">
        <w:rPr>
          <w:rFonts w:asciiTheme="minorHAnsi" w:eastAsia="Times New Roman" w:hAnsiTheme="minorHAnsi" w:cs="Times New Roman"/>
        </w:rPr>
        <w:t xml:space="preserve"> </w:t>
      </w:r>
      <w:r w:rsidR="00D5735A">
        <w:rPr>
          <w:rFonts w:asciiTheme="minorHAnsi" w:eastAsia="Times New Roman" w:hAnsiTheme="minorHAnsi" w:cs="Times New Roman"/>
        </w:rPr>
        <w:t xml:space="preserve"> </w:t>
      </w:r>
    </w:p>
    <w:p w:rsidR="00A7301D" w:rsidRDefault="00A7301D" w:rsidP="004936CE">
      <w:pPr>
        <w:pStyle w:val="Default"/>
        <w:rPr>
          <w:rFonts w:asciiTheme="minorHAnsi" w:eastAsia="Times New Roman" w:hAnsiTheme="minorHAnsi" w:cs="Times New Roman"/>
          <w:u w:val="single"/>
        </w:rPr>
      </w:pPr>
    </w:p>
    <w:p w:rsidR="00F04631" w:rsidRPr="00F04631" w:rsidRDefault="00F04631" w:rsidP="004936CE">
      <w:pPr>
        <w:pStyle w:val="Default"/>
        <w:rPr>
          <w:rFonts w:asciiTheme="minorHAnsi" w:eastAsia="Times New Roman" w:hAnsiTheme="minorHAnsi" w:cs="Times New Roman"/>
          <w:u w:val="single"/>
        </w:rPr>
      </w:pPr>
      <w:r w:rsidRPr="00F04631">
        <w:rPr>
          <w:rFonts w:asciiTheme="minorHAnsi" w:eastAsia="Times New Roman" w:hAnsiTheme="minorHAnsi" w:cs="Times New Roman"/>
          <w:u w:val="single"/>
        </w:rPr>
        <w:t xml:space="preserve">Implementation </w:t>
      </w:r>
      <w:r w:rsidR="006317E1">
        <w:rPr>
          <w:rFonts w:asciiTheme="minorHAnsi" w:eastAsia="Times New Roman" w:hAnsiTheme="minorHAnsi" w:cs="Times New Roman"/>
          <w:u w:val="single"/>
        </w:rPr>
        <w:t>Plan</w:t>
      </w:r>
    </w:p>
    <w:p w:rsidR="00A35BEE" w:rsidRDefault="00A7301D" w:rsidP="004936CE">
      <w:pPr>
        <w:pStyle w:val="Default"/>
        <w:rPr>
          <w:rFonts w:asciiTheme="minorHAnsi" w:eastAsia="Times New Roman" w:hAnsiTheme="minorHAnsi" w:cs="Times New Roman"/>
        </w:rPr>
      </w:pPr>
      <w:r>
        <w:rPr>
          <w:rFonts w:asciiTheme="minorHAnsi" w:eastAsia="Times New Roman" w:hAnsiTheme="minorHAnsi" w:cs="Times New Roman"/>
        </w:rPr>
        <w:t>Prior to the beginning of the academic year, the AHD liaison</w:t>
      </w:r>
      <w:r w:rsidR="007639D4">
        <w:rPr>
          <w:rFonts w:asciiTheme="minorHAnsi" w:eastAsia="Times New Roman" w:hAnsiTheme="minorHAnsi" w:cs="Times New Roman"/>
        </w:rPr>
        <w:t>s identify</w:t>
      </w:r>
      <w:r>
        <w:rPr>
          <w:rFonts w:asciiTheme="minorHAnsi" w:eastAsia="Times New Roman" w:hAnsiTheme="minorHAnsi" w:cs="Times New Roman"/>
        </w:rPr>
        <w:t xml:space="preserve"> three to five potential professional development topics and logistical parameters (duration, format, etc.). These topics are discussed at our faculty workday in August, and at least one</w:t>
      </w:r>
      <w:r w:rsidR="00A35BEE">
        <w:rPr>
          <w:rFonts w:asciiTheme="minorHAnsi" w:eastAsia="Times New Roman" w:hAnsiTheme="minorHAnsi" w:cs="Times New Roman"/>
        </w:rPr>
        <w:t xml:space="preserve"> topic</w:t>
      </w:r>
      <w:r>
        <w:rPr>
          <w:rFonts w:asciiTheme="minorHAnsi" w:eastAsia="Times New Roman" w:hAnsiTheme="minorHAnsi" w:cs="Times New Roman"/>
        </w:rPr>
        <w:t xml:space="preserve"> is selected for implementation. </w:t>
      </w:r>
      <w:r w:rsidR="00D5735A">
        <w:rPr>
          <w:rFonts w:asciiTheme="minorHAnsi" w:eastAsia="Times New Roman" w:hAnsiTheme="minorHAnsi" w:cs="Times New Roman"/>
        </w:rPr>
        <w:t xml:space="preserve"> Every other year, we will select a local organization that serves a marginalized population and reach out to the director to identify professional development needs.</w:t>
      </w:r>
      <w:r w:rsidR="00F35DE2">
        <w:rPr>
          <w:rFonts w:asciiTheme="minorHAnsi" w:eastAsia="Times New Roman" w:hAnsiTheme="minorHAnsi" w:cs="Times New Roman"/>
        </w:rPr>
        <w:t xml:space="preserve"> </w:t>
      </w:r>
      <w:r w:rsidR="00A35BEE">
        <w:rPr>
          <w:rFonts w:asciiTheme="minorHAnsi" w:eastAsia="Times New Roman" w:hAnsiTheme="minorHAnsi" w:cs="Times New Roman"/>
        </w:rPr>
        <w:t xml:space="preserve">Faculty are encouraged, when possible, to involve students in the planning and implementation of the professional development activities.   </w:t>
      </w:r>
    </w:p>
    <w:p w:rsidR="00192627" w:rsidRDefault="00192627" w:rsidP="004936CE">
      <w:pPr>
        <w:pStyle w:val="Default"/>
        <w:rPr>
          <w:rFonts w:asciiTheme="minorHAnsi" w:eastAsia="Times New Roman" w:hAnsiTheme="minorHAnsi" w:cs="Times New Roman"/>
        </w:rPr>
      </w:pPr>
    </w:p>
    <w:p w:rsidR="00192627" w:rsidRPr="00192627" w:rsidRDefault="00192627" w:rsidP="004936CE">
      <w:pPr>
        <w:pStyle w:val="Default"/>
        <w:rPr>
          <w:rFonts w:asciiTheme="minorHAnsi" w:eastAsia="Times New Roman" w:hAnsiTheme="minorHAnsi" w:cs="Times New Roman"/>
          <w:u w:val="single"/>
        </w:rPr>
      </w:pPr>
      <w:r w:rsidRPr="00192627">
        <w:rPr>
          <w:rFonts w:asciiTheme="minorHAnsi" w:eastAsia="Times New Roman" w:hAnsiTheme="minorHAnsi" w:cs="Times New Roman"/>
          <w:u w:val="single"/>
        </w:rPr>
        <w:t>Assessment</w:t>
      </w:r>
    </w:p>
    <w:p w:rsidR="00192627" w:rsidRDefault="00192627" w:rsidP="004936CE">
      <w:pPr>
        <w:pStyle w:val="Default"/>
        <w:rPr>
          <w:rFonts w:asciiTheme="minorHAnsi" w:eastAsia="Times New Roman" w:hAnsiTheme="minorHAnsi" w:cs="Times New Roman"/>
        </w:rPr>
      </w:pPr>
      <w:r>
        <w:rPr>
          <w:rFonts w:asciiTheme="minorHAnsi" w:eastAsia="Times New Roman" w:hAnsiTheme="minorHAnsi" w:cs="Times New Roman"/>
        </w:rPr>
        <w:t>Process evaluation measures will be kept to track the number of health department employees who en</w:t>
      </w:r>
      <w:r w:rsidR="009D5116">
        <w:rPr>
          <w:rFonts w:asciiTheme="minorHAnsi" w:eastAsia="Times New Roman" w:hAnsiTheme="minorHAnsi" w:cs="Times New Roman"/>
        </w:rPr>
        <w:t xml:space="preserve">roll in the certificate program and the number of people attending professional development workshops/trainings. </w:t>
      </w:r>
    </w:p>
    <w:p w:rsidR="009D5116" w:rsidRDefault="009D5116" w:rsidP="004936CE">
      <w:pPr>
        <w:pStyle w:val="Default"/>
        <w:rPr>
          <w:rFonts w:asciiTheme="minorHAnsi" w:eastAsia="Times New Roman" w:hAnsiTheme="minorHAnsi" w:cs="Times New Roman"/>
        </w:rPr>
      </w:pPr>
    </w:p>
    <w:p w:rsidR="00192627" w:rsidRDefault="00192627" w:rsidP="004936CE">
      <w:pPr>
        <w:pStyle w:val="Default"/>
        <w:rPr>
          <w:rFonts w:asciiTheme="minorHAnsi" w:eastAsia="Times New Roman" w:hAnsiTheme="minorHAnsi" w:cs="Times New Roman"/>
        </w:rPr>
      </w:pPr>
      <w:r>
        <w:rPr>
          <w:rFonts w:asciiTheme="minorHAnsi" w:eastAsia="Times New Roman" w:hAnsiTheme="minorHAnsi" w:cs="Times New Roman"/>
        </w:rPr>
        <w:t xml:space="preserve">As part of our annual report, we will provide a synopsis of our professional development activities, including those which occur outside of our formal process. </w:t>
      </w:r>
    </w:p>
    <w:p w:rsidR="007639D4" w:rsidRDefault="007639D4" w:rsidP="00A35BEE"/>
    <w:p w:rsidR="007639D4" w:rsidRPr="007639D4" w:rsidRDefault="007639D4" w:rsidP="007639D4">
      <w:pPr>
        <w:pStyle w:val="Default"/>
        <w:rPr>
          <w:rFonts w:asciiTheme="minorHAnsi" w:eastAsia="Times New Roman" w:hAnsiTheme="minorHAnsi" w:cs="Times New Roman"/>
          <w:u w:val="single"/>
        </w:rPr>
      </w:pPr>
      <w:r w:rsidRPr="007639D4">
        <w:rPr>
          <w:rFonts w:asciiTheme="minorHAnsi" w:eastAsia="Times New Roman" w:hAnsiTheme="minorHAnsi" w:cs="Times New Roman"/>
          <w:u w:val="single"/>
        </w:rPr>
        <w:t>Implementation Example</w:t>
      </w:r>
    </w:p>
    <w:p w:rsidR="00A35BEE" w:rsidRPr="00DC13E7" w:rsidRDefault="007639D4" w:rsidP="00DC13E7">
      <w:pPr>
        <w:pStyle w:val="Default"/>
        <w:rPr>
          <w:rFonts w:asciiTheme="minorHAnsi" w:eastAsia="Times New Roman" w:hAnsiTheme="minorHAnsi" w:cs="Times New Roman"/>
        </w:rPr>
      </w:pPr>
      <w:r>
        <w:rPr>
          <w:rFonts w:asciiTheme="minorHAnsi" w:eastAsia="Times New Roman" w:hAnsiTheme="minorHAnsi" w:cs="Times New Roman"/>
        </w:rPr>
        <w:t xml:space="preserve">At the </w:t>
      </w:r>
      <w:hyperlink r:id="rId20" w:history="1">
        <w:r w:rsidRPr="00A42281">
          <w:rPr>
            <w:rStyle w:val="Hyperlink"/>
            <w:rFonts w:asciiTheme="minorHAnsi" w:eastAsia="Times New Roman" w:hAnsiTheme="minorHAnsi" w:cs="Times New Roman"/>
          </w:rPr>
          <w:t>October 2016 BECKY meeting</w:t>
        </w:r>
      </w:hyperlink>
      <w:r>
        <w:rPr>
          <w:rFonts w:asciiTheme="minorHAnsi" w:eastAsia="Times New Roman" w:hAnsiTheme="minorHAnsi" w:cs="Times New Roman"/>
        </w:rPr>
        <w:t>, state health department personnel emphatically expressed the need for local health department employees to be educated in the core public health disciplines. Specifically, they called for an online undergraduate certificate.  In response, we submitted a proposal to create an online undergraduate pu</w:t>
      </w:r>
      <w:r w:rsidR="00DC13E7">
        <w:rPr>
          <w:rFonts w:asciiTheme="minorHAnsi" w:eastAsia="Times New Roman" w:hAnsiTheme="minorHAnsi" w:cs="Times New Roman"/>
        </w:rPr>
        <w:t xml:space="preserve">blic health certificate program. The certificate was approved by the </w:t>
      </w:r>
      <w:hyperlink r:id="rId21" w:history="1">
        <w:r w:rsidR="00DC13E7" w:rsidRPr="00F35DE2">
          <w:rPr>
            <w:rStyle w:val="Hyperlink"/>
            <w:rFonts w:asciiTheme="minorHAnsi" w:eastAsia="Times New Roman" w:hAnsiTheme="minorHAnsi" w:cs="Times New Roman"/>
          </w:rPr>
          <w:t>Board of Regents</w:t>
        </w:r>
      </w:hyperlink>
      <w:r w:rsidR="00DC13E7">
        <w:rPr>
          <w:rFonts w:asciiTheme="minorHAnsi" w:eastAsia="Times New Roman" w:hAnsiTheme="minorHAnsi" w:cs="Times New Roman"/>
        </w:rPr>
        <w:t xml:space="preserve"> on </w:t>
      </w:r>
      <w:r w:rsidR="00F35DE2">
        <w:rPr>
          <w:rFonts w:asciiTheme="minorHAnsi" w:eastAsia="Times New Roman" w:hAnsiTheme="minorHAnsi" w:cs="Times New Roman"/>
        </w:rPr>
        <w:t xml:space="preserve">July 27, 2017, and </w:t>
      </w:r>
      <w:r>
        <w:rPr>
          <w:rFonts w:asciiTheme="minorHAnsi" w:eastAsia="Times New Roman" w:hAnsiTheme="minorHAnsi" w:cs="Times New Roman"/>
        </w:rPr>
        <w:t xml:space="preserve">will launch in the 2017/2018 academic year.  </w:t>
      </w:r>
    </w:p>
    <w:sectPr w:rsidR="00A35BEE" w:rsidRPr="00DC13E7" w:rsidSect="00C54D3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1D" w:rsidRDefault="005A3B1D" w:rsidP="00862999">
      <w:pPr>
        <w:spacing w:after="0" w:line="240" w:lineRule="auto"/>
      </w:pPr>
      <w:r>
        <w:separator/>
      </w:r>
    </w:p>
  </w:endnote>
  <w:endnote w:type="continuationSeparator" w:id="0">
    <w:p w:rsidR="005A3B1D" w:rsidRDefault="005A3B1D" w:rsidP="0086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1D" w:rsidRDefault="005A3B1D" w:rsidP="00862999">
      <w:pPr>
        <w:spacing w:after="0" w:line="240" w:lineRule="auto"/>
      </w:pPr>
      <w:r>
        <w:separator/>
      </w:r>
    </w:p>
  </w:footnote>
  <w:footnote w:type="continuationSeparator" w:id="0">
    <w:p w:rsidR="005A3B1D" w:rsidRDefault="005A3B1D" w:rsidP="00862999">
      <w:pPr>
        <w:spacing w:after="0" w:line="240" w:lineRule="auto"/>
      </w:pPr>
      <w:r>
        <w:continuationSeparator/>
      </w:r>
    </w:p>
  </w:footnote>
  <w:footnote w:id="1">
    <w:p w:rsidR="00FE1FBF" w:rsidRDefault="00FE1FBF">
      <w:pPr>
        <w:pStyle w:val="FootnoteText"/>
      </w:pPr>
      <w:r>
        <w:rPr>
          <w:rStyle w:val="FootnoteReference"/>
        </w:rPr>
        <w:footnoteRef/>
      </w:r>
      <w:r>
        <w:t xml:space="preserve"> Program coordinators are on nine-month contracts.</w:t>
      </w:r>
    </w:p>
  </w:footnote>
  <w:footnote w:id="2">
    <w:p w:rsidR="00FE1FBF" w:rsidRDefault="00FE1FBF">
      <w:pPr>
        <w:pStyle w:val="FootnoteText"/>
      </w:pPr>
      <w:r>
        <w:rPr>
          <w:rStyle w:val="FootnoteReference"/>
        </w:rPr>
        <w:footnoteRef/>
      </w:r>
      <w:r>
        <w:t xml:space="preserve"> One vote, collectively</w:t>
      </w:r>
    </w:p>
  </w:footnote>
  <w:footnote w:id="3">
    <w:p w:rsidR="00FE1FBF" w:rsidRDefault="00FE1FBF">
      <w:pPr>
        <w:pStyle w:val="FootnoteText"/>
      </w:pPr>
      <w:r>
        <w:rPr>
          <w:rStyle w:val="FootnoteReference"/>
        </w:rPr>
        <w:footnoteRef/>
      </w:r>
      <w:r>
        <w:t xml:space="preserve"> S</w:t>
      </w:r>
      <w:r w:rsidR="00B60C0A">
        <w:t>elected</w:t>
      </w:r>
      <w:r>
        <w:t>/elected by student governance organization (PHUGAS)</w:t>
      </w:r>
    </w:p>
  </w:footnote>
  <w:footnote w:id="4">
    <w:p w:rsidR="00FE1FBF" w:rsidRDefault="00FE1FBF">
      <w:pPr>
        <w:pStyle w:val="FootnoteText"/>
      </w:pPr>
      <w:r>
        <w:rPr>
          <w:rStyle w:val="FootnoteReference"/>
        </w:rPr>
        <w:footnoteRef/>
      </w:r>
      <w:r>
        <w:t xml:space="preserve"> Standing committee</w:t>
      </w:r>
    </w:p>
  </w:footnote>
  <w:footnote w:id="5">
    <w:p w:rsidR="00FE1FBF" w:rsidRDefault="00FE1FBF">
      <w:pPr>
        <w:pStyle w:val="FootnoteText"/>
      </w:pPr>
      <w:r>
        <w:rPr>
          <w:rStyle w:val="FootnoteReference"/>
        </w:rPr>
        <w:footnoteRef/>
      </w:r>
      <w:r>
        <w:t xml:space="preserve"> Some courses were taught by more than one faculty member, and were treated as distinct courses for assessment purposes.</w:t>
      </w:r>
    </w:p>
  </w:footnote>
  <w:footnote w:id="6">
    <w:p w:rsidR="00FE1FBF" w:rsidRDefault="00FE1FBF">
      <w:pPr>
        <w:pStyle w:val="FootnoteText"/>
      </w:pPr>
      <w:r>
        <w:rPr>
          <w:rStyle w:val="FootnoteReference"/>
        </w:rPr>
        <w:footnoteRef/>
      </w:r>
      <w:r>
        <w:t xml:space="preserve"> </w:t>
      </w:r>
      <w:hyperlink r:id="rId1" w:history="1">
        <w:r w:rsidRPr="0019353D">
          <w:rPr>
            <w:rStyle w:val="Hyperlink"/>
          </w:rPr>
          <w:t xml:space="preserve">Master list of </w:t>
        </w:r>
        <w:r>
          <w:rPr>
            <w:rStyle w:val="Hyperlink"/>
          </w:rPr>
          <w:t>competencies/</w:t>
        </w:r>
        <w:r w:rsidRPr="0019353D">
          <w:rPr>
            <w:rStyle w:val="Hyperlink"/>
          </w:rPr>
          <w:t>skills</w:t>
        </w:r>
      </w:hyperlink>
    </w:p>
  </w:footnote>
  <w:footnote w:id="7">
    <w:p w:rsidR="00FE1FBF" w:rsidRDefault="00FE1FBF">
      <w:pPr>
        <w:pStyle w:val="FootnoteText"/>
      </w:pPr>
      <w:r>
        <w:rPr>
          <w:rStyle w:val="FootnoteReference"/>
        </w:rPr>
        <w:footnoteRef/>
      </w:r>
      <w:r>
        <w:t xml:space="preserve"> Modified by email vote in May 2017, as original competency was too closely related to a foundational competency</w:t>
      </w:r>
    </w:p>
  </w:footnote>
  <w:footnote w:id="8">
    <w:p w:rsidR="00FA21CE" w:rsidRDefault="00FA21CE">
      <w:pPr>
        <w:pStyle w:val="FootnoteText"/>
      </w:pPr>
      <w:r>
        <w:rPr>
          <w:rStyle w:val="FootnoteReference"/>
        </w:rPr>
        <w:footnoteRef/>
      </w:r>
      <w:r>
        <w:t xml:space="preserve"> Building Epidemiologic Capacity in Kentucky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814"/>
    <w:multiLevelType w:val="hybridMultilevel"/>
    <w:tmpl w:val="8DC09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2086B"/>
    <w:multiLevelType w:val="hybridMultilevel"/>
    <w:tmpl w:val="B77C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E7BD2"/>
    <w:multiLevelType w:val="hybridMultilevel"/>
    <w:tmpl w:val="EF5ACEB4"/>
    <w:lvl w:ilvl="0" w:tplc="3FE0EEB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332560"/>
    <w:multiLevelType w:val="hybridMultilevel"/>
    <w:tmpl w:val="28CC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780972"/>
    <w:multiLevelType w:val="hybridMultilevel"/>
    <w:tmpl w:val="1040D6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138A7"/>
    <w:multiLevelType w:val="hybridMultilevel"/>
    <w:tmpl w:val="D510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AE4A77"/>
    <w:multiLevelType w:val="hybridMultilevel"/>
    <w:tmpl w:val="D8DA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753F0A"/>
    <w:multiLevelType w:val="hybridMultilevel"/>
    <w:tmpl w:val="3F1E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8C574E"/>
    <w:multiLevelType w:val="hybridMultilevel"/>
    <w:tmpl w:val="DC765E56"/>
    <w:lvl w:ilvl="0" w:tplc="A7A04F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AD676D4">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456B49"/>
    <w:multiLevelType w:val="hybridMultilevel"/>
    <w:tmpl w:val="60C4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840B9A"/>
    <w:multiLevelType w:val="hybridMultilevel"/>
    <w:tmpl w:val="864C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90FFE"/>
    <w:multiLevelType w:val="hybridMultilevel"/>
    <w:tmpl w:val="6522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4D18"/>
    <w:multiLevelType w:val="hybridMultilevel"/>
    <w:tmpl w:val="6ECE45BC"/>
    <w:lvl w:ilvl="0" w:tplc="A21A6F5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6399B"/>
    <w:multiLevelType w:val="hybridMultilevel"/>
    <w:tmpl w:val="7FF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47FF9"/>
    <w:multiLevelType w:val="hybridMultilevel"/>
    <w:tmpl w:val="7624B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FA2DEA"/>
    <w:multiLevelType w:val="hybridMultilevel"/>
    <w:tmpl w:val="3F32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037FD1"/>
    <w:multiLevelType w:val="hybridMultilevel"/>
    <w:tmpl w:val="A31A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5C5530"/>
    <w:multiLevelType w:val="hybridMultilevel"/>
    <w:tmpl w:val="1E38A3C8"/>
    <w:lvl w:ilvl="0" w:tplc="C1B8287A">
      <w:start w:val="1"/>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1BF5C25"/>
    <w:multiLevelType w:val="hybridMultilevel"/>
    <w:tmpl w:val="2308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B82DAC"/>
    <w:multiLevelType w:val="hybridMultilevel"/>
    <w:tmpl w:val="9A08B2FE"/>
    <w:lvl w:ilvl="0" w:tplc="702477A0">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22EE4AB2"/>
    <w:multiLevelType w:val="hybridMultilevel"/>
    <w:tmpl w:val="FC6ECD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2E4D47"/>
    <w:multiLevelType w:val="hybridMultilevel"/>
    <w:tmpl w:val="D3308A3E"/>
    <w:lvl w:ilvl="0" w:tplc="26726418">
      <w:start w:val="1"/>
      <w:numFmt w:val="decimal"/>
      <w:lvlText w:val="2.%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603E6A"/>
    <w:multiLevelType w:val="hybridMultilevel"/>
    <w:tmpl w:val="4DECE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206088"/>
    <w:multiLevelType w:val="hybridMultilevel"/>
    <w:tmpl w:val="001E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862E0"/>
    <w:multiLevelType w:val="hybridMultilevel"/>
    <w:tmpl w:val="F51E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803132"/>
    <w:multiLevelType w:val="hybridMultilevel"/>
    <w:tmpl w:val="0554DD02"/>
    <w:lvl w:ilvl="0" w:tplc="981616B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62D37"/>
    <w:multiLevelType w:val="hybridMultilevel"/>
    <w:tmpl w:val="9A8EC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A3654C"/>
    <w:multiLevelType w:val="hybridMultilevel"/>
    <w:tmpl w:val="BBE6D5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141B60"/>
    <w:multiLevelType w:val="hybridMultilevel"/>
    <w:tmpl w:val="C480D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1B6FAB"/>
    <w:multiLevelType w:val="hybridMultilevel"/>
    <w:tmpl w:val="74B6E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704516"/>
    <w:multiLevelType w:val="hybridMultilevel"/>
    <w:tmpl w:val="643C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AB354E"/>
    <w:multiLevelType w:val="hybridMultilevel"/>
    <w:tmpl w:val="2D86C750"/>
    <w:lvl w:ilvl="0" w:tplc="D966A630">
      <w:start w:val="1"/>
      <w:numFmt w:val="decimal"/>
      <w:lvlText w:val="3.%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971126"/>
    <w:multiLevelType w:val="multilevel"/>
    <w:tmpl w:val="2EF610A8"/>
    <w:lvl w:ilvl="0">
      <w:start w:val="3"/>
      <w:numFmt w:val="decimal"/>
      <w:lvlText w:val="%1"/>
      <w:lvlJc w:val="left"/>
      <w:pPr>
        <w:ind w:left="1141" w:hanging="369"/>
      </w:pPr>
      <w:rPr>
        <w:rFonts w:hint="default"/>
      </w:rPr>
    </w:lvl>
    <w:lvl w:ilvl="1">
      <w:start w:val="1"/>
      <w:numFmt w:val="decimal"/>
      <w:lvlText w:val="%1.%2"/>
      <w:lvlJc w:val="left"/>
      <w:pPr>
        <w:ind w:left="1141" w:hanging="369"/>
      </w:pPr>
      <w:rPr>
        <w:rFonts w:asciiTheme="minorHAnsi" w:hAnsiTheme="minorHAnsi" w:hint="default"/>
        <w:b w:val="0"/>
        <w:bCs/>
        <w:spacing w:val="-2"/>
        <w:w w:val="84"/>
      </w:rPr>
    </w:lvl>
    <w:lvl w:ilvl="2">
      <w:start w:val="1"/>
      <w:numFmt w:val="decimal"/>
      <w:lvlText w:val="%1.%2.%3"/>
      <w:lvlJc w:val="left"/>
      <w:pPr>
        <w:ind w:left="2079" w:hanging="729"/>
      </w:pPr>
      <w:rPr>
        <w:rFonts w:hint="default"/>
        <w:w w:val="102"/>
      </w:rPr>
    </w:lvl>
    <w:lvl w:ilvl="3">
      <w:numFmt w:val="bullet"/>
      <w:lvlText w:val="•"/>
      <w:lvlJc w:val="left"/>
      <w:pPr>
        <w:ind w:left="2220" w:hanging="729"/>
      </w:pPr>
      <w:rPr>
        <w:rFonts w:hint="default"/>
      </w:rPr>
    </w:lvl>
    <w:lvl w:ilvl="4">
      <w:numFmt w:val="bullet"/>
      <w:lvlText w:val="•"/>
      <w:lvlJc w:val="left"/>
      <w:pPr>
        <w:ind w:left="3780" w:hanging="729"/>
      </w:pPr>
      <w:rPr>
        <w:rFonts w:hint="default"/>
      </w:rPr>
    </w:lvl>
    <w:lvl w:ilvl="5">
      <w:numFmt w:val="bullet"/>
      <w:lvlText w:val="•"/>
      <w:lvlJc w:val="left"/>
      <w:pPr>
        <w:ind w:left="4614" w:hanging="729"/>
      </w:pPr>
      <w:rPr>
        <w:rFonts w:hint="default"/>
      </w:rPr>
    </w:lvl>
    <w:lvl w:ilvl="6">
      <w:numFmt w:val="bullet"/>
      <w:lvlText w:val="•"/>
      <w:lvlJc w:val="left"/>
      <w:pPr>
        <w:ind w:left="5448" w:hanging="729"/>
      </w:pPr>
      <w:rPr>
        <w:rFonts w:hint="default"/>
      </w:rPr>
    </w:lvl>
    <w:lvl w:ilvl="7">
      <w:numFmt w:val="bullet"/>
      <w:lvlText w:val="•"/>
      <w:lvlJc w:val="left"/>
      <w:pPr>
        <w:ind w:left="6282" w:hanging="729"/>
      </w:pPr>
      <w:rPr>
        <w:rFonts w:hint="default"/>
      </w:rPr>
    </w:lvl>
    <w:lvl w:ilvl="8">
      <w:numFmt w:val="bullet"/>
      <w:lvlText w:val="•"/>
      <w:lvlJc w:val="left"/>
      <w:pPr>
        <w:ind w:left="7116" w:hanging="729"/>
      </w:pPr>
      <w:rPr>
        <w:rFonts w:hint="default"/>
      </w:rPr>
    </w:lvl>
  </w:abstractNum>
  <w:abstractNum w:abstractNumId="33" w15:restartNumberingAfterBreak="0">
    <w:nsid w:val="44E37C7C"/>
    <w:multiLevelType w:val="hybridMultilevel"/>
    <w:tmpl w:val="EFF4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7C5BBB"/>
    <w:multiLevelType w:val="hybridMultilevel"/>
    <w:tmpl w:val="F05A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967715"/>
    <w:multiLevelType w:val="hybridMultilevel"/>
    <w:tmpl w:val="B7C0ECE6"/>
    <w:lvl w:ilvl="0" w:tplc="04090001">
      <w:start w:val="1"/>
      <w:numFmt w:val="bullet"/>
      <w:lvlText w:val=""/>
      <w:lvlJc w:val="left"/>
      <w:pPr>
        <w:ind w:left="360" w:hanging="360"/>
      </w:pPr>
      <w:rPr>
        <w:rFonts w:ascii="Symbol" w:hAnsi="Symbol" w:hint="default"/>
      </w:rPr>
    </w:lvl>
    <w:lvl w:ilvl="1" w:tplc="11205044">
      <w:start w:val="1"/>
      <w:numFmt w:val="bullet"/>
      <w:lvlText w:val="»"/>
      <w:lvlJc w:val="left"/>
      <w:pPr>
        <w:ind w:left="8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FE55AA"/>
    <w:multiLevelType w:val="hybridMultilevel"/>
    <w:tmpl w:val="4E207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7B09B8"/>
    <w:multiLevelType w:val="multilevel"/>
    <w:tmpl w:val="DB1EC744"/>
    <w:lvl w:ilvl="0">
      <w:start w:val="1"/>
      <w:numFmt w:val="decimal"/>
      <w:lvlText w:val="%1"/>
      <w:lvlJc w:val="left"/>
      <w:pPr>
        <w:ind w:left="1091" w:hanging="371"/>
      </w:pPr>
      <w:rPr>
        <w:rFonts w:hint="default"/>
      </w:rPr>
    </w:lvl>
    <w:lvl w:ilvl="1">
      <w:numFmt w:val="decimal"/>
      <w:lvlText w:val="%1.%2"/>
      <w:lvlJc w:val="left"/>
      <w:pPr>
        <w:ind w:left="1091" w:hanging="371"/>
      </w:pPr>
      <w:rPr>
        <w:rFonts w:hint="default"/>
        <w:b/>
        <w:bCs/>
        <w:w w:val="109"/>
      </w:rPr>
    </w:lvl>
    <w:lvl w:ilvl="2">
      <w:numFmt w:val="bullet"/>
      <w:lvlText w:val="•"/>
      <w:lvlJc w:val="left"/>
      <w:pPr>
        <w:ind w:left="2738" w:hanging="371"/>
      </w:pPr>
      <w:rPr>
        <w:rFonts w:hint="default"/>
      </w:rPr>
    </w:lvl>
    <w:lvl w:ilvl="3">
      <w:numFmt w:val="bullet"/>
      <w:lvlText w:val="•"/>
      <w:lvlJc w:val="left"/>
      <w:pPr>
        <w:ind w:left="3558" w:hanging="371"/>
      </w:pPr>
      <w:rPr>
        <w:rFonts w:hint="default"/>
      </w:rPr>
    </w:lvl>
    <w:lvl w:ilvl="4">
      <w:numFmt w:val="bullet"/>
      <w:lvlText w:val="•"/>
      <w:lvlJc w:val="left"/>
      <w:pPr>
        <w:ind w:left="4378" w:hanging="371"/>
      </w:pPr>
      <w:rPr>
        <w:rFonts w:hint="default"/>
      </w:rPr>
    </w:lvl>
    <w:lvl w:ilvl="5">
      <w:numFmt w:val="bullet"/>
      <w:lvlText w:val="•"/>
      <w:lvlJc w:val="left"/>
      <w:pPr>
        <w:ind w:left="5198" w:hanging="371"/>
      </w:pPr>
      <w:rPr>
        <w:rFonts w:hint="default"/>
      </w:rPr>
    </w:lvl>
    <w:lvl w:ilvl="6">
      <w:numFmt w:val="bullet"/>
      <w:lvlText w:val="•"/>
      <w:lvlJc w:val="left"/>
      <w:pPr>
        <w:ind w:left="6018" w:hanging="371"/>
      </w:pPr>
      <w:rPr>
        <w:rFonts w:hint="default"/>
      </w:rPr>
    </w:lvl>
    <w:lvl w:ilvl="7">
      <w:numFmt w:val="bullet"/>
      <w:lvlText w:val="•"/>
      <w:lvlJc w:val="left"/>
      <w:pPr>
        <w:ind w:left="6838" w:hanging="371"/>
      </w:pPr>
      <w:rPr>
        <w:rFonts w:hint="default"/>
      </w:rPr>
    </w:lvl>
    <w:lvl w:ilvl="8">
      <w:numFmt w:val="bullet"/>
      <w:lvlText w:val="•"/>
      <w:lvlJc w:val="left"/>
      <w:pPr>
        <w:ind w:left="7658" w:hanging="371"/>
      </w:pPr>
      <w:rPr>
        <w:rFonts w:hint="default"/>
      </w:rPr>
    </w:lvl>
  </w:abstractNum>
  <w:abstractNum w:abstractNumId="38" w15:restartNumberingAfterBreak="0">
    <w:nsid w:val="53E83468"/>
    <w:multiLevelType w:val="hybridMultilevel"/>
    <w:tmpl w:val="C2CC9176"/>
    <w:lvl w:ilvl="0" w:tplc="5EE867E2">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A192DCD"/>
    <w:multiLevelType w:val="hybridMultilevel"/>
    <w:tmpl w:val="81E23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141A3E"/>
    <w:multiLevelType w:val="hybridMultilevel"/>
    <w:tmpl w:val="FE022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DD3730"/>
    <w:multiLevelType w:val="hybridMultilevel"/>
    <w:tmpl w:val="EEE0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9A1F7A"/>
    <w:multiLevelType w:val="hybridMultilevel"/>
    <w:tmpl w:val="91B44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508F8"/>
    <w:multiLevelType w:val="hybridMultilevel"/>
    <w:tmpl w:val="351E4BC8"/>
    <w:lvl w:ilvl="0" w:tplc="CE868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4263AD"/>
    <w:multiLevelType w:val="hybridMultilevel"/>
    <w:tmpl w:val="6416F9C4"/>
    <w:lvl w:ilvl="0" w:tplc="595A6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AB23F1"/>
    <w:multiLevelType w:val="hybridMultilevel"/>
    <w:tmpl w:val="3E7C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B704F9"/>
    <w:multiLevelType w:val="hybridMultilevel"/>
    <w:tmpl w:val="C0B2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4F05B7"/>
    <w:multiLevelType w:val="hybridMultilevel"/>
    <w:tmpl w:val="1434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EA3F88"/>
    <w:multiLevelType w:val="hybridMultilevel"/>
    <w:tmpl w:val="E508F8FA"/>
    <w:lvl w:ilvl="0" w:tplc="2B420CEA">
      <w:start w:val="1"/>
      <w:numFmt w:val="decimal"/>
      <w:lvlText w:val="5.%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153766"/>
    <w:multiLevelType w:val="hybridMultilevel"/>
    <w:tmpl w:val="8DDE0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453D6D"/>
    <w:multiLevelType w:val="hybridMultilevel"/>
    <w:tmpl w:val="6846C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705C76"/>
    <w:multiLevelType w:val="hybridMultilevel"/>
    <w:tmpl w:val="8C1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25"/>
  </w:num>
  <w:num w:numId="4">
    <w:abstractNumId w:val="48"/>
  </w:num>
  <w:num w:numId="5">
    <w:abstractNumId w:val="4"/>
  </w:num>
  <w:num w:numId="6">
    <w:abstractNumId w:val="12"/>
  </w:num>
  <w:num w:numId="7">
    <w:abstractNumId w:val="15"/>
  </w:num>
  <w:num w:numId="8">
    <w:abstractNumId w:val="11"/>
  </w:num>
  <w:num w:numId="9">
    <w:abstractNumId w:val="47"/>
  </w:num>
  <w:num w:numId="10">
    <w:abstractNumId w:val="42"/>
  </w:num>
  <w:num w:numId="11">
    <w:abstractNumId w:val="18"/>
  </w:num>
  <w:num w:numId="12">
    <w:abstractNumId w:val="49"/>
  </w:num>
  <w:num w:numId="13">
    <w:abstractNumId w:val="28"/>
  </w:num>
  <w:num w:numId="14">
    <w:abstractNumId w:val="45"/>
  </w:num>
  <w:num w:numId="15">
    <w:abstractNumId w:val="14"/>
  </w:num>
  <w:num w:numId="16">
    <w:abstractNumId w:val="35"/>
  </w:num>
  <w:num w:numId="17">
    <w:abstractNumId w:val="10"/>
  </w:num>
  <w:num w:numId="18">
    <w:abstractNumId w:val="5"/>
  </w:num>
  <w:num w:numId="19">
    <w:abstractNumId w:val="36"/>
  </w:num>
  <w:num w:numId="20">
    <w:abstractNumId w:val="16"/>
  </w:num>
  <w:num w:numId="21">
    <w:abstractNumId w:val="34"/>
  </w:num>
  <w:num w:numId="22">
    <w:abstractNumId w:val="30"/>
  </w:num>
  <w:num w:numId="23">
    <w:abstractNumId w:val="9"/>
  </w:num>
  <w:num w:numId="24">
    <w:abstractNumId w:val="46"/>
  </w:num>
  <w:num w:numId="25">
    <w:abstractNumId w:val="23"/>
  </w:num>
  <w:num w:numId="26">
    <w:abstractNumId w:val="6"/>
  </w:num>
  <w:num w:numId="27">
    <w:abstractNumId w:val="0"/>
  </w:num>
  <w:num w:numId="28">
    <w:abstractNumId w:val="33"/>
  </w:num>
  <w:num w:numId="29">
    <w:abstractNumId w:val="26"/>
  </w:num>
  <w:num w:numId="30">
    <w:abstractNumId w:val="7"/>
  </w:num>
  <w:num w:numId="31">
    <w:abstractNumId w:val="29"/>
  </w:num>
  <w:num w:numId="32">
    <w:abstractNumId w:val="1"/>
  </w:num>
  <w:num w:numId="33">
    <w:abstractNumId w:val="40"/>
  </w:num>
  <w:num w:numId="34">
    <w:abstractNumId w:val="41"/>
  </w:num>
  <w:num w:numId="35">
    <w:abstractNumId w:val="17"/>
  </w:num>
  <w:num w:numId="36">
    <w:abstractNumId w:val="8"/>
  </w:num>
  <w:num w:numId="37">
    <w:abstractNumId w:val="44"/>
  </w:num>
  <w:num w:numId="38">
    <w:abstractNumId w:val="19"/>
  </w:num>
  <w:num w:numId="39">
    <w:abstractNumId w:val="2"/>
  </w:num>
  <w:num w:numId="40">
    <w:abstractNumId w:val="43"/>
  </w:num>
  <w:num w:numId="41">
    <w:abstractNumId w:val="20"/>
  </w:num>
  <w:num w:numId="42">
    <w:abstractNumId w:val="27"/>
  </w:num>
  <w:num w:numId="43">
    <w:abstractNumId w:val="3"/>
  </w:num>
  <w:num w:numId="44">
    <w:abstractNumId w:val="22"/>
  </w:num>
  <w:num w:numId="45">
    <w:abstractNumId w:val="24"/>
  </w:num>
  <w:num w:numId="46">
    <w:abstractNumId w:val="13"/>
  </w:num>
  <w:num w:numId="47">
    <w:abstractNumId w:val="50"/>
  </w:num>
  <w:num w:numId="48">
    <w:abstractNumId w:val="51"/>
  </w:num>
  <w:num w:numId="49">
    <w:abstractNumId w:val="39"/>
  </w:num>
  <w:num w:numId="50">
    <w:abstractNumId w:val="32"/>
  </w:num>
  <w:num w:numId="51">
    <w:abstractNumId w:val="37"/>
  </w:num>
  <w:num w:numId="52">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03"/>
    <w:rsid w:val="00000234"/>
    <w:rsid w:val="000040C0"/>
    <w:rsid w:val="000049FF"/>
    <w:rsid w:val="00006C57"/>
    <w:rsid w:val="000102C4"/>
    <w:rsid w:val="000146FF"/>
    <w:rsid w:val="00017462"/>
    <w:rsid w:val="00024852"/>
    <w:rsid w:val="000273FB"/>
    <w:rsid w:val="0004552B"/>
    <w:rsid w:val="00053411"/>
    <w:rsid w:val="00054FFE"/>
    <w:rsid w:val="00057CDB"/>
    <w:rsid w:val="00057D60"/>
    <w:rsid w:val="00064CFE"/>
    <w:rsid w:val="00064E50"/>
    <w:rsid w:val="00066A8A"/>
    <w:rsid w:val="00077C49"/>
    <w:rsid w:val="00083539"/>
    <w:rsid w:val="00091A35"/>
    <w:rsid w:val="000A2530"/>
    <w:rsid w:val="000A39EC"/>
    <w:rsid w:val="000B3292"/>
    <w:rsid w:val="000B5555"/>
    <w:rsid w:val="000B5FA5"/>
    <w:rsid w:val="000B6C05"/>
    <w:rsid w:val="000C3752"/>
    <w:rsid w:val="000C4F41"/>
    <w:rsid w:val="000D1ABC"/>
    <w:rsid w:val="000D5189"/>
    <w:rsid w:val="000E2080"/>
    <w:rsid w:val="000E21E6"/>
    <w:rsid w:val="000E31CF"/>
    <w:rsid w:val="000E3566"/>
    <w:rsid w:val="000E4E00"/>
    <w:rsid w:val="000E5383"/>
    <w:rsid w:val="000F2AF6"/>
    <w:rsid w:val="00103DAD"/>
    <w:rsid w:val="001073E4"/>
    <w:rsid w:val="00115073"/>
    <w:rsid w:val="001167A9"/>
    <w:rsid w:val="00121E35"/>
    <w:rsid w:val="00123719"/>
    <w:rsid w:val="00124793"/>
    <w:rsid w:val="00125971"/>
    <w:rsid w:val="00131814"/>
    <w:rsid w:val="00133589"/>
    <w:rsid w:val="001342F1"/>
    <w:rsid w:val="0014630F"/>
    <w:rsid w:val="00147FE8"/>
    <w:rsid w:val="0015200A"/>
    <w:rsid w:val="00157F26"/>
    <w:rsid w:val="00164ADF"/>
    <w:rsid w:val="001668F0"/>
    <w:rsid w:val="00176C2B"/>
    <w:rsid w:val="0018193A"/>
    <w:rsid w:val="00192627"/>
    <w:rsid w:val="0019353D"/>
    <w:rsid w:val="001C087F"/>
    <w:rsid w:val="001C4474"/>
    <w:rsid w:val="001C5073"/>
    <w:rsid w:val="001C7895"/>
    <w:rsid w:val="001D04DC"/>
    <w:rsid w:val="001D5116"/>
    <w:rsid w:val="001D6BA1"/>
    <w:rsid w:val="001D6BD6"/>
    <w:rsid w:val="001D7494"/>
    <w:rsid w:val="001E0D39"/>
    <w:rsid w:val="001E4803"/>
    <w:rsid w:val="001E7997"/>
    <w:rsid w:val="001F6B3B"/>
    <w:rsid w:val="001F6E41"/>
    <w:rsid w:val="00203992"/>
    <w:rsid w:val="0021036C"/>
    <w:rsid w:val="00214CE4"/>
    <w:rsid w:val="00215206"/>
    <w:rsid w:val="00216900"/>
    <w:rsid w:val="00217E5C"/>
    <w:rsid w:val="00231F60"/>
    <w:rsid w:val="002326BB"/>
    <w:rsid w:val="0023278B"/>
    <w:rsid w:val="00234100"/>
    <w:rsid w:val="00234B3A"/>
    <w:rsid w:val="00235773"/>
    <w:rsid w:val="00236A8F"/>
    <w:rsid w:val="002400C4"/>
    <w:rsid w:val="00246548"/>
    <w:rsid w:val="002475D8"/>
    <w:rsid w:val="0025154E"/>
    <w:rsid w:val="00251A98"/>
    <w:rsid w:val="00253763"/>
    <w:rsid w:val="0025392F"/>
    <w:rsid w:val="00253BB0"/>
    <w:rsid w:val="00256461"/>
    <w:rsid w:val="002607B4"/>
    <w:rsid w:val="002731B3"/>
    <w:rsid w:val="002749A1"/>
    <w:rsid w:val="00275463"/>
    <w:rsid w:val="00277031"/>
    <w:rsid w:val="00285B6B"/>
    <w:rsid w:val="00287662"/>
    <w:rsid w:val="00295881"/>
    <w:rsid w:val="002A1F8E"/>
    <w:rsid w:val="002A2903"/>
    <w:rsid w:val="002A3354"/>
    <w:rsid w:val="002B39E3"/>
    <w:rsid w:val="002B5ACA"/>
    <w:rsid w:val="002B7094"/>
    <w:rsid w:val="002D1B9F"/>
    <w:rsid w:val="002D6109"/>
    <w:rsid w:val="002E2860"/>
    <w:rsid w:val="002F4BC7"/>
    <w:rsid w:val="00304101"/>
    <w:rsid w:val="0030510A"/>
    <w:rsid w:val="003113F4"/>
    <w:rsid w:val="003233B6"/>
    <w:rsid w:val="0034210B"/>
    <w:rsid w:val="003460F0"/>
    <w:rsid w:val="00346E2B"/>
    <w:rsid w:val="00350675"/>
    <w:rsid w:val="00350935"/>
    <w:rsid w:val="00351C4A"/>
    <w:rsid w:val="003522A5"/>
    <w:rsid w:val="00353023"/>
    <w:rsid w:val="00366E87"/>
    <w:rsid w:val="003738F9"/>
    <w:rsid w:val="00374F4D"/>
    <w:rsid w:val="00381099"/>
    <w:rsid w:val="00382A55"/>
    <w:rsid w:val="003863BC"/>
    <w:rsid w:val="003A5C29"/>
    <w:rsid w:val="003B423F"/>
    <w:rsid w:val="003C46D7"/>
    <w:rsid w:val="003C64AE"/>
    <w:rsid w:val="003C77C3"/>
    <w:rsid w:val="003D0027"/>
    <w:rsid w:val="003D24DB"/>
    <w:rsid w:val="003E2017"/>
    <w:rsid w:val="003E552A"/>
    <w:rsid w:val="003F109D"/>
    <w:rsid w:val="003F2336"/>
    <w:rsid w:val="003F274F"/>
    <w:rsid w:val="003F7345"/>
    <w:rsid w:val="004177F7"/>
    <w:rsid w:val="00420520"/>
    <w:rsid w:val="00423273"/>
    <w:rsid w:val="004232E0"/>
    <w:rsid w:val="004310AA"/>
    <w:rsid w:val="004341DF"/>
    <w:rsid w:val="004434D7"/>
    <w:rsid w:val="00446364"/>
    <w:rsid w:val="00447070"/>
    <w:rsid w:val="004638EC"/>
    <w:rsid w:val="00463D38"/>
    <w:rsid w:val="00464390"/>
    <w:rsid w:val="00470051"/>
    <w:rsid w:val="0047381C"/>
    <w:rsid w:val="004761CA"/>
    <w:rsid w:val="00477B7A"/>
    <w:rsid w:val="004815EA"/>
    <w:rsid w:val="004833EA"/>
    <w:rsid w:val="00490BE4"/>
    <w:rsid w:val="0049354F"/>
    <w:rsid w:val="004936CE"/>
    <w:rsid w:val="00494387"/>
    <w:rsid w:val="00494699"/>
    <w:rsid w:val="00496351"/>
    <w:rsid w:val="00497DAB"/>
    <w:rsid w:val="004A3680"/>
    <w:rsid w:val="004A6D62"/>
    <w:rsid w:val="004A7CA3"/>
    <w:rsid w:val="004B11BD"/>
    <w:rsid w:val="004B4077"/>
    <w:rsid w:val="004B4140"/>
    <w:rsid w:val="004B4290"/>
    <w:rsid w:val="004C0109"/>
    <w:rsid w:val="004C08D9"/>
    <w:rsid w:val="004C4982"/>
    <w:rsid w:val="004C5AA4"/>
    <w:rsid w:val="004D4B5E"/>
    <w:rsid w:val="004D74AE"/>
    <w:rsid w:val="004E7464"/>
    <w:rsid w:val="004F07FB"/>
    <w:rsid w:val="004F2E8C"/>
    <w:rsid w:val="005023C9"/>
    <w:rsid w:val="00502DCC"/>
    <w:rsid w:val="005043C4"/>
    <w:rsid w:val="00505C32"/>
    <w:rsid w:val="00507536"/>
    <w:rsid w:val="005123CC"/>
    <w:rsid w:val="005134EB"/>
    <w:rsid w:val="00514409"/>
    <w:rsid w:val="005327E4"/>
    <w:rsid w:val="00532E4F"/>
    <w:rsid w:val="00536201"/>
    <w:rsid w:val="005440FF"/>
    <w:rsid w:val="0055165B"/>
    <w:rsid w:val="005518AF"/>
    <w:rsid w:val="00552199"/>
    <w:rsid w:val="0055286E"/>
    <w:rsid w:val="00557E9E"/>
    <w:rsid w:val="0057427A"/>
    <w:rsid w:val="00574B49"/>
    <w:rsid w:val="005764C3"/>
    <w:rsid w:val="00577BB9"/>
    <w:rsid w:val="00585FBA"/>
    <w:rsid w:val="005866F2"/>
    <w:rsid w:val="0059293A"/>
    <w:rsid w:val="005A3B1D"/>
    <w:rsid w:val="005A41D7"/>
    <w:rsid w:val="005A5BA5"/>
    <w:rsid w:val="005B0391"/>
    <w:rsid w:val="005B0E9C"/>
    <w:rsid w:val="005B1D8F"/>
    <w:rsid w:val="005B4C72"/>
    <w:rsid w:val="005C085C"/>
    <w:rsid w:val="005C3790"/>
    <w:rsid w:val="005C4592"/>
    <w:rsid w:val="005C4CD2"/>
    <w:rsid w:val="005D4626"/>
    <w:rsid w:val="006109DF"/>
    <w:rsid w:val="00612663"/>
    <w:rsid w:val="00625C74"/>
    <w:rsid w:val="0062756B"/>
    <w:rsid w:val="00630B7B"/>
    <w:rsid w:val="006317E1"/>
    <w:rsid w:val="00631992"/>
    <w:rsid w:val="00636506"/>
    <w:rsid w:val="00637FD8"/>
    <w:rsid w:val="00641413"/>
    <w:rsid w:val="00643E38"/>
    <w:rsid w:val="006444D5"/>
    <w:rsid w:val="00645DF3"/>
    <w:rsid w:val="006461FB"/>
    <w:rsid w:val="0064790C"/>
    <w:rsid w:val="00656CC0"/>
    <w:rsid w:val="00661E94"/>
    <w:rsid w:val="00663D8B"/>
    <w:rsid w:val="00664AB3"/>
    <w:rsid w:val="00670F87"/>
    <w:rsid w:val="00676B55"/>
    <w:rsid w:val="00677088"/>
    <w:rsid w:val="00677176"/>
    <w:rsid w:val="00680D64"/>
    <w:rsid w:val="00682013"/>
    <w:rsid w:val="00682B86"/>
    <w:rsid w:val="00685DFC"/>
    <w:rsid w:val="00686890"/>
    <w:rsid w:val="00693FAB"/>
    <w:rsid w:val="00695B1E"/>
    <w:rsid w:val="00696D74"/>
    <w:rsid w:val="00696F4C"/>
    <w:rsid w:val="006B04E1"/>
    <w:rsid w:val="006B22A9"/>
    <w:rsid w:val="006B33D2"/>
    <w:rsid w:val="006B655C"/>
    <w:rsid w:val="006C276D"/>
    <w:rsid w:val="006C6320"/>
    <w:rsid w:val="006D286B"/>
    <w:rsid w:val="006E4181"/>
    <w:rsid w:val="006F1BAD"/>
    <w:rsid w:val="006F6088"/>
    <w:rsid w:val="006F7D69"/>
    <w:rsid w:val="00703BC0"/>
    <w:rsid w:val="00720CEE"/>
    <w:rsid w:val="00724263"/>
    <w:rsid w:val="00725C88"/>
    <w:rsid w:val="00726B29"/>
    <w:rsid w:val="00726EED"/>
    <w:rsid w:val="00734E4D"/>
    <w:rsid w:val="00755F54"/>
    <w:rsid w:val="00756D63"/>
    <w:rsid w:val="0075721D"/>
    <w:rsid w:val="007577A5"/>
    <w:rsid w:val="007639D4"/>
    <w:rsid w:val="00771371"/>
    <w:rsid w:val="00771759"/>
    <w:rsid w:val="00774DE8"/>
    <w:rsid w:val="007949FD"/>
    <w:rsid w:val="007B03E5"/>
    <w:rsid w:val="007B7FFC"/>
    <w:rsid w:val="007C2DDB"/>
    <w:rsid w:val="007C5DE3"/>
    <w:rsid w:val="007D36D8"/>
    <w:rsid w:val="007D6B63"/>
    <w:rsid w:val="007E7F9B"/>
    <w:rsid w:val="007F020F"/>
    <w:rsid w:val="00802FFB"/>
    <w:rsid w:val="0081036C"/>
    <w:rsid w:val="00810E2F"/>
    <w:rsid w:val="008135A2"/>
    <w:rsid w:val="008138CB"/>
    <w:rsid w:val="00822881"/>
    <w:rsid w:val="008262A9"/>
    <w:rsid w:val="00826727"/>
    <w:rsid w:val="00831337"/>
    <w:rsid w:val="00833DF3"/>
    <w:rsid w:val="00834FFB"/>
    <w:rsid w:val="00836A8D"/>
    <w:rsid w:val="0083748F"/>
    <w:rsid w:val="00837A99"/>
    <w:rsid w:val="00846317"/>
    <w:rsid w:val="008574FC"/>
    <w:rsid w:val="00860EA2"/>
    <w:rsid w:val="00861628"/>
    <w:rsid w:val="00862999"/>
    <w:rsid w:val="00862D0E"/>
    <w:rsid w:val="008656AD"/>
    <w:rsid w:val="00870ADF"/>
    <w:rsid w:val="00871026"/>
    <w:rsid w:val="00872D04"/>
    <w:rsid w:val="00881AF8"/>
    <w:rsid w:val="00882668"/>
    <w:rsid w:val="0088281D"/>
    <w:rsid w:val="0088711A"/>
    <w:rsid w:val="008A5BDD"/>
    <w:rsid w:val="008A6B62"/>
    <w:rsid w:val="008B3FCF"/>
    <w:rsid w:val="008B505F"/>
    <w:rsid w:val="008B50DD"/>
    <w:rsid w:val="008B50E2"/>
    <w:rsid w:val="008B6D8B"/>
    <w:rsid w:val="008B7B3B"/>
    <w:rsid w:val="008B7E38"/>
    <w:rsid w:val="008C6949"/>
    <w:rsid w:val="008D0421"/>
    <w:rsid w:val="008D3D9F"/>
    <w:rsid w:val="008D47B8"/>
    <w:rsid w:val="008E1777"/>
    <w:rsid w:val="008E37FC"/>
    <w:rsid w:val="008E4F7F"/>
    <w:rsid w:val="008F1859"/>
    <w:rsid w:val="008F2491"/>
    <w:rsid w:val="008F3953"/>
    <w:rsid w:val="008F6A6E"/>
    <w:rsid w:val="008F744D"/>
    <w:rsid w:val="009037A6"/>
    <w:rsid w:val="009054A5"/>
    <w:rsid w:val="00912E76"/>
    <w:rsid w:val="00916B8A"/>
    <w:rsid w:val="009266AF"/>
    <w:rsid w:val="00926CF5"/>
    <w:rsid w:val="00927A2A"/>
    <w:rsid w:val="0093566D"/>
    <w:rsid w:val="00936A3A"/>
    <w:rsid w:val="00945663"/>
    <w:rsid w:val="00952134"/>
    <w:rsid w:val="00953132"/>
    <w:rsid w:val="00956F7C"/>
    <w:rsid w:val="00960419"/>
    <w:rsid w:val="009614DF"/>
    <w:rsid w:val="009677C1"/>
    <w:rsid w:val="00970D37"/>
    <w:rsid w:val="00982D31"/>
    <w:rsid w:val="009847ED"/>
    <w:rsid w:val="0098682C"/>
    <w:rsid w:val="00987829"/>
    <w:rsid w:val="009A0A54"/>
    <w:rsid w:val="009B0C38"/>
    <w:rsid w:val="009B1BED"/>
    <w:rsid w:val="009B47B6"/>
    <w:rsid w:val="009C1C29"/>
    <w:rsid w:val="009C39DF"/>
    <w:rsid w:val="009C503F"/>
    <w:rsid w:val="009C7E9A"/>
    <w:rsid w:val="009D1BB9"/>
    <w:rsid w:val="009D3456"/>
    <w:rsid w:val="009D5116"/>
    <w:rsid w:val="009D54B7"/>
    <w:rsid w:val="009D5E87"/>
    <w:rsid w:val="009D6011"/>
    <w:rsid w:val="009E2AA9"/>
    <w:rsid w:val="009E3967"/>
    <w:rsid w:val="009F01FE"/>
    <w:rsid w:val="009F4B3A"/>
    <w:rsid w:val="009F63EE"/>
    <w:rsid w:val="00A013C5"/>
    <w:rsid w:val="00A01D2D"/>
    <w:rsid w:val="00A052B5"/>
    <w:rsid w:val="00A11217"/>
    <w:rsid w:val="00A156E3"/>
    <w:rsid w:val="00A162B0"/>
    <w:rsid w:val="00A17BE3"/>
    <w:rsid w:val="00A2376B"/>
    <w:rsid w:val="00A27863"/>
    <w:rsid w:val="00A33486"/>
    <w:rsid w:val="00A34C3C"/>
    <w:rsid w:val="00A35BEE"/>
    <w:rsid w:val="00A3640A"/>
    <w:rsid w:val="00A36638"/>
    <w:rsid w:val="00A37FFA"/>
    <w:rsid w:val="00A41125"/>
    <w:rsid w:val="00A41AFD"/>
    <w:rsid w:val="00A42281"/>
    <w:rsid w:val="00A4771A"/>
    <w:rsid w:val="00A53843"/>
    <w:rsid w:val="00A53A9E"/>
    <w:rsid w:val="00A55A6E"/>
    <w:rsid w:val="00A56E9E"/>
    <w:rsid w:val="00A6135E"/>
    <w:rsid w:val="00A657EF"/>
    <w:rsid w:val="00A676B3"/>
    <w:rsid w:val="00A71985"/>
    <w:rsid w:val="00A72777"/>
    <w:rsid w:val="00A728EF"/>
    <w:rsid w:val="00A7301D"/>
    <w:rsid w:val="00A86259"/>
    <w:rsid w:val="00A91E8A"/>
    <w:rsid w:val="00A97EF9"/>
    <w:rsid w:val="00AA1335"/>
    <w:rsid w:val="00AA1F66"/>
    <w:rsid w:val="00AA715F"/>
    <w:rsid w:val="00AB241C"/>
    <w:rsid w:val="00AB57E5"/>
    <w:rsid w:val="00AB67C4"/>
    <w:rsid w:val="00AC1B46"/>
    <w:rsid w:val="00AD2988"/>
    <w:rsid w:val="00AD30AC"/>
    <w:rsid w:val="00AD326B"/>
    <w:rsid w:val="00AD7049"/>
    <w:rsid w:val="00AE0CBB"/>
    <w:rsid w:val="00AE1D48"/>
    <w:rsid w:val="00AE20D9"/>
    <w:rsid w:val="00AE50A7"/>
    <w:rsid w:val="00AF3A65"/>
    <w:rsid w:val="00AF55FB"/>
    <w:rsid w:val="00B007D4"/>
    <w:rsid w:val="00B03EC9"/>
    <w:rsid w:val="00B058D1"/>
    <w:rsid w:val="00B06252"/>
    <w:rsid w:val="00B072C0"/>
    <w:rsid w:val="00B07B2E"/>
    <w:rsid w:val="00B16D79"/>
    <w:rsid w:val="00B170B9"/>
    <w:rsid w:val="00B241E9"/>
    <w:rsid w:val="00B32EA8"/>
    <w:rsid w:val="00B34255"/>
    <w:rsid w:val="00B345D5"/>
    <w:rsid w:val="00B35A70"/>
    <w:rsid w:val="00B3649D"/>
    <w:rsid w:val="00B364B2"/>
    <w:rsid w:val="00B3728D"/>
    <w:rsid w:val="00B40B71"/>
    <w:rsid w:val="00B4355C"/>
    <w:rsid w:val="00B43D9B"/>
    <w:rsid w:val="00B52C39"/>
    <w:rsid w:val="00B54671"/>
    <w:rsid w:val="00B546A8"/>
    <w:rsid w:val="00B54CC6"/>
    <w:rsid w:val="00B54D1A"/>
    <w:rsid w:val="00B57151"/>
    <w:rsid w:val="00B60C0A"/>
    <w:rsid w:val="00B64954"/>
    <w:rsid w:val="00B64FC8"/>
    <w:rsid w:val="00B657E4"/>
    <w:rsid w:val="00B7007F"/>
    <w:rsid w:val="00B74CF0"/>
    <w:rsid w:val="00B77D84"/>
    <w:rsid w:val="00B87129"/>
    <w:rsid w:val="00B97481"/>
    <w:rsid w:val="00B97BBB"/>
    <w:rsid w:val="00BA0695"/>
    <w:rsid w:val="00BB1F82"/>
    <w:rsid w:val="00BB24F3"/>
    <w:rsid w:val="00BB6605"/>
    <w:rsid w:val="00BB6B5E"/>
    <w:rsid w:val="00BC2254"/>
    <w:rsid w:val="00BC4075"/>
    <w:rsid w:val="00BC626D"/>
    <w:rsid w:val="00BD1C32"/>
    <w:rsid w:val="00BD1F47"/>
    <w:rsid w:val="00BD6115"/>
    <w:rsid w:val="00BE114D"/>
    <w:rsid w:val="00BE4CE0"/>
    <w:rsid w:val="00BF236B"/>
    <w:rsid w:val="00BF3E16"/>
    <w:rsid w:val="00BF4CEA"/>
    <w:rsid w:val="00BF7AD8"/>
    <w:rsid w:val="00C05DD3"/>
    <w:rsid w:val="00C1494A"/>
    <w:rsid w:val="00C21DF3"/>
    <w:rsid w:val="00C31C09"/>
    <w:rsid w:val="00C34168"/>
    <w:rsid w:val="00C4342E"/>
    <w:rsid w:val="00C43A2F"/>
    <w:rsid w:val="00C44E90"/>
    <w:rsid w:val="00C478E3"/>
    <w:rsid w:val="00C54D30"/>
    <w:rsid w:val="00C607AA"/>
    <w:rsid w:val="00C62206"/>
    <w:rsid w:val="00C66F81"/>
    <w:rsid w:val="00C6721A"/>
    <w:rsid w:val="00C71AC5"/>
    <w:rsid w:val="00C7510C"/>
    <w:rsid w:val="00C75C34"/>
    <w:rsid w:val="00C77EA7"/>
    <w:rsid w:val="00C83E1C"/>
    <w:rsid w:val="00C83FB3"/>
    <w:rsid w:val="00C8631D"/>
    <w:rsid w:val="00C86F3A"/>
    <w:rsid w:val="00C87ED7"/>
    <w:rsid w:val="00C90F5A"/>
    <w:rsid w:val="00C926ED"/>
    <w:rsid w:val="00C93B55"/>
    <w:rsid w:val="00C94CA9"/>
    <w:rsid w:val="00CB4624"/>
    <w:rsid w:val="00CB4F73"/>
    <w:rsid w:val="00CB5EB0"/>
    <w:rsid w:val="00CB618C"/>
    <w:rsid w:val="00CC1B56"/>
    <w:rsid w:val="00CC232A"/>
    <w:rsid w:val="00CD601C"/>
    <w:rsid w:val="00CD64EA"/>
    <w:rsid w:val="00CE04CD"/>
    <w:rsid w:val="00CE16C4"/>
    <w:rsid w:val="00CE40A5"/>
    <w:rsid w:val="00CF040B"/>
    <w:rsid w:val="00CF5FFC"/>
    <w:rsid w:val="00D034B5"/>
    <w:rsid w:val="00D07D65"/>
    <w:rsid w:val="00D10657"/>
    <w:rsid w:val="00D11291"/>
    <w:rsid w:val="00D13466"/>
    <w:rsid w:val="00D1383E"/>
    <w:rsid w:val="00D14555"/>
    <w:rsid w:val="00D1502E"/>
    <w:rsid w:val="00D20636"/>
    <w:rsid w:val="00D20CFE"/>
    <w:rsid w:val="00D241AC"/>
    <w:rsid w:val="00D30507"/>
    <w:rsid w:val="00D30B12"/>
    <w:rsid w:val="00D30BA9"/>
    <w:rsid w:val="00D34BD6"/>
    <w:rsid w:val="00D47191"/>
    <w:rsid w:val="00D4736C"/>
    <w:rsid w:val="00D50709"/>
    <w:rsid w:val="00D51DB7"/>
    <w:rsid w:val="00D5735A"/>
    <w:rsid w:val="00D578B1"/>
    <w:rsid w:val="00D66B0D"/>
    <w:rsid w:val="00D81C84"/>
    <w:rsid w:val="00D8719E"/>
    <w:rsid w:val="00D906CB"/>
    <w:rsid w:val="00D911F4"/>
    <w:rsid w:val="00D93068"/>
    <w:rsid w:val="00D945DF"/>
    <w:rsid w:val="00D965A5"/>
    <w:rsid w:val="00D96CA6"/>
    <w:rsid w:val="00D97DA1"/>
    <w:rsid w:val="00DA42E8"/>
    <w:rsid w:val="00DC13E7"/>
    <w:rsid w:val="00DC5E34"/>
    <w:rsid w:val="00DE31C8"/>
    <w:rsid w:val="00DF192C"/>
    <w:rsid w:val="00DF285D"/>
    <w:rsid w:val="00DF28E2"/>
    <w:rsid w:val="00DF3507"/>
    <w:rsid w:val="00E00BB3"/>
    <w:rsid w:val="00E010E1"/>
    <w:rsid w:val="00E04C82"/>
    <w:rsid w:val="00E155EE"/>
    <w:rsid w:val="00E2703F"/>
    <w:rsid w:val="00E31A4F"/>
    <w:rsid w:val="00E33369"/>
    <w:rsid w:val="00E355DD"/>
    <w:rsid w:val="00E37211"/>
    <w:rsid w:val="00E40C3D"/>
    <w:rsid w:val="00E4179B"/>
    <w:rsid w:val="00E4419D"/>
    <w:rsid w:val="00E517DA"/>
    <w:rsid w:val="00E55BFB"/>
    <w:rsid w:val="00E560DE"/>
    <w:rsid w:val="00E56DEA"/>
    <w:rsid w:val="00E56EDF"/>
    <w:rsid w:val="00E600B0"/>
    <w:rsid w:val="00E62487"/>
    <w:rsid w:val="00E6251E"/>
    <w:rsid w:val="00E77356"/>
    <w:rsid w:val="00E843A1"/>
    <w:rsid w:val="00E93EF6"/>
    <w:rsid w:val="00E96CFB"/>
    <w:rsid w:val="00E97E69"/>
    <w:rsid w:val="00EA203A"/>
    <w:rsid w:val="00EA29CC"/>
    <w:rsid w:val="00EA4B35"/>
    <w:rsid w:val="00EB01B3"/>
    <w:rsid w:val="00EB4695"/>
    <w:rsid w:val="00EB5DCB"/>
    <w:rsid w:val="00EB77DF"/>
    <w:rsid w:val="00EC17D7"/>
    <w:rsid w:val="00EC2120"/>
    <w:rsid w:val="00ED7253"/>
    <w:rsid w:val="00EE4D94"/>
    <w:rsid w:val="00EF4D14"/>
    <w:rsid w:val="00EF672D"/>
    <w:rsid w:val="00F006A9"/>
    <w:rsid w:val="00F04631"/>
    <w:rsid w:val="00F0660F"/>
    <w:rsid w:val="00F129BC"/>
    <w:rsid w:val="00F178B5"/>
    <w:rsid w:val="00F20647"/>
    <w:rsid w:val="00F31059"/>
    <w:rsid w:val="00F327B9"/>
    <w:rsid w:val="00F34D4F"/>
    <w:rsid w:val="00F3595A"/>
    <w:rsid w:val="00F35DE2"/>
    <w:rsid w:val="00F41212"/>
    <w:rsid w:val="00F46669"/>
    <w:rsid w:val="00F54ECF"/>
    <w:rsid w:val="00F55F11"/>
    <w:rsid w:val="00F55FC7"/>
    <w:rsid w:val="00F56980"/>
    <w:rsid w:val="00F668F0"/>
    <w:rsid w:val="00F73FAA"/>
    <w:rsid w:val="00F81F69"/>
    <w:rsid w:val="00F84DB6"/>
    <w:rsid w:val="00F86E15"/>
    <w:rsid w:val="00F93FD6"/>
    <w:rsid w:val="00FA1671"/>
    <w:rsid w:val="00FA21CE"/>
    <w:rsid w:val="00FB5C16"/>
    <w:rsid w:val="00FB6DBD"/>
    <w:rsid w:val="00FB7AA1"/>
    <w:rsid w:val="00FD1CD0"/>
    <w:rsid w:val="00FE1FBF"/>
    <w:rsid w:val="00FE79E7"/>
    <w:rsid w:val="00FF1E86"/>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C7B1FA-3207-48DB-84AE-23079873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56"/>
    <w:rPr>
      <w:sz w:val="24"/>
    </w:rPr>
  </w:style>
  <w:style w:type="paragraph" w:styleId="Heading1">
    <w:name w:val="heading 1"/>
    <w:basedOn w:val="Normal"/>
    <w:next w:val="Normal"/>
    <w:link w:val="Heading1Char"/>
    <w:autoRedefine/>
    <w:uiPriority w:val="9"/>
    <w:qFormat/>
    <w:rsid w:val="005327E4"/>
    <w:pPr>
      <w:keepNext/>
      <w:keepLines/>
      <w:spacing w:before="240" w:after="0"/>
      <w:outlineLvl w:val="0"/>
    </w:pPr>
    <w:rPr>
      <w:rFonts w:eastAsiaTheme="majorEastAsia" w:cstheme="majorBidi"/>
      <w:b/>
      <w:szCs w:val="24"/>
    </w:rPr>
  </w:style>
  <w:style w:type="paragraph" w:styleId="Heading2">
    <w:name w:val="heading 2"/>
    <w:basedOn w:val="Normal"/>
    <w:next w:val="Normal"/>
    <w:link w:val="Heading2Char"/>
    <w:uiPriority w:val="9"/>
    <w:unhideWhenUsed/>
    <w:qFormat/>
    <w:rsid w:val="00CB5EB0"/>
    <w:pPr>
      <w:keepNext/>
      <w:keepLines/>
      <w:spacing w:before="40" w:after="0"/>
      <w:jc w:val="center"/>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8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6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2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999"/>
    <w:rPr>
      <w:sz w:val="20"/>
      <w:szCs w:val="20"/>
    </w:rPr>
  </w:style>
  <w:style w:type="character" w:styleId="FootnoteReference">
    <w:name w:val="footnote reference"/>
    <w:basedOn w:val="DefaultParagraphFont"/>
    <w:uiPriority w:val="99"/>
    <w:semiHidden/>
    <w:unhideWhenUsed/>
    <w:rsid w:val="00862999"/>
    <w:rPr>
      <w:vertAlign w:val="superscript"/>
    </w:rPr>
  </w:style>
  <w:style w:type="paragraph" w:customStyle="1" w:styleId="CEPHIR">
    <w:name w:val="CEPH IR"/>
    <w:basedOn w:val="Normal"/>
    <w:link w:val="CEPHIRChar"/>
    <w:qFormat/>
    <w:rsid w:val="009D3456"/>
    <w:rPr>
      <w:rFonts w:cs="Arial"/>
      <w:b/>
      <w:color w:val="000000"/>
      <w:szCs w:val="24"/>
    </w:rPr>
  </w:style>
  <w:style w:type="paragraph" w:styleId="ListParagraph">
    <w:name w:val="List Paragraph"/>
    <w:basedOn w:val="Normal"/>
    <w:uiPriority w:val="1"/>
    <w:qFormat/>
    <w:rsid w:val="00B007D4"/>
    <w:pPr>
      <w:ind w:left="720"/>
      <w:contextualSpacing/>
    </w:pPr>
    <w:rPr>
      <w:sz w:val="22"/>
    </w:rPr>
  </w:style>
  <w:style w:type="character" w:customStyle="1" w:styleId="CEPHIRChar">
    <w:name w:val="CEPH IR Char"/>
    <w:basedOn w:val="DefaultParagraphFont"/>
    <w:link w:val="CEPHIR"/>
    <w:rsid w:val="009D3456"/>
    <w:rPr>
      <w:rFonts w:cs="Arial"/>
      <w:b/>
      <w:color w:val="000000"/>
      <w:sz w:val="24"/>
      <w:szCs w:val="24"/>
    </w:rPr>
  </w:style>
  <w:style w:type="character" w:styleId="Hyperlink">
    <w:name w:val="Hyperlink"/>
    <w:basedOn w:val="DefaultParagraphFont"/>
    <w:uiPriority w:val="99"/>
    <w:unhideWhenUsed/>
    <w:rsid w:val="00E010E1"/>
    <w:rPr>
      <w:color w:val="0563C1" w:themeColor="hyperlink"/>
      <w:u w:val="single"/>
    </w:rPr>
  </w:style>
  <w:style w:type="character" w:styleId="CommentReference">
    <w:name w:val="annotation reference"/>
    <w:basedOn w:val="DefaultParagraphFont"/>
    <w:uiPriority w:val="99"/>
    <w:semiHidden/>
    <w:unhideWhenUsed/>
    <w:rsid w:val="003460F0"/>
    <w:rPr>
      <w:sz w:val="16"/>
      <w:szCs w:val="16"/>
    </w:rPr>
  </w:style>
  <w:style w:type="paragraph" w:styleId="CommentText">
    <w:name w:val="annotation text"/>
    <w:basedOn w:val="Normal"/>
    <w:link w:val="CommentTextChar"/>
    <w:uiPriority w:val="99"/>
    <w:semiHidden/>
    <w:unhideWhenUsed/>
    <w:rsid w:val="003460F0"/>
    <w:pPr>
      <w:spacing w:line="240" w:lineRule="auto"/>
    </w:pPr>
    <w:rPr>
      <w:sz w:val="20"/>
      <w:szCs w:val="20"/>
    </w:rPr>
  </w:style>
  <w:style w:type="character" w:customStyle="1" w:styleId="CommentTextChar">
    <w:name w:val="Comment Text Char"/>
    <w:basedOn w:val="DefaultParagraphFont"/>
    <w:link w:val="CommentText"/>
    <w:uiPriority w:val="99"/>
    <w:semiHidden/>
    <w:rsid w:val="003460F0"/>
    <w:rPr>
      <w:sz w:val="20"/>
      <w:szCs w:val="20"/>
    </w:rPr>
  </w:style>
  <w:style w:type="paragraph" w:styleId="CommentSubject">
    <w:name w:val="annotation subject"/>
    <w:basedOn w:val="CommentText"/>
    <w:next w:val="CommentText"/>
    <w:link w:val="CommentSubjectChar"/>
    <w:uiPriority w:val="99"/>
    <w:semiHidden/>
    <w:unhideWhenUsed/>
    <w:rsid w:val="003460F0"/>
    <w:rPr>
      <w:b/>
      <w:bCs/>
    </w:rPr>
  </w:style>
  <w:style w:type="character" w:customStyle="1" w:styleId="CommentSubjectChar">
    <w:name w:val="Comment Subject Char"/>
    <w:basedOn w:val="CommentTextChar"/>
    <w:link w:val="CommentSubject"/>
    <w:uiPriority w:val="99"/>
    <w:semiHidden/>
    <w:rsid w:val="003460F0"/>
    <w:rPr>
      <w:b/>
      <w:bCs/>
      <w:sz w:val="20"/>
      <w:szCs w:val="20"/>
    </w:rPr>
  </w:style>
  <w:style w:type="paragraph" w:styleId="BalloonText">
    <w:name w:val="Balloon Text"/>
    <w:basedOn w:val="Normal"/>
    <w:link w:val="BalloonTextChar"/>
    <w:uiPriority w:val="99"/>
    <w:semiHidden/>
    <w:unhideWhenUsed/>
    <w:rsid w:val="0034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F0"/>
    <w:rPr>
      <w:rFonts w:ascii="Segoe UI" w:hAnsi="Segoe UI" w:cs="Segoe UI"/>
      <w:sz w:val="18"/>
      <w:szCs w:val="18"/>
    </w:rPr>
  </w:style>
  <w:style w:type="paragraph" w:styleId="Footer">
    <w:name w:val="footer"/>
    <w:basedOn w:val="Normal"/>
    <w:link w:val="FooterChar"/>
    <w:uiPriority w:val="99"/>
    <w:unhideWhenUsed/>
    <w:rsid w:val="00477B7A"/>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477B7A"/>
  </w:style>
  <w:style w:type="paragraph" w:styleId="Header">
    <w:name w:val="header"/>
    <w:basedOn w:val="Normal"/>
    <w:link w:val="HeaderChar"/>
    <w:uiPriority w:val="99"/>
    <w:unhideWhenUsed/>
    <w:rsid w:val="00DC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34"/>
    <w:rPr>
      <w:sz w:val="24"/>
    </w:rPr>
  </w:style>
  <w:style w:type="paragraph" w:customStyle="1" w:styleId="xdefault">
    <w:name w:val="x_default"/>
    <w:basedOn w:val="Normal"/>
    <w:rsid w:val="00D96CA6"/>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C87ED7"/>
    <w:pPr>
      <w:spacing w:after="0" w:line="240" w:lineRule="auto"/>
    </w:pPr>
    <w:rPr>
      <w:rFonts w:eastAsiaTheme="minorEastAsia"/>
    </w:rPr>
  </w:style>
  <w:style w:type="character" w:customStyle="1" w:styleId="NoSpacingChar">
    <w:name w:val="No Spacing Char"/>
    <w:basedOn w:val="DefaultParagraphFont"/>
    <w:link w:val="NoSpacing"/>
    <w:uiPriority w:val="1"/>
    <w:rsid w:val="00C87ED7"/>
    <w:rPr>
      <w:rFonts w:eastAsiaTheme="minorEastAsia"/>
    </w:rPr>
  </w:style>
  <w:style w:type="character" w:customStyle="1" w:styleId="Heading1Char">
    <w:name w:val="Heading 1 Char"/>
    <w:basedOn w:val="DefaultParagraphFont"/>
    <w:link w:val="Heading1"/>
    <w:uiPriority w:val="9"/>
    <w:rsid w:val="005327E4"/>
    <w:rPr>
      <w:rFonts w:eastAsiaTheme="majorEastAsia" w:cstheme="majorBidi"/>
      <w:b/>
      <w:sz w:val="24"/>
      <w:szCs w:val="24"/>
    </w:rPr>
  </w:style>
  <w:style w:type="paragraph" w:styleId="TOCHeading">
    <w:name w:val="TOC Heading"/>
    <w:basedOn w:val="Heading1"/>
    <w:next w:val="Normal"/>
    <w:uiPriority w:val="39"/>
    <w:unhideWhenUsed/>
    <w:qFormat/>
    <w:rsid w:val="00C87ED7"/>
    <w:pPr>
      <w:outlineLvl w:val="9"/>
    </w:pPr>
  </w:style>
  <w:style w:type="paragraph" w:styleId="TOC1">
    <w:name w:val="toc 1"/>
    <w:basedOn w:val="Normal"/>
    <w:next w:val="Normal"/>
    <w:autoRedefine/>
    <w:uiPriority w:val="39"/>
    <w:unhideWhenUsed/>
    <w:rsid w:val="009614DF"/>
    <w:pPr>
      <w:spacing w:after="100"/>
    </w:pPr>
  </w:style>
  <w:style w:type="table" w:customStyle="1" w:styleId="QQuestionTable">
    <w:name w:val="QQuestionTable"/>
    <w:uiPriority w:val="99"/>
    <w:qFormat/>
    <w:rsid w:val="00AD2988"/>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AD2988"/>
    <w:pPr>
      <w:spacing w:after="0" w:line="240" w:lineRule="auto"/>
    </w:pPr>
    <w:rPr>
      <w:rFonts w:eastAsiaTheme="minorEastAsia"/>
      <w:color w:val="FFFFFF" w:themeColor="background1"/>
    </w:rPr>
  </w:style>
  <w:style w:type="character" w:customStyle="1" w:styleId="Heading2Char">
    <w:name w:val="Heading 2 Char"/>
    <w:basedOn w:val="DefaultParagraphFont"/>
    <w:link w:val="Heading2"/>
    <w:uiPriority w:val="9"/>
    <w:rsid w:val="00CB5EB0"/>
    <w:rPr>
      <w:rFonts w:eastAsiaTheme="majorEastAsia" w:cstheme="majorBidi"/>
      <w:b/>
      <w:sz w:val="32"/>
      <w:szCs w:val="26"/>
    </w:rPr>
  </w:style>
  <w:style w:type="paragraph" w:styleId="TOC2">
    <w:name w:val="toc 2"/>
    <w:basedOn w:val="Normal"/>
    <w:next w:val="Normal"/>
    <w:autoRedefine/>
    <w:uiPriority w:val="39"/>
    <w:unhideWhenUsed/>
    <w:rsid w:val="00E93EF6"/>
    <w:pPr>
      <w:tabs>
        <w:tab w:val="right" w:leader="dot" w:pos="9350"/>
      </w:tabs>
      <w:spacing w:after="100"/>
      <w:ind w:left="240"/>
      <w:jc w:val="center"/>
    </w:pPr>
    <w:rPr>
      <w:noProof/>
    </w:rPr>
  </w:style>
  <w:style w:type="character" w:styleId="PlaceholderText">
    <w:name w:val="Placeholder Text"/>
    <w:basedOn w:val="DefaultParagraphFont"/>
    <w:uiPriority w:val="99"/>
    <w:semiHidden/>
    <w:rsid w:val="00D93068"/>
    <w:rPr>
      <w:color w:val="808080"/>
    </w:rPr>
  </w:style>
  <w:style w:type="paragraph" w:styleId="BodyText">
    <w:name w:val="Body Text"/>
    <w:basedOn w:val="Normal"/>
    <w:link w:val="BodyTextChar"/>
    <w:uiPriority w:val="1"/>
    <w:qFormat/>
    <w:rsid w:val="00131814"/>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1318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A2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21CE"/>
    <w:rPr>
      <w:sz w:val="20"/>
      <w:szCs w:val="20"/>
    </w:rPr>
  </w:style>
  <w:style w:type="character" w:styleId="EndnoteReference">
    <w:name w:val="endnote reference"/>
    <w:basedOn w:val="DefaultParagraphFont"/>
    <w:uiPriority w:val="99"/>
    <w:semiHidden/>
    <w:unhideWhenUsed/>
    <w:rsid w:val="00FA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1320">
      <w:bodyDiv w:val="1"/>
      <w:marLeft w:val="0"/>
      <w:marRight w:val="0"/>
      <w:marTop w:val="0"/>
      <w:marBottom w:val="0"/>
      <w:divBdr>
        <w:top w:val="none" w:sz="0" w:space="0" w:color="auto"/>
        <w:left w:val="none" w:sz="0" w:space="0" w:color="auto"/>
        <w:bottom w:val="none" w:sz="0" w:space="0" w:color="auto"/>
        <w:right w:val="none" w:sz="0" w:space="0" w:color="auto"/>
      </w:divBdr>
    </w:div>
    <w:div w:id="899679982">
      <w:bodyDiv w:val="1"/>
      <w:marLeft w:val="0"/>
      <w:marRight w:val="0"/>
      <w:marTop w:val="0"/>
      <w:marBottom w:val="0"/>
      <w:divBdr>
        <w:top w:val="none" w:sz="0" w:space="0" w:color="auto"/>
        <w:left w:val="none" w:sz="0" w:space="0" w:color="auto"/>
        <w:bottom w:val="none" w:sz="0" w:space="0" w:color="auto"/>
        <w:right w:val="none" w:sz="0" w:space="0" w:color="auto"/>
      </w:divBdr>
    </w:div>
    <w:div w:id="1763139432">
      <w:bodyDiv w:val="1"/>
      <w:marLeft w:val="0"/>
      <w:marRight w:val="0"/>
      <w:marTop w:val="0"/>
      <w:marBottom w:val="0"/>
      <w:divBdr>
        <w:top w:val="none" w:sz="0" w:space="0" w:color="auto"/>
        <w:left w:val="none" w:sz="0" w:space="0" w:color="auto"/>
        <w:bottom w:val="none" w:sz="0" w:space="0" w:color="auto"/>
        <w:right w:val="none" w:sz="0" w:space="0" w:color="auto"/>
      </w:divBdr>
      <w:divsChild>
        <w:div w:id="411464685">
          <w:marLeft w:val="0"/>
          <w:marRight w:val="0"/>
          <w:marTop w:val="0"/>
          <w:marBottom w:val="0"/>
          <w:divBdr>
            <w:top w:val="none" w:sz="0" w:space="0" w:color="auto"/>
            <w:left w:val="none" w:sz="0" w:space="0" w:color="auto"/>
            <w:bottom w:val="none" w:sz="0" w:space="0" w:color="auto"/>
            <w:right w:val="none" w:sz="0" w:space="0" w:color="auto"/>
          </w:divBdr>
        </w:div>
        <w:div w:id="1075515762">
          <w:marLeft w:val="0"/>
          <w:marRight w:val="0"/>
          <w:marTop w:val="0"/>
          <w:marBottom w:val="0"/>
          <w:divBdr>
            <w:top w:val="none" w:sz="0" w:space="0" w:color="auto"/>
            <w:left w:val="none" w:sz="0" w:space="0" w:color="auto"/>
            <w:bottom w:val="none" w:sz="0" w:space="0" w:color="auto"/>
            <w:right w:val="none" w:sz="0" w:space="0" w:color="auto"/>
          </w:divBdr>
        </w:div>
        <w:div w:id="144815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wku.edu/sga/accountability/resolution_4-17-s.pdf" TargetMode="External"/><Relationship Id="rId3" Type="http://schemas.openxmlformats.org/officeDocument/2006/relationships/numbering" Target="numbering.xml"/><Relationship Id="rId21" Type="http://schemas.openxmlformats.org/officeDocument/2006/relationships/hyperlink" Target="https://www.wku.edu/regents/documents/2017/bor_meeting_agenda_and_packet_7-28-17.pdf" TargetMode="External"/><Relationship Id="rId7" Type="http://schemas.openxmlformats.org/officeDocument/2006/relationships/footnotes" Target="footnotes.xml"/><Relationship Id="rId12" Type="http://schemas.openxmlformats.org/officeDocument/2006/relationships/hyperlink" Target="https://wku.edu/publichealth/mph_bsph_meetings/ay_16-17_meetings/mph_nov2016/nov_2016_topnav_1column.php" TargetMode="External"/><Relationship Id="rId17" Type="http://schemas.openxmlformats.org/officeDocument/2006/relationships/hyperlink" Target="https://wku.edu/publichealth/mph_bsph_meetings/ay_16-17_meetings/mph_may17/topnav_1column.php" TargetMode="External"/><Relationship Id="rId2" Type="http://schemas.openxmlformats.org/officeDocument/2006/relationships/customXml" Target="../customXml/item2.xml"/><Relationship Id="rId16" Type="http://schemas.openxmlformats.org/officeDocument/2006/relationships/hyperlink" Target="https://wku.edu/publichealth/mph_bsph_meetings/ay_16-17_meetings/mph_march2017/topnav_1column.php" TargetMode="External"/><Relationship Id="rId20" Type="http://schemas.openxmlformats.org/officeDocument/2006/relationships/hyperlink" Target="https://wku.edu/publichealth/mph_bsph_meetings/ay_16-17_meetings/mph_nov2016/nov_2016_topnav_1column.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ku.edu/publichealth/mph_bsph_meetings/ay_16-17_meetings/mph_jan2017workday/topnav_1column.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ku.edu/publichealth/news/mphmeetins.php" TargetMode="External"/><Relationship Id="rId23" Type="http://schemas.openxmlformats.org/officeDocument/2006/relationships/glossaryDocument" Target="glossary/document.xml"/><Relationship Id="rId10" Type="http://schemas.openxmlformats.org/officeDocument/2006/relationships/hyperlink" Target="https://wku.edu/publichealth/mph_bsph_meetings/ay_16-17_meetings/mph_may17/topnav_1column.php" TargetMode="External"/><Relationship Id="rId19" Type="http://schemas.openxmlformats.org/officeDocument/2006/relationships/hyperlink" Target="https://wku.edu/publichealth/mph_bsph_meetings/ay_16-17_meetings/mph_jan2017workday/topnav_1column.php" TargetMode="External"/><Relationship Id="rId4" Type="http://schemas.openxmlformats.org/officeDocument/2006/relationships/styles" Target="styles.xml"/><Relationship Id="rId9" Type="http://schemas.openxmlformats.org/officeDocument/2006/relationships/hyperlink" Target="https://wku.edu/publichealth/mph_bsph_meetings/ay_16-17_meetings/mph_april17/topnav_1column.php" TargetMode="External"/><Relationship Id="rId14" Type="http://schemas.openxmlformats.org/officeDocument/2006/relationships/hyperlink" Target="https://www.wku.edu/publichealth/mph_pages_etc/program_governance.ph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ku.edu/publichealth/mph_bsph_meetings/ay_16-17_meetings/mph_april17/topnav_1column.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3394B5B8F42468ABBC39D1ADB144B"/>
        <w:category>
          <w:name w:val="General"/>
          <w:gallery w:val="placeholder"/>
        </w:category>
        <w:types>
          <w:type w:val="bbPlcHdr"/>
        </w:types>
        <w:behaviors>
          <w:behavior w:val="content"/>
        </w:behaviors>
        <w:guid w:val="{E0E67EEF-0CD4-4390-9B4C-4C75ADAE0FC6}"/>
      </w:docPartPr>
      <w:docPartBody>
        <w:p w:rsidR="00DD7536" w:rsidRDefault="00DD7536" w:rsidP="00DD7536">
          <w:pPr>
            <w:pStyle w:val="F0C3394B5B8F42468ABBC39D1ADB144B"/>
          </w:pPr>
          <w:r>
            <w:rPr>
              <w:color w:val="2E74B5" w:themeColor="accent1" w:themeShade="BF"/>
              <w:sz w:val="24"/>
              <w:szCs w:val="24"/>
            </w:rPr>
            <w:t>[Company name]</w:t>
          </w:r>
        </w:p>
      </w:docPartBody>
    </w:docPart>
    <w:docPart>
      <w:docPartPr>
        <w:name w:val="1F862B10AE034E2D99F6549CFB88536F"/>
        <w:category>
          <w:name w:val="General"/>
          <w:gallery w:val="placeholder"/>
        </w:category>
        <w:types>
          <w:type w:val="bbPlcHdr"/>
        </w:types>
        <w:behaviors>
          <w:behavior w:val="content"/>
        </w:behaviors>
        <w:guid w:val="{8FB848C6-E346-4A64-9B69-667F669A6932}"/>
      </w:docPartPr>
      <w:docPartBody>
        <w:p w:rsidR="00DD7536" w:rsidRDefault="00DD7536" w:rsidP="00DD7536">
          <w:pPr>
            <w:pStyle w:val="1F862B10AE034E2D99F6549CFB88536F"/>
          </w:pPr>
          <w:r>
            <w:rPr>
              <w:rFonts w:asciiTheme="majorHAnsi" w:eastAsiaTheme="majorEastAsia" w:hAnsiTheme="majorHAnsi" w:cstheme="majorBidi"/>
              <w:color w:val="5B9BD5" w:themeColor="accent1"/>
              <w:sz w:val="88"/>
              <w:szCs w:val="88"/>
            </w:rPr>
            <w:t>[Document title]</w:t>
          </w:r>
        </w:p>
      </w:docPartBody>
    </w:docPart>
    <w:docPart>
      <w:docPartPr>
        <w:name w:val="A7CF2E72759F473C9C1F557EFF08D19A"/>
        <w:category>
          <w:name w:val="General"/>
          <w:gallery w:val="placeholder"/>
        </w:category>
        <w:types>
          <w:type w:val="bbPlcHdr"/>
        </w:types>
        <w:behaviors>
          <w:behavior w:val="content"/>
        </w:behaviors>
        <w:guid w:val="{EF80E93E-AB39-48C1-AC9D-140A5B13384A}"/>
      </w:docPartPr>
      <w:docPartBody>
        <w:p w:rsidR="00DD7536" w:rsidRDefault="00DD7536" w:rsidP="00DD7536">
          <w:pPr>
            <w:pStyle w:val="A7CF2E72759F473C9C1F557EFF08D19A"/>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36"/>
    <w:rsid w:val="001733D4"/>
    <w:rsid w:val="004D0BDE"/>
    <w:rsid w:val="00651B66"/>
    <w:rsid w:val="006B217C"/>
    <w:rsid w:val="007C2617"/>
    <w:rsid w:val="00942E42"/>
    <w:rsid w:val="00B31A45"/>
    <w:rsid w:val="00CE5831"/>
    <w:rsid w:val="00DD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41829B8B8444A85D354B092B0E70B">
    <w:name w:val="FB941829B8B8444A85D354B092B0E70B"/>
    <w:rsid w:val="00DD7536"/>
  </w:style>
  <w:style w:type="paragraph" w:customStyle="1" w:styleId="F6D682CF573249B5B9A2ABC67263F198">
    <w:name w:val="F6D682CF573249B5B9A2ABC67263F198"/>
    <w:rsid w:val="00DD7536"/>
  </w:style>
  <w:style w:type="paragraph" w:customStyle="1" w:styleId="BD147ECFBD34464B8D874A93502DE43F">
    <w:name w:val="BD147ECFBD34464B8D874A93502DE43F"/>
    <w:rsid w:val="00DD7536"/>
  </w:style>
  <w:style w:type="paragraph" w:customStyle="1" w:styleId="9B6407AA1EEC4D5CB76D2A972B4D5088">
    <w:name w:val="9B6407AA1EEC4D5CB76D2A972B4D5088"/>
    <w:rsid w:val="00DD7536"/>
  </w:style>
  <w:style w:type="paragraph" w:customStyle="1" w:styleId="2E4F8AB074E14C5F9D1CF7E696708CE9">
    <w:name w:val="2E4F8AB074E14C5F9D1CF7E696708CE9"/>
    <w:rsid w:val="00DD7536"/>
  </w:style>
  <w:style w:type="paragraph" w:customStyle="1" w:styleId="F0C3394B5B8F42468ABBC39D1ADB144B">
    <w:name w:val="F0C3394B5B8F42468ABBC39D1ADB144B"/>
    <w:rsid w:val="00DD7536"/>
  </w:style>
  <w:style w:type="paragraph" w:customStyle="1" w:styleId="1F862B10AE034E2D99F6549CFB88536F">
    <w:name w:val="1F862B10AE034E2D99F6549CFB88536F"/>
    <w:rsid w:val="00DD7536"/>
  </w:style>
  <w:style w:type="paragraph" w:customStyle="1" w:styleId="A7CF2E72759F473C9C1F557EFF08D19A">
    <w:name w:val="A7CF2E72759F473C9C1F557EFF08D19A"/>
    <w:rsid w:val="00DD7536"/>
  </w:style>
  <w:style w:type="paragraph" w:customStyle="1" w:styleId="D04DB674AF1A42ADBB7A4748258B56D4">
    <w:name w:val="D04DB674AF1A42ADBB7A4748258B56D4"/>
    <w:rsid w:val="00DD7536"/>
  </w:style>
  <w:style w:type="paragraph" w:customStyle="1" w:styleId="84EBB86B6F044CFAAB2C68FD4B99D90F">
    <w:name w:val="84EBB86B6F044CFAAB2C68FD4B99D90F"/>
    <w:rsid w:val="00DD7536"/>
  </w:style>
  <w:style w:type="character" w:styleId="PlaceholderText">
    <w:name w:val="Placeholder Text"/>
    <w:basedOn w:val="DefaultParagraphFont"/>
    <w:uiPriority w:val="99"/>
    <w:semiHidden/>
    <w:rsid w:val="00651B66"/>
    <w:rPr>
      <w:color w:val="808080"/>
    </w:rPr>
  </w:style>
  <w:style w:type="paragraph" w:customStyle="1" w:styleId="85AB733953764B10B1F9ABE61CFF5D05">
    <w:name w:val="85AB733953764B10B1F9ABE61CFF5D05"/>
    <w:rsid w:val="00DD7536"/>
  </w:style>
  <w:style w:type="paragraph" w:customStyle="1" w:styleId="C18306AC97F6491EB8ED7E2360D877B2">
    <w:name w:val="C18306AC97F6491EB8ED7E2360D877B2"/>
    <w:rsid w:val="00DD7536"/>
  </w:style>
  <w:style w:type="paragraph" w:customStyle="1" w:styleId="9D5BE0E910E6486E9ECEAF1ED5DD65BC">
    <w:name w:val="9D5BE0E910E6486E9ECEAF1ED5DD65BC"/>
    <w:rsid w:val="00DD7536"/>
  </w:style>
  <w:style w:type="paragraph" w:customStyle="1" w:styleId="4CF80334C17E49B5B270C35F0F478DE8">
    <w:name w:val="4CF80334C17E49B5B270C35F0F478DE8"/>
    <w:rsid w:val="00DD7536"/>
  </w:style>
  <w:style w:type="paragraph" w:customStyle="1" w:styleId="8DD3FA0C0752416194F892DCD190CEF5">
    <w:name w:val="8DD3FA0C0752416194F892DCD190CEF5"/>
    <w:rsid w:val="00DD7536"/>
  </w:style>
  <w:style w:type="paragraph" w:customStyle="1" w:styleId="8F01462220E542018F8F737F669E0D84">
    <w:name w:val="8F01462220E542018F8F737F669E0D84"/>
    <w:rsid w:val="00DD7536"/>
  </w:style>
  <w:style w:type="paragraph" w:customStyle="1" w:styleId="EF7D9FCB61A54125B8A223D4911627CF">
    <w:name w:val="EF7D9FCB61A54125B8A223D4911627CF"/>
    <w:rsid w:val="00DD7536"/>
  </w:style>
  <w:style w:type="paragraph" w:customStyle="1" w:styleId="F4F78885FC004276AB73DF5E4DEE107E">
    <w:name w:val="F4F78885FC004276AB73DF5E4DEE107E"/>
    <w:rsid w:val="00DD7536"/>
  </w:style>
  <w:style w:type="paragraph" w:customStyle="1" w:styleId="34B29ADA343742C5A500C3D350D88445">
    <w:name w:val="34B29ADA343742C5A500C3D350D88445"/>
    <w:rsid w:val="00DD7536"/>
  </w:style>
  <w:style w:type="paragraph" w:customStyle="1" w:styleId="442CAD5E290041A5BC4A044BE8D891BA">
    <w:name w:val="442CAD5E290041A5BC4A044BE8D891BA"/>
    <w:rsid w:val="00DD7536"/>
  </w:style>
  <w:style w:type="paragraph" w:customStyle="1" w:styleId="5395A28BC069496188BBF2563BE551EC">
    <w:name w:val="5395A28BC069496188BBF2563BE551EC"/>
    <w:rsid w:val="00DD7536"/>
  </w:style>
  <w:style w:type="paragraph" w:customStyle="1" w:styleId="296A43EA8BCB420EA19A0FF9727AFA6F">
    <w:name w:val="296A43EA8BCB420EA19A0FF9727AFA6F"/>
    <w:rsid w:val="00DD7536"/>
  </w:style>
  <w:style w:type="paragraph" w:customStyle="1" w:styleId="47714BF9834C4B6BA0B1940512507DA3">
    <w:name w:val="47714BF9834C4B6BA0B1940512507DA3"/>
    <w:rsid w:val="00DD7536"/>
  </w:style>
  <w:style w:type="paragraph" w:customStyle="1" w:styleId="DA8A5611EDB948F3B2E0C5B0B768ADCC">
    <w:name w:val="DA8A5611EDB948F3B2E0C5B0B768ADCC"/>
    <w:rsid w:val="00DD7536"/>
  </w:style>
  <w:style w:type="paragraph" w:customStyle="1" w:styleId="2797EDACC7A043909DF4087DC2CD8C02">
    <w:name w:val="2797EDACC7A043909DF4087DC2CD8C02"/>
    <w:rsid w:val="00DD7536"/>
  </w:style>
  <w:style w:type="paragraph" w:customStyle="1" w:styleId="48F00E2A6BDD46C18B82CEC397F8A7B9">
    <w:name w:val="48F00E2A6BDD46C18B82CEC397F8A7B9"/>
    <w:rsid w:val="00DD7536"/>
  </w:style>
  <w:style w:type="paragraph" w:customStyle="1" w:styleId="1E89530BB262454589C68C123C67A3CD">
    <w:name w:val="1E89530BB262454589C68C123C67A3CD"/>
    <w:rsid w:val="00DD7536"/>
  </w:style>
  <w:style w:type="paragraph" w:customStyle="1" w:styleId="441FC790BC274D389D1A004343D9EBA0">
    <w:name w:val="441FC790BC274D389D1A004343D9EBA0"/>
    <w:rsid w:val="00DD7536"/>
  </w:style>
  <w:style w:type="paragraph" w:customStyle="1" w:styleId="E4852CCEF51A41EBBF4CE2977C7F1AA8">
    <w:name w:val="E4852CCEF51A41EBBF4CE2977C7F1AA8"/>
    <w:rsid w:val="00DD7536"/>
  </w:style>
  <w:style w:type="paragraph" w:customStyle="1" w:styleId="B106FA16681E497EB48A2C2D89437ED2">
    <w:name w:val="B106FA16681E497EB48A2C2D89437ED2"/>
    <w:rsid w:val="00DD7536"/>
  </w:style>
  <w:style w:type="paragraph" w:customStyle="1" w:styleId="F52CA75B4F664CA2A6803A93A169A6C7">
    <w:name w:val="F52CA75B4F664CA2A6803A93A169A6C7"/>
    <w:rsid w:val="00DD7536"/>
  </w:style>
  <w:style w:type="paragraph" w:customStyle="1" w:styleId="AA3D5371238943ECBCFFA236C77F6C7A">
    <w:name w:val="AA3D5371238943ECBCFFA236C77F6C7A"/>
    <w:rsid w:val="00DD7536"/>
  </w:style>
  <w:style w:type="paragraph" w:customStyle="1" w:styleId="91B264ECB9FC45CFA401F17F9D2817D7">
    <w:name w:val="91B264ECB9FC45CFA401F17F9D2817D7"/>
    <w:rsid w:val="00DD7536"/>
  </w:style>
  <w:style w:type="paragraph" w:customStyle="1" w:styleId="18207D648B374D4CBD8D914F9E1E4289">
    <w:name w:val="18207D648B374D4CBD8D914F9E1E4289"/>
    <w:rsid w:val="00DD7536"/>
  </w:style>
  <w:style w:type="paragraph" w:customStyle="1" w:styleId="C7F60A4B42E944CF99D17417D91437F4">
    <w:name w:val="C7F60A4B42E944CF99D17417D91437F4"/>
    <w:rsid w:val="00DD7536"/>
  </w:style>
  <w:style w:type="paragraph" w:customStyle="1" w:styleId="84CCB12AB0804EA396C3054E88AE9D3F">
    <w:name w:val="84CCB12AB0804EA396C3054E88AE9D3F"/>
    <w:rsid w:val="00DD7536"/>
  </w:style>
  <w:style w:type="paragraph" w:customStyle="1" w:styleId="2CD9132921D04A0298196F0F2787CFCD">
    <w:name w:val="2CD9132921D04A0298196F0F2787CFCD"/>
    <w:rsid w:val="00DD7536"/>
  </w:style>
  <w:style w:type="paragraph" w:customStyle="1" w:styleId="48813B4A379A44AB9488EF5819FD4B10">
    <w:name w:val="48813B4A379A44AB9488EF5819FD4B10"/>
    <w:rsid w:val="00651B66"/>
  </w:style>
  <w:style w:type="paragraph" w:customStyle="1" w:styleId="405E960CD05443FEBFC8509F01412559">
    <w:name w:val="405E960CD05443FEBFC8509F01412559"/>
    <w:rsid w:val="00651B66"/>
  </w:style>
  <w:style w:type="paragraph" w:customStyle="1" w:styleId="D3D613B5A5DF4012A84FE13E2CD0510E">
    <w:name w:val="D3D613B5A5DF4012A84FE13E2CD0510E"/>
    <w:rsid w:val="00651B66"/>
  </w:style>
  <w:style w:type="paragraph" w:customStyle="1" w:styleId="C3029557BCF54C71ABCEC5B7A0EA2D67">
    <w:name w:val="C3029557BCF54C71ABCEC5B7A0EA2D67"/>
    <w:rsid w:val="00651B66"/>
  </w:style>
  <w:style w:type="paragraph" w:customStyle="1" w:styleId="A14D83DB3DEB4A7EB70A4A59CB6976E3">
    <w:name w:val="A14D83DB3DEB4A7EB70A4A59CB6976E3"/>
    <w:rsid w:val="00651B66"/>
  </w:style>
  <w:style w:type="paragraph" w:customStyle="1" w:styleId="FC15D4D3FF804625BB9443F19DAC4DB5">
    <w:name w:val="FC15D4D3FF804625BB9443F19DAC4DB5"/>
    <w:rsid w:val="00651B66"/>
  </w:style>
  <w:style w:type="paragraph" w:customStyle="1" w:styleId="3D9B7607745F4D58A1C36D0D8481369B">
    <w:name w:val="3D9B7607745F4D58A1C36D0D8481369B"/>
    <w:rsid w:val="00651B66"/>
  </w:style>
  <w:style w:type="paragraph" w:customStyle="1" w:styleId="8EBB250511A9479EA118E11238435E29">
    <w:name w:val="8EBB250511A9479EA118E11238435E29"/>
    <w:rsid w:val="00651B66"/>
  </w:style>
  <w:style w:type="paragraph" w:customStyle="1" w:styleId="F2408B5465D54C51A8FEEFA7DCE8E558">
    <w:name w:val="F2408B5465D54C51A8FEEFA7DCE8E558"/>
    <w:rsid w:val="00651B66"/>
  </w:style>
  <w:style w:type="paragraph" w:customStyle="1" w:styleId="5E54DEE97D2A4568A5DF48DC6828DC50">
    <w:name w:val="5E54DEE97D2A4568A5DF48DC6828DC50"/>
    <w:rsid w:val="00651B66"/>
  </w:style>
  <w:style w:type="paragraph" w:customStyle="1" w:styleId="4C1399CDFC8740488D4DAEF3B2C7424A">
    <w:name w:val="4C1399CDFC8740488D4DAEF3B2C7424A"/>
    <w:rsid w:val="00651B66"/>
  </w:style>
  <w:style w:type="paragraph" w:customStyle="1" w:styleId="660DC24946B54CFC8217A476ADEE9EDA">
    <w:name w:val="660DC24946B54CFC8217A476ADEE9EDA"/>
    <w:rsid w:val="00651B66"/>
  </w:style>
  <w:style w:type="paragraph" w:customStyle="1" w:styleId="349A03FF873D4DACA834842F668B4C26">
    <w:name w:val="349A03FF873D4DACA834842F668B4C26"/>
    <w:rsid w:val="00651B66"/>
  </w:style>
  <w:style w:type="paragraph" w:customStyle="1" w:styleId="391D4424B68E4B739B36E4A60D2890EE">
    <w:name w:val="391D4424B68E4B739B36E4A60D2890EE"/>
    <w:rsid w:val="00651B66"/>
  </w:style>
  <w:style w:type="paragraph" w:customStyle="1" w:styleId="2AA06853CF8248BEB5785DADBF83746F">
    <w:name w:val="2AA06853CF8248BEB5785DADBF83746F"/>
    <w:rsid w:val="00651B66"/>
  </w:style>
  <w:style w:type="paragraph" w:customStyle="1" w:styleId="B829CED021F94A51B331CA8F30AD0ECF">
    <w:name w:val="B829CED021F94A51B331CA8F30AD0ECF"/>
    <w:rsid w:val="00651B66"/>
  </w:style>
  <w:style w:type="paragraph" w:customStyle="1" w:styleId="6AF7D79A33D04496A6C0F244DC23EDA6">
    <w:name w:val="6AF7D79A33D04496A6C0F244DC23EDA6"/>
    <w:rsid w:val="00651B66"/>
  </w:style>
  <w:style w:type="paragraph" w:customStyle="1" w:styleId="37A04339B2B44EB995E00722AB1F6E15">
    <w:name w:val="37A04339B2B44EB995E00722AB1F6E15"/>
    <w:rsid w:val="00651B66"/>
  </w:style>
  <w:style w:type="paragraph" w:customStyle="1" w:styleId="080416859C4543B5BA9DA80DD706A3CC">
    <w:name w:val="080416859C4543B5BA9DA80DD706A3CC"/>
    <w:rsid w:val="00651B66"/>
  </w:style>
  <w:style w:type="paragraph" w:customStyle="1" w:styleId="2D98D7B1468044C799017B1B35936193">
    <w:name w:val="2D98D7B1468044C799017B1B35936193"/>
    <w:rsid w:val="00651B66"/>
  </w:style>
  <w:style w:type="paragraph" w:customStyle="1" w:styleId="CCEB62E7006F4EA4A1F138A6D1B47462">
    <w:name w:val="CCEB62E7006F4EA4A1F138A6D1B47462"/>
    <w:rsid w:val="00651B66"/>
  </w:style>
  <w:style w:type="paragraph" w:customStyle="1" w:styleId="2E71AD6CB7C445318321661CA870DA1D">
    <w:name w:val="2E71AD6CB7C445318321661CA870DA1D"/>
    <w:rsid w:val="00651B66"/>
  </w:style>
  <w:style w:type="paragraph" w:customStyle="1" w:styleId="B7657FF3AD2C428FA7134D52F38C633C">
    <w:name w:val="B7657FF3AD2C428FA7134D52F38C633C"/>
    <w:rsid w:val="00651B66"/>
  </w:style>
  <w:style w:type="paragraph" w:customStyle="1" w:styleId="6C9C76B9A8C741969604A5D502D658E6">
    <w:name w:val="6C9C76B9A8C741969604A5D502D658E6"/>
    <w:rsid w:val="00651B66"/>
  </w:style>
  <w:style w:type="paragraph" w:customStyle="1" w:styleId="8A2C2E7E04C4434195AF031344829C03">
    <w:name w:val="8A2C2E7E04C4434195AF031344829C03"/>
    <w:rsid w:val="00651B66"/>
  </w:style>
  <w:style w:type="paragraph" w:customStyle="1" w:styleId="CE158CC5B2404EE4A99C1EA5E7C5A9A9">
    <w:name w:val="CE158CC5B2404EE4A99C1EA5E7C5A9A9"/>
    <w:rsid w:val="00651B66"/>
  </w:style>
  <w:style w:type="paragraph" w:customStyle="1" w:styleId="8FA4F8196FFD44A4B7E65DD860DC94AE">
    <w:name w:val="8FA4F8196FFD44A4B7E65DD860DC94AE"/>
    <w:rsid w:val="0065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95646-E5D9-4E38-9099-6831ABD1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7571</Words>
  <Characters>43158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2017 Interim Report</vt:lpstr>
    </vt:vector>
  </TitlesOfParts>
  <Company>Western Kentucky University</Company>
  <LinksUpToDate>false</LinksUpToDate>
  <CharactersWithSpaces>50628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Interim Report</dc:title>
  <dc:subject>Council on Education for Public Health</dc:subject>
  <dc:creator>Public Health Faculty</dc:creator>
  <cp:keywords/>
  <dc:description/>
  <cp:lastModifiedBy>Gardner, Marilyn</cp:lastModifiedBy>
  <cp:revision>2</cp:revision>
  <dcterms:created xsi:type="dcterms:W3CDTF">2017-08-12T21:22:00Z</dcterms:created>
  <dcterms:modified xsi:type="dcterms:W3CDTF">2017-08-12T21:22:00Z</dcterms:modified>
</cp:coreProperties>
</file>