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35" w:rsidRDefault="00F41835" w:rsidP="005A4C79"/>
    <w:p w:rsidR="005A4C79" w:rsidRDefault="005A4C79" w:rsidP="005A4C79">
      <w:r>
        <w:t xml:space="preserve">Attached you’ll find a form to be completed for EACH of your required core courses. The purpose of this form is identify how well our program is (or isn’t) providing classroom opportunities for students to develop the competencies </w:t>
      </w:r>
      <w:r w:rsidR="00B030EF">
        <w:t>CEPH has</w:t>
      </w:r>
      <w:r>
        <w:t xml:space="preserve"> determined all MPH graduates should achieve. It is not enough to simply “check off” that a course helps meet the competency; we must assess how our courses meet them to ensure we are doing so in ways that meet </w:t>
      </w:r>
      <w:r w:rsidR="00B030EF">
        <w:t>CEPH standards</w:t>
      </w:r>
      <w:r>
        <w:t>. Please note that this process, while cumbersome, is necessary for ensuring we’re meeting our commitment to our students. =)</w:t>
      </w:r>
    </w:p>
    <w:p w:rsidR="005A4C79" w:rsidRPr="00174A38" w:rsidRDefault="005A4C79" w:rsidP="005A4C79">
      <w:pPr>
        <w:rPr>
          <w:u w:val="single"/>
        </w:rPr>
      </w:pPr>
      <w:r w:rsidRPr="00174A38">
        <w:rPr>
          <w:u w:val="single"/>
        </w:rPr>
        <w:t>Using this Form</w:t>
      </w:r>
    </w:p>
    <w:p w:rsidR="005A4C79" w:rsidRDefault="005A4C79" w:rsidP="005A4C79">
      <w:pPr>
        <w:numPr>
          <w:ilvl w:val="0"/>
          <w:numId w:val="1"/>
        </w:numPr>
        <w:spacing w:after="0" w:line="240" w:lineRule="auto"/>
      </w:pPr>
      <w:r>
        <w:t xml:space="preserve">Please complete a separate form for EACH </w:t>
      </w:r>
      <w:r w:rsidRPr="00174A38">
        <w:rPr>
          <w:i/>
        </w:rPr>
        <w:t>required</w:t>
      </w:r>
      <w:r>
        <w:t xml:space="preserve"> </w:t>
      </w:r>
      <w:r w:rsidR="00B030EF">
        <w:t xml:space="preserve">core </w:t>
      </w:r>
      <w:r>
        <w:t>course</w:t>
      </w:r>
      <w:r w:rsidR="00B030EF">
        <w:t xml:space="preserve"> that you teach</w:t>
      </w:r>
      <w:r>
        <w:t>. Please not</w:t>
      </w:r>
      <w:r w:rsidR="000A1304">
        <w:t>e your name and course name/number</w:t>
      </w:r>
      <w:r>
        <w:t>.</w:t>
      </w:r>
    </w:p>
    <w:p w:rsidR="005A4C79" w:rsidRDefault="005A4C79" w:rsidP="005A4C79">
      <w:pPr>
        <w:numPr>
          <w:ilvl w:val="0"/>
          <w:numId w:val="1"/>
        </w:numPr>
        <w:spacing w:after="0" w:line="240" w:lineRule="auto"/>
      </w:pPr>
      <w:r>
        <w:t>Link your course objectives</w:t>
      </w:r>
      <w:r w:rsidR="000A1304">
        <w:t xml:space="preserve"> (what is shown on your syllabi and/or other course materials)</w:t>
      </w:r>
      <w:r>
        <w:t xml:space="preserve"> to the competencies they help meet. One objective may help fulfill parts of several competencies. Similarly, several objectives may meet one competency. If you do not wish to type out the objective in the space provided, please number your course objectives on your syllabus, place the number in the “Course Objective” column, and provide </w:t>
      </w:r>
      <w:r w:rsidR="000A1304">
        <w:t>an</w:t>
      </w:r>
      <w:r>
        <w:t xml:space="preserve"> electronic copy of your syllabus. </w:t>
      </w:r>
    </w:p>
    <w:p w:rsidR="005A4C79" w:rsidRDefault="005A4C79" w:rsidP="005A4C79">
      <w:pPr>
        <w:numPr>
          <w:ilvl w:val="0"/>
          <w:numId w:val="1"/>
        </w:numPr>
        <w:spacing w:after="0" w:line="240" w:lineRule="auto"/>
      </w:pPr>
      <w:r>
        <w:t>Summarize the content associated with each objective and describe the activities you use in class to deliver the content. Many content areas may meet one c</w:t>
      </w:r>
      <w:r w:rsidR="000A1304">
        <w:t xml:space="preserve">ourse objective; </w:t>
      </w:r>
      <w:r w:rsidR="000A1304" w:rsidRPr="00B030EF">
        <w:rPr>
          <w:u w:val="single"/>
        </w:rPr>
        <w:t>please list each</w:t>
      </w:r>
      <w:r w:rsidRPr="00B030EF">
        <w:rPr>
          <w:u w:val="single"/>
        </w:rPr>
        <w:t xml:space="preserve"> of them</w:t>
      </w:r>
      <w:r>
        <w:t xml:space="preserve">. Similarly, you may use many activities to deliver the content; </w:t>
      </w:r>
      <w:r w:rsidRPr="00B030EF">
        <w:rPr>
          <w:u w:val="single"/>
        </w:rPr>
        <w:t>please list all of them</w:t>
      </w:r>
      <w:r>
        <w:t xml:space="preserve">. Activities include things such as lecture, group discussion, case study, etc. </w:t>
      </w:r>
    </w:p>
    <w:p w:rsidR="005A4C79" w:rsidRDefault="005A4C79" w:rsidP="005A4C79">
      <w:pPr>
        <w:numPr>
          <w:ilvl w:val="0"/>
          <w:numId w:val="1"/>
        </w:numPr>
        <w:spacing w:after="0" w:line="240" w:lineRule="auto"/>
      </w:pPr>
      <w:r>
        <w:t xml:space="preserve">Describe how the activity is assessed. Sometimes, the activity is also the assessment. For example, students may complete a case-study in class to facilitate learning on a specific topic. Working on the case study (the process) is the activity and its completion (the product) is the assessment, regardless of whether it is a graded activity. </w:t>
      </w:r>
    </w:p>
    <w:p w:rsidR="005A4C79" w:rsidRDefault="005A4C79" w:rsidP="005A4C79"/>
    <w:p w:rsidR="005A4C79" w:rsidRDefault="005A4C79" w:rsidP="005A4C79">
      <w:r>
        <w:t xml:space="preserve">Note: </w:t>
      </w:r>
      <w:r w:rsidR="00B030EF">
        <w:t>P</w:t>
      </w:r>
      <w:r>
        <w:t>lease type your responses to facilitate compiling results.</w:t>
      </w:r>
    </w:p>
    <w:p w:rsidR="000A1304" w:rsidRPr="009C3E51" w:rsidRDefault="000A1304" w:rsidP="009C3E51">
      <w:pPr>
        <w:jc w:val="center"/>
        <w:rPr>
          <w:sz w:val="36"/>
          <w:szCs w:val="36"/>
        </w:rPr>
      </w:pPr>
      <w:r w:rsidRPr="009C3E51">
        <w:rPr>
          <w:sz w:val="36"/>
          <w:szCs w:val="36"/>
          <w:highlight w:val="yellow"/>
        </w:rPr>
        <w:t xml:space="preserve">Please return your completed forms to Marilyn Gardner by </w:t>
      </w:r>
      <w:r w:rsidR="00B030EF" w:rsidRPr="009C3E51">
        <w:rPr>
          <w:sz w:val="36"/>
          <w:szCs w:val="36"/>
          <w:highlight w:val="yellow"/>
        </w:rPr>
        <w:t>D</w:t>
      </w:r>
      <w:r w:rsidR="009C3E51" w:rsidRPr="009C3E51">
        <w:rPr>
          <w:sz w:val="36"/>
          <w:szCs w:val="36"/>
          <w:highlight w:val="yellow"/>
        </w:rPr>
        <w:t>ecember 19</w:t>
      </w:r>
      <w:r w:rsidR="00B030EF" w:rsidRPr="009C3E51">
        <w:rPr>
          <w:sz w:val="36"/>
          <w:szCs w:val="36"/>
          <w:highlight w:val="yellow"/>
        </w:rPr>
        <w:t>th</w:t>
      </w:r>
      <w:r w:rsidRPr="009C3E51">
        <w:rPr>
          <w:sz w:val="36"/>
          <w:szCs w:val="36"/>
          <w:highlight w:val="yellow"/>
        </w:rPr>
        <w:t>.</w:t>
      </w:r>
    </w:p>
    <w:p w:rsidR="000A1304" w:rsidRDefault="000A1304">
      <w:r>
        <w:br w:type="page"/>
      </w:r>
    </w:p>
    <w:p w:rsidR="005A4C79" w:rsidRDefault="005A4C79" w:rsidP="005A4C79">
      <w:pPr>
        <w:sectPr w:rsidR="005A4C79" w:rsidSect="005A4C79">
          <w:headerReference w:type="even" r:id="rId8"/>
          <w:headerReference w:type="default" r:id="rId9"/>
          <w:footerReference w:type="default" r:id="rId10"/>
          <w:pgSz w:w="12240" w:h="15840"/>
          <w:pgMar w:top="1440" w:right="1440" w:bottom="1440" w:left="1440" w:header="720" w:footer="720" w:gutter="0"/>
          <w:cols w:space="720"/>
          <w:docGrid w:linePitch="360"/>
        </w:sectPr>
      </w:pPr>
    </w:p>
    <w:tbl>
      <w:tblPr>
        <w:tblStyle w:val="TableGrid"/>
        <w:tblW w:w="13585" w:type="dxa"/>
        <w:tblLook w:val="04A0" w:firstRow="1" w:lastRow="0" w:firstColumn="1" w:lastColumn="0" w:noHBand="0" w:noVBand="1"/>
      </w:tblPr>
      <w:tblGrid>
        <w:gridCol w:w="4135"/>
        <w:gridCol w:w="3420"/>
        <w:gridCol w:w="2970"/>
        <w:gridCol w:w="3060"/>
      </w:tblGrid>
      <w:tr w:rsidR="009A4012" w:rsidTr="009A4012">
        <w:tc>
          <w:tcPr>
            <w:tcW w:w="4135" w:type="dxa"/>
          </w:tcPr>
          <w:p w:rsidR="009A4012" w:rsidRDefault="009A4012"/>
        </w:tc>
        <w:tc>
          <w:tcPr>
            <w:tcW w:w="3420" w:type="dxa"/>
          </w:tcPr>
          <w:p w:rsidR="009A4012" w:rsidRDefault="005A4C79">
            <w:r>
              <w:t xml:space="preserve">Course Learning </w:t>
            </w:r>
            <w:r w:rsidR="009A4012">
              <w:t>Objective</w:t>
            </w:r>
            <w:r>
              <w:t xml:space="preserve"> (should be on syllabus)</w:t>
            </w:r>
          </w:p>
        </w:tc>
        <w:tc>
          <w:tcPr>
            <w:tcW w:w="2970" w:type="dxa"/>
          </w:tcPr>
          <w:p w:rsidR="009A4012" w:rsidRDefault="005A4C79">
            <w:r>
              <w:t>Course Content/Activity</w:t>
            </w:r>
          </w:p>
        </w:tc>
        <w:tc>
          <w:tcPr>
            <w:tcW w:w="3060" w:type="dxa"/>
          </w:tcPr>
          <w:p w:rsidR="009A4012" w:rsidRDefault="009A4012">
            <w:r>
              <w:t>Assessment</w:t>
            </w:r>
            <w:r w:rsidR="005A4C79">
              <w:t xml:space="preserve"> of content</w:t>
            </w:r>
          </w:p>
        </w:tc>
      </w:tr>
      <w:tr w:rsidR="00770F22" w:rsidTr="003361A5">
        <w:tc>
          <w:tcPr>
            <w:tcW w:w="13585" w:type="dxa"/>
            <w:gridSpan w:val="4"/>
            <w:shd w:val="clear" w:color="auto" w:fill="D0CECE" w:themeFill="background2" w:themeFillShade="E6"/>
          </w:tcPr>
          <w:p w:rsidR="00770F22" w:rsidRPr="003361A5" w:rsidRDefault="00770F22">
            <w:r w:rsidRPr="003361A5">
              <w:t xml:space="preserve">Evidence-based Approaches to Public Health </w:t>
            </w:r>
          </w:p>
        </w:tc>
      </w:tr>
      <w:tr w:rsidR="009A4012" w:rsidTr="009A4012">
        <w:tc>
          <w:tcPr>
            <w:tcW w:w="4135" w:type="dxa"/>
          </w:tcPr>
          <w:p w:rsidR="009A4012" w:rsidRPr="00374271" w:rsidRDefault="00770F22" w:rsidP="00374271">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1. Apply epidemiological methods to the breadth of settings and situations in public health practice </w:t>
            </w:r>
          </w:p>
        </w:tc>
        <w:tc>
          <w:tcPr>
            <w:tcW w:w="3420" w:type="dxa"/>
          </w:tcPr>
          <w:p w:rsidR="009A4012" w:rsidRDefault="009A4012"/>
        </w:tc>
        <w:tc>
          <w:tcPr>
            <w:tcW w:w="2970" w:type="dxa"/>
          </w:tcPr>
          <w:p w:rsidR="009A4012" w:rsidRDefault="009A4012"/>
        </w:tc>
        <w:tc>
          <w:tcPr>
            <w:tcW w:w="3060" w:type="dxa"/>
          </w:tcPr>
          <w:p w:rsidR="009A4012" w:rsidRDefault="009A4012"/>
        </w:tc>
      </w:tr>
      <w:tr w:rsidR="009A4012" w:rsidTr="009A4012">
        <w:tc>
          <w:tcPr>
            <w:tcW w:w="4135" w:type="dxa"/>
          </w:tcPr>
          <w:p w:rsidR="009A4012" w:rsidRPr="00770F22" w:rsidRDefault="00770F22" w:rsidP="00374271">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2. Select quantitative and qualitative data collection methods appropriate for a given public health context </w:t>
            </w:r>
          </w:p>
        </w:tc>
        <w:tc>
          <w:tcPr>
            <w:tcW w:w="3420" w:type="dxa"/>
          </w:tcPr>
          <w:p w:rsidR="009A4012" w:rsidRDefault="009A4012"/>
        </w:tc>
        <w:tc>
          <w:tcPr>
            <w:tcW w:w="2970" w:type="dxa"/>
          </w:tcPr>
          <w:p w:rsidR="009A4012" w:rsidRDefault="009A4012"/>
        </w:tc>
        <w:tc>
          <w:tcPr>
            <w:tcW w:w="3060" w:type="dxa"/>
          </w:tcPr>
          <w:p w:rsidR="009A4012" w:rsidRDefault="009A4012"/>
        </w:tc>
      </w:tr>
      <w:tr w:rsidR="009A4012" w:rsidTr="009A4012">
        <w:tc>
          <w:tcPr>
            <w:tcW w:w="4135" w:type="dxa"/>
          </w:tcPr>
          <w:p w:rsidR="009A4012" w:rsidRPr="00770F22" w:rsidRDefault="00770F22" w:rsidP="00374271">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3. Analyze quantitative and qualitative data using biostatistics, informatics, computer-based programming and software, as appropriate </w:t>
            </w:r>
          </w:p>
        </w:tc>
        <w:tc>
          <w:tcPr>
            <w:tcW w:w="3420" w:type="dxa"/>
          </w:tcPr>
          <w:p w:rsidR="009A4012" w:rsidRDefault="009A4012"/>
        </w:tc>
        <w:tc>
          <w:tcPr>
            <w:tcW w:w="2970" w:type="dxa"/>
          </w:tcPr>
          <w:p w:rsidR="009A4012" w:rsidRDefault="009A4012"/>
        </w:tc>
        <w:tc>
          <w:tcPr>
            <w:tcW w:w="3060" w:type="dxa"/>
          </w:tcPr>
          <w:p w:rsidR="009A4012" w:rsidRDefault="009A4012"/>
        </w:tc>
      </w:tr>
      <w:tr w:rsidR="009A4012" w:rsidTr="009A4012">
        <w:tc>
          <w:tcPr>
            <w:tcW w:w="4135" w:type="dxa"/>
          </w:tcPr>
          <w:p w:rsidR="009A4012" w:rsidRPr="00374271" w:rsidRDefault="00770F22" w:rsidP="00374271">
            <w:pPr>
              <w:pStyle w:val="xdefault"/>
              <w:rPr>
                <w:rFonts w:asciiTheme="minorHAnsi" w:hAnsiTheme="minorHAnsi"/>
                <w:sz w:val="22"/>
                <w:szCs w:val="22"/>
              </w:rPr>
            </w:pPr>
            <w:r w:rsidRPr="00770F22">
              <w:rPr>
                <w:rFonts w:asciiTheme="minorHAnsi" w:hAnsiTheme="minorHAnsi"/>
                <w:sz w:val="22"/>
                <w:szCs w:val="22"/>
              </w:rPr>
              <w:t xml:space="preserve">4. Interpret results of data analysis for public health research, policy or practice </w:t>
            </w:r>
          </w:p>
        </w:tc>
        <w:tc>
          <w:tcPr>
            <w:tcW w:w="3420" w:type="dxa"/>
          </w:tcPr>
          <w:p w:rsidR="009A4012" w:rsidRDefault="009A4012"/>
        </w:tc>
        <w:tc>
          <w:tcPr>
            <w:tcW w:w="2970" w:type="dxa"/>
          </w:tcPr>
          <w:p w:rsidR="009A4012" w:rsidRDefault="009A4012"/>
        </w:tc>
        <w:tc>
          <w:tcPr>
            <w:tcW w:w="3060" w:type="dxa"/>
          </w:tcPr>
          <w:p w:rsidR="009A4012" w:rsidRDefault="009A4012"/>
        </w:tc>
      </w:tr>
      <w:tr w:rsidR="00770F22" w:rsidTr="003361A5">
        <w:tc>
          <w:tcPr>
            <w:tcW w:w="13585" w:type="dxa"/>
            <w:gridSpan w:val="4"/>
            <w:shd w:val="clear" w:color="auto" w:fill="D0CECE" w:themeFill="background2" w:themeFillShade="E6"/>
          </w:tcPr>
          <w:p w:rsidR="00770F22" w:rsidRPr="003361A5" w:rsidRDefault="00770F22">
            <w:r w:rsidRPr="003361A5">
              <w:rPr>
                <w:rFonts w:eastAsia="Times New Roman" w:cs="Arial"/>
                <w:color w:val="000000"/>
              </w:rPr>
              <w:t xml:space="preserve">Public Health &amp; Health Care Systems </w:t>
            </w:r>
          </w:p>
        </w:tc>
      </w:tr>
      <w:tr w:rsidR="00D20DC6" w:rsidTr="009A4012">
        <w:tc>
          <w:tcPr>
            <w:tcW w:w="4135" w:type="dxa"/>
          </w:tcPr>
          <w:p w:rsidR="00D20DC6" w:rsidRPr="00374271" w:rsidRDefault="00770F22" w:rsidP="00374271">
            <w:pPr>
              <w:spacing w:after="2"/>
              <w:rPr>
                <w:rFonts w:eastAsia="Times New Roman" w:cs="Times New Roman"/>
              </w:rPr>
            </w:pPr>
            <w:r w:rsidRPr="00770F22">
              <w:rPr>
                <w:rFonts w:eastAsia="Times New Roman" w:cs="Arial"/>
                <w:color w:val="000000"/>
              </w:rPr>
              <w:t>5. Compare the organization, structure and function of health care, public health and regulatory systems across n</w:t>
            </w:r>
            <w:r w:rsidR="00374271">
              <w:rPr>
                <w:rFonts w:eastAsia="Times New Roman" w:cs="Arial"/>
                <w:color w:val="000000"/>
              </w:rPr>
              <w:t>ational and international settin</w:t>
            </w:r>
            <w:r w:rsidRPr="00770F22">
              <w:rPr>
                <w:rFonts w:eastAsia="Times New Roman" w:cs="Arial"/>
                <w:color w:val="000000"/>
              </w:rPr>
              <w:t xml:space="preserve">gs </w:t>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Pr="00770F22" w:rsidRDefault="00770F22" w:rsidP="00D20DC6">
            <w:pPr>
              <w:rPr>
                <w:rFonts w:eastAsia="Times New Roman" w:cs="Times New Roman"/>
              </w:rPr>
            </w:pPr>
            <w:r w:rsidRPr="00770F22">
              <w:rPr>
                <w:rFonts w:eastAsia="Times New Roman" w:cs="Arial"/>
                <w:color w:val="000000"/>
              </w:rPr>
              <w:t xml:space="preserve">6. Discuss the means by which structural bias, social inequities and racism undermine health and create challenges to achieving health equity at organizational, community and societal levels </w:t>
            </w:r>
          </w:p>
        </w:tc>
        <w:tc>
          <w:tcPr>
            <w:tcW w:w="3420" w:type="dxa"/>
          </w:tcPr>
          <w:p w:rsidR="00D20DC6" w:rsidRDefault="00D20DC6"/>
        </w:tc>
        <w:tc>
          <w:tcPr>
            <w:tcW w:w="2970" w:type="dxa"/>
          </w:tcPr>
          <w:p w:rsidR="00D20DC6" w:rsidRDefault="00D20DC6"/>
        </w:tc>
        <w:tc>
          <w:tcPr>
            <w:tcW w:w="3060" w:type="dxa"/>
          </w:tcPr>
          <w:p w:rsidR="00D20DC6" w:rsidRDefault="00D20DC6"/>
        </w:tc>
      </w:tr>
      <w:tr w:rsidR="00770F22" w:rsidTr="003361A5">
        <w:tc>
          <w:tcPr>
            <w:tcW w:w="13585" w:type="dxa"/>
            <w:gridSpan w:val="4"/>
            <w:shd w:val="clear" w:color="auto" w:fill="D0CECE" w:themeFill="background2" w:themeFillShade="E6"/>
          </w:tcPr>
          <w:p w:rsidR="00770F22" w:rsidRPr="003361A5" w:rsidRDefault="00770F22">
            <w:r w:rsidRPr="003361A5">
              <w:rPr>
                <w:rFonts w:eastAsia="Times New Roman" w:cs="Arial"/>
                <w:color w:val="000000"/>
              </w:rPr>
              <w:t xml:space="preserve">Planning &amp; Management to Promote Health </w:t>
            </w:r>
          </w:p>
        </w:tc>
      </w:tr>
      <w:tr w:rsidR="00D20DC6" w:rsidTr="009A4012">
        <w:tc>
          <w:tcPr>
            <w:tcW w:w="4135" w:type="dxa"/>
          </w:tcPr>
          <w:p w:rsidR="00D20DC6" w:rsidRPr="00770F22" w:rsidRDefault="00770F22" w:rsidP="00770F22">
            <w:pPr>
              <w:spacing w:after="13"/>
              <w:rPr>
                <w:rFonts w:eastAsia="Times New Roman" w:cs="Times New Roman"/>
              </w:rPr>
            </w:pPr>
            <w:r w:rsidRPr="00770F22">
              <w:rPr>
                <w:rFonts w:eastAsia="Times New Roman" w:cs="Arial"/>
                <w:color w:val="000000"/>
              </w:rPr>
              <w:t xml:space="preserve">7. Assess population needs, assets and capacities that affect communities’ health </w:t>
            </w:r>
          </w:p>
        </w:tc>
        <w:tc>
          <w:tcPr>
            <w:tcW w:w="3420" w:type="dxa"/>
          </w:tcPr>
          <w:p w:rsidR="00D20DC6" w:rsidRPr="00770F22" w:rsidRDefault="00D20DC6"/>
        </w:tc>
        <w:tc>
          <w:tcPr>
            <w:tcW w:w="2970" w:type="dxa"/>
          </w:tcPr>
          <w:p w:rsidR="00D20DC6" w:rsidRPr="00770F22" w:rsidRDefault="00D20DC6"/>
        </w:tc>
        <w:tc>
          <w:tcPr>
            <w:tcW w:w="3060" w:type="dxa"/>
          </w:tcPr>
          <w:p w:rsidR="00D20DC6" w:rsidRPr="00770F22" w:rsidRDefault="00D20DC6"/>
        </w:tc>
      </w:tr>
      <w:tr w:rsidR="00D20DC6" w:rsidTr="009A4012">
        <w:tc>
          <w:tcPr>
            <w:tcW w:w="4135" w:type="dxa"/>
          </w:tcPr>
          <w:p w:rsidR="00D20DC6" w:rsidRPr="00770F22" w:rsidRDefault="00770F22" w:rsidP="00770F22">
            <w:pPr>
              <w:spacing w:after="13"/>
              <w:rPr>
                <w:rFonts w:eastAsia="Times New Roman" w:cs="Times New Roman"/>
              </w:rPr>
            </w:pPr>
            <w:r w:rsidRPr="00770F22">
              <w:rPr>
                <w:rFonts w:eastAsia="Times New Roman" w:cs="Arial"/>
                <w:color w:val="000000"/>
              </w:rPr>
              <w:t xml:space="preserve">8. Apply awareness of cultural values and practices to the design or implementation of public health policies or programs </w:t>
            </w:r>
          </w:p>
        </w:tc>
        <w:tc>
          <w:tcPr>
            <w:tcW w:w="3420" w:type="dxa"/>
          </w:tcPr>
          <w:p w:rsidR="00D20DC6" w:rsidRPr="00770F22" w:rsidRDefault="00D20DC6"/>
        </w:tc>
        <w:tc>
          <w:tcPr>
            <w:tcW w:w="2970" w:type="dxa"/>
          </w:tcPr>
          <w:p w:rsidR="00D20DC6" w:rsidRPr="00770F22" w:rsidRDefault="00D20DC6"/>
        </w:tc>
        <w:tc>
          <w:tcPr>
            <w:tcW w:w="3060" w:type="dxa"/>
          </w:tcPr>
          <w:p w:rsidR="00D20DC6" w:rsidRPr="00770F22" w:rsidRDefault="00D20DC6"/>
        </w:tc>
      </w:tr>
      <w:tr w:rsidR="00D20DC6" w:rsidTr="009A4012">
        <w:tc>
          <w:tcPr>
            <w:tcW w:w="4135" w:type="dxa"/>
          </w:tcPr>
          <w:p w:rsidR="00D20DC6" w:rsidRPr="00770F22" w:rsidRDefault="00770F22" w:rsidP="00770F22">
            <w:pPr>
              <w:spacing w:after="13"/>
              <w:rPr>
                <w:rFonts w:eastAsia="Times New Roman" w:cs="Times New Roman"/>
              </w:rPr>
            </w:pPr>
            <w:r w:rsidRPr="00770F22">
              <w:rPr>
                <w:rFonts w:eastAsia="Times New Roman" w:cs="Arial"/>
                <w:color w:val="000000"/>
              </w:rPr>
              <w:t xml:space="preserve">9. Design a population-based policy, program, project or intervention </w:t>
            </w:r>
          </w:p>
        </w:tc>
        <w:tc>
          <w:tcPr>
            <w:tcW w:w="3420" w:type="dxa"/>
          </w:tcPr>
          <w:p w:rsidR="00D20DC6" w:rsidRPr="00770F22" w:rsidRDefault="00D20DC6"/>
        </w:tc>
        <w:tc>
          <w:tcPr>
            <w:tcW w:w="2970" w:type="dxa"/>
          </w:tcPr>
          <w:p w:rsidR="00D20DC6" w:rsidRPr="00770F22" w:rsidRDefault="00D20DC6"/>
        </w:tc>
        <w:tc>
          <w:tcPr>
            <w:tcW w:w="3060" w:type="dxa"/>
          </w:tcPr>
          <w:p w:rsidR="00D20DC6" w:rsidRPr="00770F22" w:rsidRDefault="00D20DC6"/>
        </w:tc>
      </w:tr>
      <w:tr w:rsidR="00D20DC6" w:rsidTr="009A4012">
        <w:tc>
          <w:tcPr>
            <w:tcW w:w="4135" w:type="dxa"/>
          </w:tcPr>
          <w:p w:rsidR="00D20DC6" w:rsidRPr="00770F22" w:rsidRDefault="00770F22" w:rsidP="00770F22">
            <w:pPr>
              <w:spacing w:after="13"/>
              <w:rPr>
                <w:rFonts w:eastAsia="Times New Roman" w:cs="Times New Roman"/>
              </w:rPr>
            </w:pPr>
            <w:r w:rsidRPr="00770F22">
              <w:rPr>
                <w:rFonts w:eastAsia="Times New Roman" w:cs="Arial"/>
                <w:color w:val="000000"/>
              </w:rPr>
              <w:lastRenderedPageBreak/>
              <w:t xml:space="preserve">10. Explain basic principles and tools of budget and resource management </w:t>
            </w:r>
          </w:p>
        </w:tc>
        <w:tc>
          <w:tcPr>
            <w:tcW w:w="3420" w:type="dxa"/>
          </w:tcPr>
          <w:p w:rsidR="00D20DC6" w:rsidRPr="00770F22" w:rsidRDefault="00D20DC6"/>
        </w:tc>
        <w:tc>
          <w:tcPr>
            <w:tcW w:w="2970" w:type="dxa"/>
          </w:tcPr>
          <w:p w:rsidR="00D20DC6" w:rsidRPr="00770F22" w:rsidRDefault="00D20DC6"/>
        </w:tc>
        <w:tc>
          <w:tcPr>
            <w:tcW w:w="3060" w:type="dxa"/>
          </w:tcPr>
          <w:p w:rsidR="00D20DC6" w:rsidRPr="00770F22" w:rsidRDefault="00D20DC6"/>
        </w:tc>
      </w:tr>
      <w:tr w:rsidR="00D20DC6" w:rsidTr="009A4012">
        <w:tc>
          <w:tcPr>
            <w:tcW w:w="4135" w:type="dxa"/>
          </w:tcPr>
          <w:p w:rsidR="00D20DC6" w:rsidRPr="00770F22" w:rsidRDefault="00770F22" w:rsidP="00D20DC6">
            <w:pPr>
              <w:rPr>
                <w:rFonts w:eastAsia="Times New Roman" w:cs="Times New Roman"/>
              </w:rPr>
            </w:pPr>
            <w:r w:rsidRPr="00770F22">
              <w:rPr>
                <w:rFonts w:eastAsia="Times New Roman" w:cs="Arial"/>
                <w:color w:val="000000"/>
              </w:rPr>
              <w:t xml:space="preserve">11. Select methods to evaluate public health programs </w:t>
            </w:r>
          </w:p>
        </w:tc>
        <w:tc>
          <w:tcPr>
            <w:tcW w:w="3420" w:type="dxa"/>
          </w:tcPr>
          <w:p w:rsidR="00D20DC6" w:rsidRPr="00770F22" w:rsidRDefault="00D20DC6"/>
        </w:tc>
        <w:tc>
          <w:tcPr>
            <w:tcW w:w="2970" w:type="dxa"/>
          </w:tcPr>
          <w:p w:rsidR="00D20DC6" w:rsidRPr="00770F22" w:rsidRDefault="00D20DC6"/>
        </w:tc>
        <w:tc>
          <w:tcPr>
            <w:tcW w:w="3060" w:type="dxa"/>
          </w:tcPr>
          <w:p w:rsidR="00D20DC6" w:rsidRPr="00770F22" w:rsidRDefault="00D20DC6"/>
        </w:tc>
      </w:tr>
      <w:tr w:rsidR="00770F22" w:rsidTr="003361A5">
        <w:tc>
          <w:tcPr>
            <w:tcW w:w="13585" w:type="dxa"/>
            <w:gridSpan w:val="4"/>
            <w:shd w:val="clear" w:color="auto" w:fill="D0CECE" w:themeFill="background2" w:themeFillShade="E6"/>
          </w:tcPr>
          <w:p w:rsidR="00770F22" w:rsidRPr="003361A5" w:rsidRDefault="00770F22">
            <w:r w:rsidRPr="003361A5">
              <w:t xml:space="preserve">Policy in Public Health </w:t>
            </w:r>
          </w:p>
        </w:tc>
      </w:tr>
      <w:tr w:rsidR="00D20DC6" w:rsidTr="009A4012">
        <w:tc>
          <w:tcPr>
            <w:tcW w:w="4135" w:type="dxa"/>
          </w:tcPr>
          <w:p w:rsidR="00D20DC6" w:rsidRDefault="00770F22" w:rsidP="00D20DC6">
            <w:r w:rsidRPr="00770F22">
              <w:t xml:space="preserve">12. Discuss multiple dimensions of the policy-making process, including the roles of ethics and evidence </w:t>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770F22" w:rsidP="00D20DC6">
            <w:r w:rsidRPr="00770F22">
              <w:t>13. Propose strategies to identify stakeholders and build coalitions and partnerships for</w:t>
            </w:r>
            <w:r>
              <w:t xml:space="preserve"> influencing public health outco</w:t>
            </w:r>
            <w:r w:rsidRPr="00770F22">
              <w:t xml:space="preserve">mes </w:t>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770F22">
            <w:r w:rsidRPr="00770F22">
              <w:t xml:space="preserve">14. Advocate for political, social or economic policies and programs that will improve health in diverse populations </w:t>
            </w:r>
          </w:p>
        </w:tc>
        <w:tc>
          <w:tcPr>
            <w:tcW w:w="3420" w:type="dxa"/>
          </w:tcPr>
          <w:p w:rsidR="00D20DC6" w:rsidRDefault="00D20DC6"/>
        </w:tc>
        <w:tc>
          <w:tcPr>
            <w:tcW w:w="2970" w:type="dxa"/>
          </w:tcPr>
          <w:p w:rsidR="00D20DC6" w:rsidRDefault="00D20DC6"/>
        </w:tc>
        <w:tc>
          <w:tcPr>
            <w:tcW w:w="3060" w:type="dxa"/>
          </w:tcPr>
          <w:p w:rsidR="00D20DC6" w:rsidRDefault="00D20DC6"/>
        </w:tc>
      </w:tr>
      <w:tr w:rsidR="00D20DC6" w:rsidTr="009A4012">
        <w:tc>
          <w:tcPr>
            <w:tcW w:w="4135" w:type="dxa"/>
          </w:tcPr>
          <w:p w:rsidR="00D20DC6" w:rsidRDefault="00770F22">
            <w:r w:rsidRPr="00770F22">
              <w:t xml:space="preserve">15. Evaluate policies for their impact on public health and health equity </w:t>
            </w:r>
          </w:p>
        </w:tc>
        <w:tc>
          <w:tcPr>
            <w:tcW w:w="3420" w:type="dxa"/>
          </w:tcPr>
          <w:p w:rsidR="00D20DC6" w:rsidRDefault="00D20DC6"/>
        </w:tc>
        <w:tc>
          <w:tcPr>
            <w:tcW w:w="2970" w:type="dxa"/>
          </w:tcPr>
          <w:p w:rsidR="00D20DC6" w:rsidRDefault="00D20DC6"/>
        </w:tc>
        <w:tc>
          <w:tcPr>
            <w:tcW w:w="3060" w:type="dxa"/>
          </w:tcPr>
          <w:p w:rsidR="00D20DC6" w:rsidRDefault="00D20DC6"/>
        </w:tc>
      </w:tr>
      <w:tr w:rsidR="00374271" w:rsidTr="003361A5">
        <w:tc>
          <w:tcPr>
            <w:tcW w:w="13585" w:type="dxa"/>
            <w:gridSpan w:val="4"/>
            <w:shd w:val="clear" w:color="auto" w:fill="D0CECE" w:themeFill="background2" w:themeFillShade="E6"/>
          </w:tcPr>
          <w:p w:rsidR="00374271" w:rsidRPr="003361A5" w:rsidRDefault="00374271">
            <w:r w:rsidRPr="003361A5">
              <w:t xml:space="preserve">Leadership </w:t>
            </w:r>
          </w:p>
        </w:tc>
      </w:tr>
      <w:tr w:rsidR="00770F22" w:rsidTr="009A4012">
        <w:tc>
          <w:tcPr>
            <w:tcW w:w="4135" w:type="dxa"/>
          </w:tcPr>
          <w:p w:rsidR="00770F22" w:rsidRPr="00770F22" w:rsidRDefault="00374271">
            <w:r w:rsidRPr="00374271">
              <w:t xml:space="preserve">16. Apply principles of leadership, governance and management, which include creating a vision, empowering others, fostering collaboration and guiding decision making </w:t>
            </w:r>
          </w:p>
        </w:tc>
        <w:tc>
          <w:tcPr>
            <w:tcW w:w="3420" w:type="dxa"/>
          </w:tcPr>
          <w:p w:rsidR="00770F22" w:rsidRDefault="00770F22"/>
        </w:tc>
        <w:tc>
          <w:tcPr>
            <w:tcW w:w="2970" w:type="dxa"/>
          </w:tcPr>
          <w:p w:rsidR="00770F22" w:rsidRDefault="00770F22"/>
        </w:tc>
        <w:tc>
          <w:tcPr>
            <w:tcW w:w="3060" w:type="dxa"/>
          </w:tcPr>
          <w:p w:rsidR="00770F22" w:rsidRDefault="00770F22"/>
        </w:tc>
      </w:tr>
      <w:tr w:rsidR="00770F22" w:rsidTr="009A4012">
        <w:tc>
          <w:tcPr>
            <w:tcW w:w="4135" w:type="dxa"/>
          </w:tcPr>
          <w:p w:rsidR="00770F22" w:rsidRPr="00770F22" w:rsidRDefault="00374271">
            <w:r w:rsidRPr="00374271">
              <w:t xml:space="preserve">17. Apply negotiation and mediation skills to address organizational or community challenges </w:t>
            </w:r>
          </w:p>
        </w:tc>
        <w:tc>
          <w:tcPr>
            <w:tcW w:w="3420" w:type="dxa"/>
          </w:tcPr>
          <w:p w:rsidR="00770F22" w:rsidRDefault="00770F22"/>
        </w:tc>
        <w:tc>
          <w:tcPr>
            <w:tcW w:w="2970" w:type="dxa"/>
          </w:tcPr>
          <w:p w:rsidR="00770F22" w:rsidRDefault="00770F22"/>
        </w:tc>
        <w:tc>
          <w:tcPr>
            <w:tcW w:w="3060" w:type="dxa"/>
          </w:tcPr>
          <w:p w:rsidR="00770F22" w:rsidRDefault="00770F22"/>
        </w:tc>
      </w:tr>
      <w:tr w:rsidR="00374271" w:rsidTr="003361A5">
        <w:tc>
          <w:tcPr>
            <w:tcW w:w="13585" w:type="dxa"/>
            <w:gridSpan w:val="4"/>
            <w:shd w:val="clear" w:color="auto" w:fill="D0CECE" w:themeFill="background2" w:themeFillShade="E6"/>
          </w:tcPr>
          <w:p w:rsidR="00374271" w:rsidRPr="003361A5" w:rsidRDefault="00374271">
            <w:r w:rsidRPr="003361A5">
              <w:t xml:space="preserve">Communication </w:t>
            </w:r>
          </w:p>
        </w:tc>
      </w:tr>
      <w:tr w:rsidR="00770F22" w:rsidTr="009A4012">
        <w:tc>
          <w:tcPr>
            <w:tcW w:w="4135" w:type="dxa"/>
          </w:tcPr>
          <w:p w:rsidR="00770F22" w:rsidRPr="00770F22" w:rsidRDefault="00374271">
            <w:r w:rsidRPr="00374271">
              <w:t xml:space="preserve">18. Select communication strategies for different audiences and sectors </w:t>
            </w:r>
          </w:p>
        </w:tc>
        <w:tc>
          <w:tcPr>
            <w:tcW w:w="3420" w:type="dxa"/>
          </w:tcPr>
          <w:p w:rsidR="00770F22" w:rsidRDefault="00770F22"/>
        </w:tc>
        <w:tc>
          <w:tcPr>
            <w:tcW w:w="2970" w:type="dxa"/>
          </w:tcPr>
          <w:p w:rsidR="00770F22" w:rsidRDefault="00770F22"/>
        </w:tc>
        <w:tc>
          <w:tcPr>
            <w:tcW w:w="3060" w:type="dxa"/>
          </w:tcPr>
          <w:p w:rsidR="00770F22" w:rsidRDefault="00770F22"/>
        </w:tc>
      </w:tr>
      <w:tr w:rsidR="00770F22" w:rsidTr="009A4012">
        <w:tc>
          <w:tcPr>
            <w:tcW w:w="4135" w:type="dxa"/>
          </w:tcPr>
          <w:p w:rsidR="00770F22" w:rsidRPr="00770F22" w:rsidRDefault="00374271">
            <w:r w:rsidRPr="00374271">
              <w:t xml:space="preserve">19. Communicate audience-appropriate public health content, both in writing and through oral presentation </w:t>
            </w:r>
          </w:p>
        </w:tc>
        <w:tc>
          <w:tcPr>
            <w:tcW w:w="3420" w:type="dxa"/>
          </w:tcPr>
          <w:p w:rsidR="00770F22" w:rsidRDefault="00770F22"/>
        </w:tc>
        <w:tc>
          <w:tcPr>
            <w:tcW w:w="2970" w:type="dxa"/>
          </w:tcPr>
          <w:p w:rsidR="00770F22" w:rsidRDefault="00770F22"/>
        </w:tc>
        <w:tc>
          <w:tcPr>
            <w:tcW w:w="3060" w:type="dxa"/>
          </w:tcPr>
          <w:p w:rsidR="00770F22" w:rsidRDefault="00770F22"/>
        </w:tc>
      </w:tr>
      <w:tr w:rsidR="00770F22" w:rsidTr="009A4012">
        <w:tc>
          <w:tcPr>
            <w:tcW w:w="4135" w:type="dxa"/>
          </w:tcPr>
          <w:p w:rsidR="00770F22" w:rsidRPr="00770F22" w:rsidRDefault="00374271">
            <w:r w:rsidRPr="00374271">
              <w:lastRenderedPageBreak/>
              <w:t xml:space="preserve">20. Describe the importance of cultural competence in communicating public health content </w:t>
            </w:r>
          </w:p>
        </w:tc>
        <w:tc>
          <w:tcPr>
            <w:tcW w:w="3420" w:type="dxa"/>
          </w:tcPr>
          <w:p w:rsidR="00770F22" w:rsidRDefault="00770F22"/>
        </w:tc>
        <w:tc>
          <w:tcPr>
            <w:tcW w:w="2970" w:type="dxa"/>
          </w:tcPr>
          <w:p w:rsidR="00770F22" w:rsidRDefault="00770F22"/>
        </w:tc>
        <w:tc>
          <w:tcPr>
            <w:tcW w:w="3060" w:type="dxa"/>
          </w:tcPr>
          <w:p w:rsidR="00770F22" w:rsidRDefault="00770F22"/>
        </w:tc>
      </w:tr>
      <w:tr w:rsidR="00374271" w:rsidTr="003361A5">
        <w:tc>
          <w:tcPr>
            <w:tcW w:w="13585" w:type="dxa"/>
            <w:gridSpan w:val="4"/>
            <w:shd w:val="clear" w:color="auto" w:fill="D0CECE" w:themeFill="background2" w:themeFillShade="E6"/>
          </w:tcPr>
          <w:p w:rsidR="00374271" w:rsidRPr="003361A5" w:rsidRDefault="00090A88">
            <w:r>
              <w:t xml:space="preserve">Interprofessional Practice:  </w:t>
            </w:r>
            <w:r w:rsidRPr="00090A88">
              <w:rPr>
                <w:rFonts w:ascii="Arial" w:eastAsia="Times New Roman" w:hAnsi="Arial" w:cs="Arial"/>
                <w:color w:val="000000"/>
                <w:sz w:val="18"/>
                <w:szCs w:val="18"/>
              </w:rPr>
              <w:t>“interprofessional” refers to engagement with professionals outside of public health (eg, architects, nurses), rather than to engagement with individuals from other public health disciplines (eg, biostatisticians, health promotion specialists).</w:t>
            </w:r>
          </w:p>
        </w:tc>
      </w:tr>
      <w:tr w:rsidR="00770F22" w:rsidTr="009A4012">
        <w:tc>
          <w:tcPr>
            <w:tcW w:w="4135" w:type="dxa"/>
          </w:tcPr>
          <w:p w:rsidR="00770F22" w:rsidRPr="00770F22" w:rsidRDefault="00374271">
            <w:r w:rsidRPr="00374271">
              <w:t xml:space="preserve">21. Perform effectively on interprofessional teams </w:t>
            </w:r>
          </w:p>
        </w:tc>
        <w:tc>
          <w:tcPr>
            <w:tcW w:w="3420" w:type="dxa"/>
          </w:tcPr>
          <w:p w:rsidR="00770F22" w:rsidRDefault="00770F22"/>
        </w:tc>
        <w:tc>
          <w:tcPr>
            <w:tcW w:w="2970" w:type="dxa"/>
          </w:tcPr>
          <w:p w:rsidR="00770F22" w:rsidRDefault="00770F22"/>
        </w:tc>
        <w:tc>
          <w:tcPr>
            <w:tcW w:w="3060" w:type="dxa"/>
          </w:tcPr>
          <w:p w:rsidR="00770F22" w:rsidRDefault="00770F22"/>
        </w:tc>
      </w:tr>
      <w:tr w:rsidR="00374271" w:rsidTr="003361A5">
        <w:tc>
          <w:tcPr>
            <w:tcW w:w="13585" w:type="dxa"/>
            <w:gridSpan w:val="4"/>
            <w:shd w:val="clear" w:color="auto" w:fill="D0CECE" w:themeFill="background2" w:themeFillShade="E6"/>
          </w:tcPr>
          <w:p w:rsidR="00374271" w:rsidRPr="003361A5" w:rsidRDefault="00374271">
            <w:r w:rsidRPr="003361A5">
              <w:t xml:space="preserve">Systems Thinking </w:t>
            </w:r>
          </w:p>
        </w:tc>
      </w:tr>
      <w:tr w:rsidR="00374271" w:rsidTr="00090A88">
        <w:tc>
          <w:tcPr>
            <w:tcW w:w="4135" w:type="dxa"/>
            <w:tcBorders>
              <w:bottom w:val="single" w:sz="4" w:space="0" w:color="auto"/>
            </w:tcBorders>
          </w:tcPr>
          <w:p w:rsidR="00374271" w:rsidRPr="00374271" w:rsidRDefault="00374271">
            <w:r w:rsidRPr="00374271">
              <w:t>22. Apply system</w:t>
            </w:r>
            <w:r>
              <w:t>s thinking tools to a public hea</w:t>
            </w:r>
            <w:r w:rsidRPr="00374271">
              <w:t xml:space="preserve">lth issue </w:t>
            </w:r>
          </w:p>
        </w:tc>
        <w:tc>
          <w:tcPr>
            <w:tcW w:w="3420" w:type="dxa"/>
            <w:tcBorders>
              <w:bottom w:val="single" w:sz="4" w:space="0" w:color="auto"/>
            </w:tcBorders>
          </w:tcPr>
          <w:p w:rsidR="00374271" w:rsidRDefault="00374271"/>
        </w:tc>
        <w:tc>
          <w:tcPr>
            <w:tcW w:w="2970" w:type="dxa"/>
            <w:tcBorders>
              <w:bottom w:val="single" w:sz="4" w:space="0" w:color="auto"/>
            </w:tcBorders>
          </w:tcPr>
          <w:p w:rsidR="00374271" w:rsidRDefault="00374271"/>
        </w:tc>
        <w:tc>
          <w:tcPr>
            <w:tcW w:w="3060" w:type="dxa"/>
            <w:tcBorders>
              <w:bottom w:val="single" w:sz="4" w:space="0" w:color="auto"/>
            </w:tcBorders>
          </w:tcPr>
          <w:p w:rsidR="00374271" w:rsidRDefault="00374271"/>
        </w:tc>
      </w:tr>
    </w:tbl>
    <w:tbl>
      <w:tblPr>
        <w:tblpPr w:leftFromText="180" w:rightFromText="180" w:vertAnchor="text" w:horzAnchor="margin" w:tblpY="1"/>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420"/>
        <w:gridCol w:w="2970"/>
        <w:gridCol w:w="3060"/>
      </w:tblGrid>
      <w:tr w:rsidR="00090A88" w:rsidRPr="00A35A0B" w:rsidTr="00090A88">
        <w:trPr>
          <w:trHeight w:val="350"/>
        </w:trPr>
        <w:tc>
          <w:tcPr>
            <w:tcW w:w="13585" w:type="dxa"/>
            <w:gridSpan w:val="4"/>
            <w:tcBorders>
              <w:bottom w:val="single" w:sz="4" w:space="0" w:color="auto"/>
            </w:tcBorders>
            <w:shd w:val="pct30" w:color="auto" w:fill="auto"/>
            <w:hideMark/>
          </w:tcPr>
          <w:p w:rsidR="00090A88" w:rsidRPr="00A35A0B" w:rsidRDefault="00090A88" w:rsidP="00090A8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Foundational Knowledge of Public Health:  NOTE: These are not competencies; however, we have to demonstrate that our students have this foundational</w:t>
            </w:r>
            <w:r w:rsidR="00CF3724">
              <w:rPr>
                <w:rFonts w:ascii="Arial" w:eastAsia="Times New Roman" w:hAnsi="Arial" w:cs="Arial"/>
                <w:color w:val="000000"/>
                <w:sz w:val="20"/>
                <w:szCs w:val="20"/>
              </w:rPr>
              <w:t xml:space="preserve"> knowledge, which can be obtained through our required courses.</w:t>
            </w:r>
          </w:p>
        </w:tc>
      </w:tr>
      <w:tr w:rsidR="00090A88" w:rsidRPr="00090A88" w:rsidTr="00090A88">
        <w:trPr>
          <w:trHeight w:val="305"/>
        </w:trPr>
        <w:tc>
          <w:tcPr>
            <w:tcW w:w="13585" w:type="dxa"/>
            <w:gridSpan w:val="4"/>
            <w:shd w:val="pct15" w:color="auto" w:fill="auto"/>
            <w:hideMark/>
          </w:tcPr>
          <w:p w:rsidR="00090A88" w:rsidRDefault="00090A88" w:rsidP="00090A88">
            <w:pPr>
              <w:spacing w:after="0" w:line="240" w:lineRule="auto"/>
              <w:rPr>
                <w:rFonts w:ascii="Arial" w:eastAsia="Times New Roman" w:hAnsi="Arial" w:cs="Arial"/>
                <w:color w:val="000000"/>
                <w:sz w:val="20"/>
                <w:szCs w:val="20"/>
              </w:rPr>
            </w:pPr>
          </w:p>
          <w:p w:rsid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Profession &amp; Science of Public Health </w:t>
            </w:r>
          </w:p>
        </w:tc>
      </w:tr>
      <w:tr w:rsidR="00090A88" w:rsidRPr="00090A88" w:rsidTr="00090A88">
        <w:trPr>
          <w:trHeight w:val="557"/>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1. Explain public health history, philosophy and values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629"/>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2. Identify the core functions of public health and the 10 Essential Services11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980"/>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3. Explain the role of quantitative and qualitative methods and sciences in describing and assessing a population’s health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791"/>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4. List major causes and trends of morbidity and mortality in the US or other community relevant to the school or program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800"/>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5. Discuss the science of primary, secondary and tertiary prevention in population health, including health promotion, screening, etc.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58"/>
        </w:trPr>
        <w:tc>
          <w:tcPr>
            <w:tcW w:w="4135" w:type="dxa"/>
            <w:tcBorders>
              <w:bottom w:val="single" w:sz="4" w:space="0" w:color="auto"/>
            </w:tcBorders>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6. Explain the critical importance of evidence in advancing public health knowledge </w:t>
            </w:r>
          </w:p>
        </w:tc>
        <w:tc>
          <w:tcPr>
            <w:tcW w:w="3420" w:type="dxa"/>
            <w:tcBorders>
              <w:bottom w:val="single" w:sz="4" w:space="0" w:color="auto"/>
            </w:tcBorders>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Borders>
              <w:bottom w:val="single" w:sz="4" w:space="0" w:color="auto"/>
            </w:tcBorders>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Borders>
              <w:bottom w:val="single" w:sz="4" w:space="0" w:color="auto"/>
            </w:tcBorders>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260"/>
        </w:trPr>
        <w:tc>
          <w:tcPr>
            <w:tcW w:w="13585" w:type="dxa"/>
            <w:gridSpan w:val="4"/>
            <w:shd w:val="pct15"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Factors Related to Human Health </w:t>
            </w:r>
          </w:p>
        </w:tc>
      </w:tr>
      <w:tr w:rsidR="00090A88" w:rsidRPr="00090A88" w:rsidTr="00090A88">
        <w:trPr>
          <w:trHeight w:val="527"/>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7. Explain effects of environmental factors on a population’s health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536"/>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lastRenderedPageBreak/>
              <w:t xml:space="preserve">8. Explain biological and genetic factors that affect a population’s health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527"/>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9. Explain behavioral and psychological factors that affect a population’s health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977"/>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10. Explain the social, political and economic determinants of health and how they contribute to population health and health inequities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527"/>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11. Explain how globalization affects global burdens of disease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r w:rsidR="00090A88" w:rsidRPr="00090A88" w:rsidTr="00090A88">
        <w:trPr>
          <w:trHeight w:val="977"/>
        </w:trPr>
        <w:tc>
          <w:tcPr>
            <w:tcW w:w="4135" w:type="dxa"/>
            <w:shd w:val="clear" w:color="auto" w:fill="auto"/>
            <w:hideMark/>
          </w:tcPr>
          <w:p w:rsidR="00090A88" w:rsidRPr="00090A88" w:rsidRDefault="00090A88" w:rsidP="00090A88">
            <w:pPr>
              <w:spacing w:after="0" w:line="240" w:lineRule="auto"/>
              <w:rPr>
                <w:rFonts w:ascii="Arial" w:eastAsia="Times New Roman" w:hAnsi="Arial" w:cs="Arial"/>
                <w:color w:val="000000"/>
                <w:sz w:val="20"/>
                <w:szCs w:val="20"/>
              </w:rPr>
            </w:pPr>
            <w:r w:rsidRPr="00090A88">
              <w:rPr>
                <w:rFonts w:ascii="Arial" w:eastAsia="Times New Roman" w:hAnsi="Arial" w:cs="Arial"/>
                <w:color w:val="000000"/>
                <w:sz w:val="20"/>
                <w:szCs w:val="20"/>
              </w:rPr>
              <w:t xml:space="preserve">12. Explain an ecological perspective on the connections among human health, animal health and ecosystem health (eg, One Health) </w:t>
            </w:r>
          </w:p>
        </w:tc>
        <w:tc>
          <w:tcPr>
            <w:tcW w:w="342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2970" w:type="dxa"/>
          </w:tcPr>
          <w:p w:rsidR="00090A88" w:rsidRPr="00090A88" w:rsidRDefault="00090A88" w:rsidP="00090A88">
            <w:pPr>
              <w:spacing w:after="0" w:line="240" w:lineRule="auto"/>
              <w:rPr>
                <w:rFonts w:ascii="Arial" w:eastAsia="Times New Roman" w:hAnsi="Arial" w:cs="Arial"/>
                <w:color w:val="000000"/>
                <w:sz w:val="20"/>
                <w:szCs w:val="20"/>
              </w:rPr>
            </w:pPr>
          </w:p>
        </w:tc>
        <w:tc>
          <w:tcPr>
            <w:tcW w:w="3060" w:type="dxa"/>
          </w:tcPr>
          <w:p w:rsidR="00090A88" w:rsidRPr="00090A88" w:rsidRDefault="00090A88" w:rsidP="00090A88">
            <w:pPr>
              <w:spacing w:after="0" w:line="240" w:lineRule="auto"/>
              <w:rPr>
                <w:rFonts w:ascii="Arial" w:eastAsia="Times New Roman" w:hAnsi="Arial" w:cs="Arial"/>
                <w:color w:val="000000"/>
                <w:sz w:val="20"/>
                <w:szCs w:val="20"/>
              </w:rPr>
            </w:pPr>
          </w:p>
        </w:tc>
      </w:tr>
    </w:tbl>
    <w:p w:rsidR="00A35A0B" w:rsidRDefault="00A35A0B" w:rsidP="00341144">
      <w:pPr>
        <w:tabs>
          <w:tab w:val="left" w:pos="9510"/>
        </w:tabs>
      </w:pPr>
    </w:p>
    <w:p w:rsidR="00A40277" w:rsidRPr="00A35A0B" w:rsidRDefault="00CF3724" w:rsidP="00A35A0B">
      <w:pPr>
        <w:tabs>
          <w:tab w:val="left" w:pos="4728"/>
        </w:tabs>
      </w:pPr>
      <w:r>
        <w:t>That’s it!  Thanks so much! =)</w:t>
      </w:r>
      <w:bookmarkStart w:id="0" w:name="_GoBack"/>
      <w:bookmarkEnd w:id="0"/>
      <w:r w:rsidR="00A35A0B">
        <w:tab/>
      </w:r>
    </w:p>
    <w:sectPr w:rsidR="00A40277" w:rsidRPr="00A35A0B" w:rsidSect="009A40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59" w:rsidRDefault="00070F59">
      <w:pPr>
        <w:spacing w:after="0" w:line="240" w:lineRule="auto"/>
      </w:pPr>
      <w:r>
        <w:separator/>
      </w:r>
    </w:p>
  </w:endnote>
  <w:endnote w:type="continuationSeparator" w:id="0">
    <w:p w:rsidR="00070F59" w:rsidRDefault="0007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606617"/>
      <w:docPartObj>
        <w:docPartGallery w:val="Page Numbers (Bottom of Page)"/>
        <w:docPartUnique/>
      </w:docPartObj>
    </w:sdtPr>
    <w:sdtEndPr>
      <w:rPr>
        <w:noProof/>
      </w:rPr>
    </w:sdtEndPr>
    <w:sdtContent>
      <w:p w:rsidR="005B7FF7" w:rsidRDefault="005B7FF7">
        <w:pPr>
          <w:pStyle w:val="Footer"/>
          <w:jc w:val="right"/>
        </w:pPr>
        <w:r>
          <w:fldChar w:fldCharType="begin"/>
        </w:r>
        <w:r>
          <w:instrText xml:space="preserve"> PAGE   \* MERGEFORMAT </w:instrText>
        </w:r>
        <w:r>
          <w:fldChar w:fldCharType="separate"/>
        </w:r>
        <w:r w:rsidR="00CF3724">
          <w:rPr>
            <w:noProof/>
          </w:rPr>
          <w:t>4</w:t>
        </w:r>
        <w:r>
          <w:rPr>
            <w:noProof/>
          </w:rPr>
          <w:fldChar w:fldCharType="end"/>
        </w:r>
      </w:p>
    </w:sdtContent>
  </w:sdt>
  <w:p w:rsidR="005B7FF7" w:rsidRDefault="005B7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59" w:rsidRDefault="00070F59">
      <w:pPr>
        <w:spacing w:after="0" w:line="240" w:lineRule="auto"/>
      </w:pPr>
      <w:r>
        <w:separator/>
      </w:r>
    </w:p>
  </w:footnote>
  <w:footnote w:type="continuationSeparator" w:id="0">
    <w:p w:rsidR="00070F59" w:rsidRDefault="00070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79" w:rsidRDefault="005A4C79" w:rsidP="005A4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C79" w:rsidRDefault="005A4C79" w:rsidP="005A4C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E51" w:rsidRDefault="009C3E51">
    <w:pPr>
      <w:pStyle w:val="Header"/>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t xml:space="preserve">                                     </w:t>
    </w:r>
    <w:r>
      <w:rPr>
        <w:rFonts w:asciiTheme="minorHAnsi" w:hAnsiTheme="minorHAnsi"/>
        <w:sz w:val="20"/>
        <w:szCs w:val="20"/>
      </w:rPr>
      <w:tab/>
      <w:t>Course:</w:t>
    </w:r>
  </w:p>
  <w:p w:rsidR="005B7FF7" w:rsidRPr="005B7FF7" w:rsidRDefault="005B7FF7">
    <w:pPr>
      <w:pStyle w:val="Header"/>
      <w:rPr>
        <w:rFonts w:asciiTheme="minorHAnsi" w:hAnsiTheme="minorHAnsi"/>
        <w:sz w:val="20"/>
        <w:szCs w:val="20"/>
      </w:rPr>
    </w:pPr>
    <w:r w:rsidRPr="005B7FF7">
      <w:rPr>
        <w:rFonts w:asciiTheme="minorHAnsi" w:hAnsiTheme="minorHAnsi"/>
        <w:sz w:val="20"/>
        <w:szCs w:val="20"/>
      </w:rPr>
      <w:t>MPH Competency Assessment_CEPH16</w:t>
    </w:r>
  </w:p>
  <w:p w:rsidR="005A4C79" w:rsidRDefault="005A4C79" w:rsidP="005A4C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D724C"/>
    <w:multiLevelType w:val="hybridMultilevel"/>
    <w:tmpl w:val="42D0759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12"/>
    <w:rsid w:val="00070F59"/>
    <w:rsid w:val="00090A88"/>
    <w:rsid w:val="000A1304"/>
    <w:rsid w:val="000A44FB"/>
    <w:rsid w:val="000D440E"/>
    <w:rsid w:val="003361A5"/>
    <w:rsid w:val="00341144"/>
    <w:rsid w:val="003663ED"/>
    <w:rsid w:val="00374271"/>
    <w:rsid w:val="00410229"/>
    <w:rsid w:val="004B0516"/>
    <w:rsid w:val="004E4726"/>
    <w:rsid w:val="00582289"/>
    <w:rsid w:val="005A4C79"/>
    <w:rsid w:val="005B7FF7"/>
    <w:rsid w:val="006C7AE5"/>
    <w:rsid w:val="00770F22"/>
    <w:rsid w:val="007F1236"/>
    <w:rsid w:val="008F3C7A"/>
    <w:rsid w:val="009332FC"/>
    <w:rsid w:val="0096755D"/>
    <w:rsid w:val="00980210"/>
    <w:rsid w:val="009A4012"/>
    <w:rsid w:val="009C3E51"/>
    <w:rsid w:val="00A35A0B"/>
    <w:rsid w:val="00A40277"/>
    <w:rsid w:val="00AD59FF"/>
    <w:rsid w:val="00B030EF"/>
    <w:rsid w:val="00B66B7C"/>
    <w:rsid w:val="00B813AE"/>
    <w:rsid w:val="00C55020"/>
    <w:rsid w:val="00C74691"/>
    <w:rsid w:val="00CF3724"/>
    <w:rsid w:val="00D20DC6"/>
    <w:rsid w:val="00DD153C"/>
    <w:rsid w:val="00E20B65"/>
    <w:rsid w:val="00EE4F71"/>
    <w:rsid w:val="00F41835"/>
    <w:rsid w:val="00F8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017A9-69CC-44D3-895C-F6EB6AC4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65">
    <w:name w:val="Heading 365"/>
    <w:basedOn w:val="Heading1"/>
    <w:next w:val="Heading1"/>
    <w:qFormat/>
    <w:rsid w:val="00410229"/>
    <w:pPr>
      <w:keepNext w:val="0"/>
      <w:keepLines w:val="0"/>
      <w:spacing w:before="60" w:line="240" w:lineRule="auto"/>
    </w:pPr>
    <w:rPr>
      <w:rFonts w:ascii="Arial" w:eastAsia="Times New Roman" w:hAnsi="Arial" w:cs="Times New Roman"/>
      <w:b/>
      <w:color w:val="000000"/>
      <w:sz w:val="24"/>
      <w:szCs w:val="24"/>
    </w:rPr>
  </w:style>
  <w:style w:type="character" w:customStyle="1" w:styleId="Heading1Char">
    <w:name w:val="Heading 1 Char"/>
    <w:basedOn w:val="DefaultParagraphFont"/>
    <w:link w:val="Heading1"/>
    <w:uiPriority w:val="9"/>
    <w:rsid w:val="004102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A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4C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A4C79"/>
    <w:rPr>
      <w:rFonts w:ascii="Times New Roman" w:eastAsia="Times New Roman" w:hAnsi="Times New Roman" w:cs="Times New Roman"/>
      <w:sz w:val="24"/>
      <w:szCs w:val="24"/>
    </w:rPr>
  </w:style>
  <w:style w:type="character" w:styleId="PageNumber">
    <w:name w:val="page number"/>
    <w:basedOn w:val="DefaultParagraphFont"/>
    <w:rsid w:val="005A4C79"/>
  </w:style>
  <w:style w:type="paragraph" w:styleId="Footer">
    <w:name w:val="footer"/>
    <w:basedOn w:val="Normal"/>
    <w:link w:val="FooterChar"/>
    <w:uiPriority w:val="99"/>
    <w:unhideWhenUsed/>
    <w:rsid w:val="00B0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EF"/>
  </w:style>
  <w:style w:type="paragraph" w:customStyle="1" w:styleId="xdefault">
    <w:name w:val="x_default"/>
    <w:basedOn w:val="Normal"/>
    <w:rsid w:val="00770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281">
      <w:bodyDiv w:val="1"/>
      <w:marLeft w:val="0"/>
      <w:marRight w:val="0"/>
      <w:marTop w:val="0"/>
      <w:marBottom w:val="0"/>
      <w:divBdr>
        <w:top w:val="none" w:sz="0" w:space="0" w:color="auto"/>
        <w:left w:val="none" w:sz="0" w:space="0" w:color="auto"/>
        <w:bottom w:val="none" w:sz="0" w:space="0" w:color="auto"/>
        <w:right w:val="none" w:sz="0" w:space="0" w:color="auto"/>
      </w:divBdr>
      <w:divsChild>
        <w:div w:id="1365405137">
          <w:marLeft w:val="0"/>
          <w:marRight w:val="0"/>
          <w:marTop w:val="0"/>
          <w:marBottom w:val="0"/>
          <w:divBdr>
            <w:top w:val="none" w:sz="0" w:space="0" w:color="auto"/>
            <w:left w:val="none" w:sz="0" w:space="0" w:color="auto"/>
            <w:bottom w:val="none" w:sz="0" w:space="0" w:color="auto"/>
            <w:right w:val="none" w:sz="0" w:space="0" w:color="auto"/>
          </w:divBdr>
        </w:div>
        <w:div w:id="279455168">
          <w:marLeft w:val="0"/>
          <w:marRight w:val="0"/>
          <w:marTop w:val="0"/>
          <w:marBottom w:val="13"/>
          <w:divBdr>
            <w:top w:val="none" w:sz="0" w:space="0" w:color="auto"/>
            <w:left w:val="none" w:sz="0" w:space="0" w:color="auto"/>
            <w:bottom w:val="none" w:sz="0" w:space="0" w:color="auto"/>
            <w:right w:val="none" w:sz="0" w:space="0" w:color="auto"/>
          </w:divBdr>
        </w:div>
        <w:div w:id="1454061551">
          <w:marLeft w:val="0"/>
          <w:marRight w:val="0"/>
          <w:marTop w:val="0"/>
          <w:marBottom w:val="13"/>
          <w:divBdr>
            <w:top w:val="none" w:sz="0" w:space="0" w:color="auto"/>
            <w:left w:val="none" w:sz="0" w:space="0" w:color="auto"/>
            <w:bottom w:val="none" w:sz="0" w:space="0" w:color="auto"/>
            <w:right w:val="none" w:sz="0" w:space="0" w:color="auto"/>
          </w:divBdr>
        </w:div>
        <w:div w:id="1934362700">
          <w:marLeft w:val="0"/>
          <w:marRight w:val="0"/>
          <w:marTop w:val="0"/>
          <w:marBottom w:val="13"/>
          <w:divBdr>
            <w:top w:val="none" w:sz="0" w:space="0" w:color="auto"/>
            <w:left w:val="none" w:sz="0" w:space="0" w:color="auto"/>
            <w:bottom w:val="none" w:sz="0" w:space="0" w:color="auto"/>
            <w:right w:val="none" w:sz="0" w:space="0" w:color="auto"/>
          </w:divBdr>
        </w:div>
        <w:div w:id="1609505648">
          <w:marLeft w:val="0"/>
          <w:marRight w:val="0"/>
          <w:marTop w:val="0"/>
          <w:marBottom w:val="13"/>
          <w:divBdr>
            <w:top w:val="none" w:sz="0" w:space="0" w:color="auto"/>
            <w:left w:val="none" w:sz="0" w:space="0" w:color="auto"/>
            <w:bottom w:val="none" w:sz="0" w:space="0" w:color="auto"/>
            <w:right w:val="none" w:sz="0" w:space="0" w:color="auto"/>
          </w:divBdr>
        </w:div>
        <w:div w:id="382680695">
          <w:marLeft w:val="0"/>
          <w:marRight w:val="0"/>
          <w:marTop w:val="0"/>
          <w:marBottom w:val="0"/>
          <w:divBdr>
            <w:top w:val="none" w:sz="0" w:space="0" w:color="auto"/>
            <w:left w:val="none" w:sz="0" w:space="0" w:color="auto"/>
            <w:bottom w:val="none" w:sz="0" w:space="0" w:color="auto"/>
            <w:right w:val="none" w:sz="0" w:space="0" w:color="auto"/>
          </w:divBdr>
        </w:div>
      </w:divsChild>
    </w:div>
    <w:div w:id="294720181">
      <w:bodyDiv w:val="1"/>
      <w:marLeft w:val="0"/>
      <w:marRight w:val="0"/>
      <w:marTop w:val="0"/>
      <w:marBottom w:val="0"/>
      <w:divBdr>
        <w:top w:val="none" w:sz="0" w:space="0" w:color="auto"/>
        <w:left w:val="none" w:sz="0" w:space="0" w:color="auto"/>
        <w:bottom w:val="none" w:sz="0" w:space="0" w:color="auto"/>
        <w:right w:val="none" w:sz="0" w:space="0" w:color="auto"/>
      </w:divBdr>
      <w:divsChild>
        <w:div w:id="1418675696">
          <w:marLeft w:val="0"/>
          <w:marRight w:val="0"/>
          <w:marTop w:val="0"/>
          <w:marBottom w:val="0"/>
          <w:divBdr>
            <w:top w:val="none" w:sz="0" w:space="0" w:color="auto"/>
            <w:left w:val="none" w:sz="0" w:space="0" w:color="auto"/>
            <w:bottom w:val="none" w:sz="0" w:space="0" w:color="auto"/>
            <w:right w:val="none" w:sz="0" w:space="0" w:color="auto"/>
          </w:divBdr>
        </w:div>
        <w:div w:id="510723831">
          <w:marLeft w:val="0"/>
          <w:marRight w:val="0"/>
          <w:marTop w:val="0"/>
          <w:marBottom w:val="0"/>
          <w:divBdr>
            <w:top w:val="none" w:sz="0" w:space="0" w:color="auto"/>
            <w:left w:val="none" w:sz="0" w:space="0" w:color="auto"/>
            <w:bottom w:val="none" w:sz="0" w:space="0" w:color="auto"/>
            <w:right w:val="none" w:sz="0" w:space="0" w:color="auto"/>
          </w:divBdr>
        </w:div>
        <w:div w:id="713190548">
          <w:marLeft w:val="0"/>
          <w:marRight w:val="0"/>
          <w:marTop w:val="0"/>
          <w:marBottom w:val="0"/>
          <w:divBdr>
            <w:top w:val="none" w:sz="0" w:space="0" w:color="auto"/>
            <w:left w:val="none" w:sz="0" w:space="0" w:color="auto"/>
            <w:bottom w:val="none" w:sz="0" w:space="0" w:color="auto"/>
            <w:right w:val="none" w:sz="0" w:space="0" w:color="auto"/>
          </w:divBdr>
        </w:div>
      </w:divsChild>
    </w:div>
    <w:div w:id="304629128">
      <w:bodyDiv w:val="1"/>
      <w:marLeft w:val="0"/>
      <w:marRight w:val="0"/>
      <w:marTop w:val="0"/>
      <w:marBottom w:val="0"/>
      <w:divBdr>
        <w:top w:val="none" w:sz="0" w:space="0" w:color="auto"/>
        <w:left w:val="none" w:sz="0" w:space="0" w:color="auto"/>
        <w:bottom w:val="none" w:sz="0" w:space="0" w:color="auto"/>
        <w:right w:val="none" w:sz="0" w:space="0" w:color="auto"/>
      </w:divBdr>
    </w:div>
    <w:div w:id="314070361">
      <w:bodyDiv w:val="1"/>
      <w:marLeft w:val="0"/>
      <w:marRight w:val="0"/>
      <w:marTop w:val="0"/>
      <w:marBottom w:val="0"/>
      <w:divBdr>
        <w:top w:val="none" w:sz="0" w:space="0" w:color="auto"/>
        <w:left w:val="none" w:sz="0" w:space="0" w:color="auto"/>
        <w:bottom w:val="none" w:sz="0" w:space="0" w:color="auto"/>
        <w:right w:val="none" w:sz="0" w:space="0" w:color="auto"/>
      </w:divBdr>
      <w:divsChild>
        <w:div w:id="465665810">
          <w:marLeft w:val="0"/>
          <w:marRight w:val="0"/>
          <w:marTop w:val="0"/>
          <w:marBottom w:val="0"/>
          <w:divBdr>
            <w:top w:val="none" w:sz="0" w:space="0" w:color="auto"/>
            <w:left w:val="none" w:sz="0" w:space="0" w:color="auto"/>
            <w:bottom w:val="none" w:sz="0" w:space="0" w:color="auto"/>
            <w:right w:val="none" w:sz="0" w:space="0" w:color="auto"/>
          </w:divBdr>
        </w:div>
        <w:div w:id="38095757">
          <w:marLeft w:val="0"/>
          <w:marRight w:val="0"/>
          <w:marTop w:val="0"/>
          <w:marBottom w:val="2"/>
          <w:divBdr>
            <w:top w:val="none" w:sz="0" w:space="0" w:color="auto"/>
            <w:left w:val="none" w:sz="0" w:space="0" w:color="auto"/>
            <w:bottom w:val="none" w:sz="0" w:space="0" w:color="auto"/>
            <w:right w:val="none" w:sz="0" w:space="0" w:color="auto"/>
          </w:divBdr>
        </w:div>
        <w:div w:id="2128697034">
          <w:marLeft w:val="0"/>
          <w:marRight w:val="0"/>
          <w:marTop w:val="0"/>
          <w:marBottom w:val="0"/>
          <w:divBdr>
            <w:top w:val="none" w:sz="0" w:space="0" w:color="auto"/>
            <w:left w:val="none" w:sz="0" w:space="0" w:color="auto"/>
            <w:bottom w:val="none" w:sz="0" w:space="0" w:color="auto"/>
            <w:right w:val="none" w:sz="0" w:space="0" w:color="auto"/>
          </w:divBdr>
        </w:div>
      </w:divsChild>
    </w:div>
    <w:div w:id="1096828980">
      <w:bodyDiv w:val="1"/>
      <w:marLeft w:val="0"/>
      <w:marRight w:val="0"/>
      <w:marTop w:val="0"/>
      <w:marBottom w:val="0"/>
      <w:divBdr>
        <w:top w:val="none" w:sz="0" w:space="0" w:color="auto"/>
        <w:left w:val="none" w:sz="0" w:space="0" w:color="auto"/>
        <w:bottom w:val="none" w:sz="0" w:space="0" w:color="auto"/>
        <w:right w:val="none" w:sz="0" w:space="0" w:color="auto"/>
      </w:divBdr>
      <w:divsChild>
        <w:div w:id="1835798122">
          <w:marLeft w:val="0"/>
          <w:marRight w:val="0"/>
          <w:marTop w:val="0"/>
          <w:marBottom w:val="0"/>
          <w:divBdr>
            <w:top w:val="none" w:sz="0" w:space="0" w:color="auto"/>
            <w:left w:val="none" w:sz="0" w:space="0" w:color="auto"/>
            <w:bottom w:val="none" w:sz="0" w:space="0" w:color="auto"/>
            <w:right w:val="none" w:sz="0" w:space="0" w:color="auto"/>
          </w:divBdr>
        </w:div>
        <w:div w:id="364330419">
          <w:marLeft w:val="0"/>
          <w:marRight w:val="0"/>
          <w:marTop w:val="0"/>
          <w:marBottom w:val="11"/>
          <w:divBdr>
            <w:top w:val="none" w:sz="0" w:space="0" w:color="auto"/>
            <w:left w:val="none" w:sz="0" w:space="0" w:color="auto"/>
            <w:bottom w:val="none" w:sz="0" w:space="0" w:color="auto"/>
            <w:right w:val="none" w:sz="0" w:space="0" w:color="auto"/>
          </w:divBdr>
        </w:div>
        <w:div w:id="490801564">
          <w:marLeft w:val="0"/>
          <w:marRight w:val="0"/>
          <w:marTop w:val="0"/>
          <w:marBottom w:val="0"/>
          <w:divBdr>
            <w:top w:val="none" w:sz="0" w:space="0" w:color="auto"/>
            <w:left w:val="none" w:sz="0" w:space="0" w:color="auto"/>
            <w:bottom w:val="none" w:sz="0" w:space="0" w:color="auto"/>
            <w:right w:val="none" w:sz="0" w:space="0" w:color="auto"/>
          </w:divBdr>
        </w:div>
      </w:divsChild>
    </w:div>
    <w:div w:id="1128352572">
      <w:bodyDiv w:val="1"/>
      <w:marLeft w:val="0"/>
      <w:marRight w:val="0"/>
      <w:marTop w:val="0"/>
      <w:marBottom w:val="0"/>
      <w:divBdr>
        <w:top w:val="none" w:sz="0" w:space="0" w:color="auto"/>
        <w:left w:val="none" w:sz="0" w:space="0" w:color="auto"/>
        <w:bottom w:val="none" w:sz="0" w:space="0" w:color="auto"/>
        <w:right w:val="none" w:sz="0" w:space="0" w:color="auto"/>
      </w:divBdr>
    </w:div>
    <w:div w:id="1303073438">
      <w:bodyDiv w:val="1"/>
      <w:marLeft w:val="0"/>
      <w:marRight w:val="0"/>
      <w:marTop w:val="0"/>
      <w:marBottom w:val="0"/>
      <w:divBdr>
        <w:top w:val="none" w:sz="0" w:space="0" w:color="auto"/>
        <w:left w:val="none" w:sz="0" w:space="0" w:color="auto"/>
        <w:bottom w:val="none" w:sz="0" w:space="0" w:color="auto"/>
        <w:right w:val="none" w:sz="0" w:space="0" w:color="auto"/>
      </w:divBdr>
      <w:divsChild>
        <w:div w:id="1147015519">
          <w:marLeft w:val="0"/>
          <w:marRight w:val="0"/>
          <w:marTop w:val="0"/>
          <w:marBottom w:val="0"/>
          <w:divBdr>
            <w:top w:val="none" w:sz="0" w:space="0" w:color="auto"/>
            <w:left w:val="none" w:sz="0" w:space="0" w:color="auto"/>
            <w:bottom w:val="none" w:sz="0" w:space="0" w:color="auto"/>
            <w:right w:val="none" w:sz="0" w:space="0" w:color="auto"/>
          </w:divBdr>
        </w:div>
        <w:div w:id="1831364296">
          <w:marLeft w:val="0"/>
          <w:marRight w:val="0"/>
          <w:marTop w:val="0"/>
          <w:marBottom w:val="3"/>
          <w:divBdr>
            <w:top w:val="none" w:sz="0" w:space="0" w:color="auto"/>
            <w:left w:val="none" w:sz="0" w:space="0" w:color="auto"/>
            <w:bottom w:val="none" w:sz="0" w:space="0" w:color="auto"/>
            <w:right w:val="none" w:sz="0" w:space="0" w:color="auto"/>
          </w:divBdr>
        </w:div>
        <w:div w:id="760681785">
          <w:marLeft w:val="0"/>
          <w:marRight w:val="0"/>
          <w:marTop w:val="0"/>
          <w:marBottom w:val="3"/>
          <w:divBdr>
            <w:top w:val="none" w:sz="0" w:space="0" w:color="auto"/>
            <w:left w:val="none" w:sz="0" w:space="0" w:color="auto"/>
            <w:bottom w:val="none" w:sz="0" w:space="0" w:color="auto"/>
            <w:right w:val="none" w:sz="0" w:space="0" w:color="auto"/>
          </w:divBdr>
        </w:div>
        <w:div w:id="1211915596">
          <w:marLeft w:val="0"/>
          <w:marRight w:val="0"/>
          <w:marTop w:val="0"/>
          <w:marBottom w:val="0"/>
          <w:divBdr>
            <w:top w:val="none" w:sz="0" w:space="0" w:color="auto"/>
            <w:left w:val="none" w:sz="0" w:space="0" w:color="auto"/>
            <w:bottom w:val="none" w:sz="0" w:space="0" w:color="auto"/>
            <w:right w:val="none" w:sz="0" w:space="0" w:color="auto"/>
          </w:divBdr>
        </w:div>
      </w:divsChild>
    </w:div>
    <w:div w:id="1693872193">
      <w:bodyDiv w:val="1"/>
      <w:marLeft w:val="0"/>
      <w:marRight w:val="0"/>
      <w:marTop w:val="0"/>
      <w:marBottom w:val="0"/>
      <w:divBdr>
        <w:top w:val="none" w:sz="0" w:space="0" w:color="auto"/>
        <w:left w:val="none" w:sz="0" w:space="0" w:color="auto"/>
        <w:bottom w:val="none" w:sz="0" w:space="0" w:color="auto"/>
        <w:right w:val="none" w:sz="0" w:space="0" w:color="auto"/>
      </w:divBdr>
      <w:divsChild>
        <w:div w:id="140853536">
          <w:marLeft w:val="0"/>
          <w:marRight w:val="0"/>
          <w:marTop w:val="0"/>
          <w:marBottom w:val="0"/>
          <w:divBdr>
            <w:top w:val="none" w:sz="0" w:space="0" w:color="auto"/>
            <w:left w:val="none" w:sz="0" w:space="0" w:color="auto"/>
            <w:bottom w:val="none" w:sz="0" w:space="0" w:color="auto"/>
            <w:right w:val="none" w:sz="0" w:space="0" w:color="auto"/>
          </w:divBdr>
        </w:div>
        <w:div w:id="116686745">
          <w:marLeft w:val="0"/>
          <w:marRight w:val="0"/>
          <w:marTop w:val="0"/>
          <w:marBottom w:val="2"/>
          <w:divBdr>
            <w:top w:val="none" w:sz="0" w:space="0" w:color="auto"/>
            <w:left w:val="none" w:sz="0" w:space="0" w:color="auto"/>
            <w:bottom w:val="none" w:sz="0" w:space="0" w:color="auto"/>
            <w:right w:val="none" w:sz="0" w:space="0" w:color="auto"/>
          </w:divBdr>
        </w:div>
        <w:div w:id="842935452">
          <w:marLeft w:val="0"/>
          <w:marRight w:val="0"/>
          <w:marTop w:val="0"/>
          <w:marBottom w:val="2"/>
          <w:divBdr>
            <w:top w:val="none" w:sz="0" w:space="0" w:color="auto"/>
            <w:left w:val="none" w:sz="0" w:space="0" w:color="auto"/>
            <w:bottom w:val="none" w:sz="0" w:space="0" w:color="auto"/>
            <w:right w:val="none" w:sz="0" w:space="0" w:color="auto"/>
          </w:divBdr>
        </w:div>
        <w:div w:id="2039501480">
          <w:marLeft w:val="0"/>
          <w:marRight w:val="0"/>
          <w:marTop w:val="0"/>
          <w:marBottom w:val="2"/>
          <w:divBdr>
            <w:top w:val="none" w:sz="0" w:space="0" w:color="auto"/>
            <w:left w:val="none" w:sz="0" w:space="0" w:color="auto"/>
            <w:bottom w:val="none" w:sz="0" w:space="0" w:color="auto"/>
            <w:right w:val="none" w:sz="0" w:space="0" w:color="auto"/>
          </w:divBdr>
        </w:div>
        <w:div w:id="439371580">
          <w:marLeft w:val="0"/>
          <w:marRight w:val="0"/>
          <w:marTop w:val="0"/>
          <w:marBottom w:val="0"/>
          <w:divBdr>
            <w:top w:val="none" w:sz="0" w:space="0" w:color="auto"/>
            <w:left w:val="none" w:sz="0" w:space="0" w:color="auto"/>
            <w:bottom w:val="none" w:sz="0" w:space="0" w:color="auto"/>
            <w:right w:val="none" w:sz="0" w:space="0" w:color="auto"/>
          </w:divBdr>
        </w:div>
      </w:divsChild>
    </w:div>
    <w:div w:id="1913002705">
      <w:bodyDiv w:val="1"/>
      <w:marLeft w:val="0"/>
      <w:marRight w:val="0"/>
      <w:marTop w:val="0"/>
      <w:marBottom w:val="0"/>
      <w:divBdr>
        <w:top w:val="none" w:sz="0" w:space="0" w:color="auto"/>
        <w:left w:val="none" w:sz="0" w:space="0" w:color="auto"/>
        <w:bottom w:val="none" w:sz="0" w:space="0" w:color="auto"/>
        <w:right w:val="none" w:sz="0" w:space="0" w:color="auto"/>
      </w:divBdr>
    </w:div>
    <w:div w:id="2145808786">
      <w:bodyDiv w:val="1"/>
      <w:marLeft w:val="0"/>
      <w:marRight w:val="0"/>
      <w:marTop w:val="0"/>
      <w:marBottom w:val="0"/>
      <w:divBdr>
        <w:top w:val="none" w:sz="0" w:space="0" w:color="auto"/>
        <w:left w:val="none" w:sz="0" w:space="0" w:color="auto"/>
        <w:bottom w:val="none" w:sz="0" w:space="0" w:color="auto"/>
        <w:right w:val="none" w:sz="0" w:space="0" w:color="auto"/>
      </w:divBdr>
      <w:divsChild>
        <w:div w:id="1035426744">
          <w:marLeft w:val="0"/>
          <w:marRight w:val="0"/>
          <w:marTop w:val="0"/>
          <w:marBottom w:val="0"/>
          <w:divBdr>
            <w:top w:val="none" w:sz="0" w:space="0" w:color="auto"/>
            <w:left w:val="none" w:sz="0" w:space="0" w:color="auto"/>
            <w:bottom w:val="none" w:sz="0" w:space="0" w:color="auto"/>
            <w:right w:val="none" w:sz="0" w:space="0" w:color="auto"/>
          </w:divBdr>
        </w:div>
        <w:div w:id="9165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55F2-9646-472D-B09E-021EB262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5</cp:revision>
  <dcterms:created xsi:type="dcterms:W3CDTF">2016-10-25T14:52:00Z</dcterms:created>
  <dcterms:modified xsi:type="dcterms:W3CDTF">2016-11-06T20:28:00Z</dcterms:modified>
</cp:coreProperties>
</file>