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538"/>
        <w:gridCol w:w="4117"/>
        <w:gridCol w:w="1890"/>
        <w:gridCol w:w="1785"/>
      </w:tblGrid>
      <w:tr w:rsidR="007F678F" w:rsidRPr="000E2B5D" w14:paraId="52906746" w14:textId="77777777" w:rsidTr="007F678F">
        <w:trPr>
          <w:trHeight w:val="321"/>
        </w:trPr>
        <w:tc>
          <w:tcPr>
            <w:tcW w:w="1538" w:type="dxa"/>
            <w:tcBorders>
              <w:bottom w:val="single" w:sz="12" w:space="0" w:color="C00000"/>
            </w:tcBorders>
          </w:tcPr>
          <w:p w14:paraId="4231FD4C" w14:textId="77777777" w:rsidR="007F678F" w:rsidRPr="00FD2362" w:rsidRDefault="007F678F" w:rsidP="00404E21">
            <w:pPr>
              <w:rPr>
                <w:b/>
                <w:bCs/>
              </w:rPr>
            </w:pPr>
            <w:r w:rsidRPr="00FD2362">
              <w:rPr>
                <w:b/>
                <w:bCs/>
              </w:rPr>
              <w:t>Name</w:t>
            </w:r>
          </w:p>
        </w:tc>
        <w:tc>
          <w:tcPr>
            <w:tcW w:w="4117" w:type="dxa"/>
            <w:tcBorders>
              <w:bottom w:val="single" w:sz="12" w:space="0" w:color="C00000"/>
            </w:tcBorders>
          </w:tcPr>
          <w:p w14:paraId="12CF21CE" w14:textId="77777777" w:rsidR="007F678F" w:rsidRPr="000E2B5D" w:rsidRDefault="007F678F" w:rsidP="00404E21"/>
        </w:tc>
        <w:tc>
          <w:tcPr>
            <w:tcW w:w="1890" w:type="dxa"/>
            <w:tcBorders>
              <w:bottom w:val="single" w:sz="12" w:space="0" w:color="C00000"/>
            </w:tcBorders>
          </w:tcPr>
          <w:p w14:paraId="2F50A378" w14:textId="77777777" w:rsidR="007F678F" w:rsidRPr="00FD2362" w:rsidRDefault="007F678F" w:rsidP="00404E21">
            <w:pPr>
              <w:rPr>
                <w:b/>
                <w:bCs/>
              </w:rPr>
            </w:pPr>
            <w:r w:rsidRPr="00FD2362">
              <w:rPr>
                <w:b/>
                <w:bCs/>
              </w:rPr>
              <w:t>800#</w:t>
            </w:r>
          </w:p>
        </w:tc>
        <w:tc>
          <w:tcPr>
            <w:tcW w:w="1785" w:type="dxa"/>
            <w:tcBorders>
              <w:bottom w:val="single" w:sz="12" w:space="0" w:color="C00000"/>
            </w:tcBorders>
          </w:tcPr>
          <w:p w14:paraId="439BFEF2" w14:textId="3CDCF449" w:rsidR="007F678F" w:rsidRPr="000E2B5D" w:rsidRDefault="007F678F" w:rsidP="00404E21"/>
        </w:tc>
      </w:tr>
      <w:tr w:rsidR="007F678F" w14:paraId="6F3E5348" w14:textId="77777777" w:rsidTr="007F678F">
        <w:trPr>
          <w:trHeight w:val="348"/>
        </w:trPr>
        <w:tc>
          <w:tcPr>
            <w:tcW w:w="1538" w:type="dxa"/>
          </w:tcPr>
          <w:p w14:paraId="08D6CEB6" w14:textId="77777777" w:rsidR="007F678F" w:rsidRPr="00FD2362" w:rsidRDefault="007F678F" w:rsidP="00404E21">
            <w:pPr>
              <w:rPr>
                <w:b/>
                <w:bCs/>
              </w:rPr>
            </w:pPr>
            <w:r w:rsidRPr="00FD2362">
              <w:rPr>
                <w:b/>
                <w:bCs/>
              </w:rPr>
              <w:t xml:space="preserve">Department </w:t>
            </w:r>
          </w:p>
        </w:tc>
        <w:tc>
          <w:tcPr>
            <w:tcW w:w="4117" w:type="dxa"/>
          </w:tcPr>
          <w:p w14:paraId="33C4CD45" w14:textId="77777777" w:rsidR="007F678F" w:rsidRPr="006802B2" w:rsidRDefault="007F678F" w:rsidP="00404E21"/>
        </w:tc>
        <w:tc>
          <w:tcPr>
            <w:tcW w:w="1890" w:type="dxa"/>
          </w:tcPr>
          <w:p w14:paraId="2003AFE7" w14:textId="77777777" w:rsidR="007F678F" w:rsidRPr="00FD2362" w:rsidRDefault="007F678F" w:rsidP="00404E21">
            <w:pPr>
              <w:rPr>
                <w:b/>
                <w:bCs/>
              </w:rPr>
            </w:pPr>
            <w:r w:rsidRPr="00FD2362">
              <w:rPr>
                <w:b/>
                <w:bCs/>
              </w:rPr>
              <w:t>Review Period</w:t>
            </w:r>
          </w:p>
        </w:tc>
        <w:tc>
          <w:tcPr>
            <w:tcW w:w="1785" w:type="dxa"/>
          </w:tcPr>
          <w:p w14:paraId="487FF09B" w14:textId="11786EF6" w:rsidR="007F678F" w:rsidRPr="006802B2" w:rsidRDefault="007F678F" w:rsidP="00404E21"/>
        </w:tc>
      </w:tr>
    </w:tbl>
    <w:p w14:paraId="6D59FFDC" w14:textId="16F01700" w:rsidR="007F678F" w:rsidRDefault="007F678F" w:rsidP="00F6476B"/>
    <w:p w14:paraId="75DED083" w14:textId="77777777" w:rsidR="00F6476B" w:rsidRPr="00BD27CC" w:rsidRDefault="00F6476B" w:rsidP="00F6476B">
      <w:pPr>
        <w:rPr>
          <w:i/>
          <w:iCs/>
          <w:sz w:val="22"/>
          <w:szCs w:val="22"/>
        </w:rPr>
      </w:pPr>
      <w:r w:rsidRPr="00BD27CC">
        <w:rPr>
          <w:i/>
          <w:iCs/>
          <w:sz w:val="22"/>
          <w:szCs w:val="22"/>
        </w:rPr>
        <w:t>Faculty Evaluation - Each faculty member in the traditional, pedagogical, clinical and instructor tracks is evaluated by the department chair/director on the bases of effectiveness as a teacher; research/creative activities (traditional track faculty only); University and public service; and professionalism according to the standards and guidelines established by WKU, each college, and department. (II.X. Faculty Evaluation, 30</w:t>
      </w:r>
      <w:r w:rsidRPr="00BD27CC">
        <w:rPr>
          <w:i/>
          <w:iCs/>
          <w:sz w:val="22"/>
          <w:szCs w:val="22"/>
          <w:vertAlign w:val="superscript"/>
        </w:rPr>
        <w:t>th</w:t>
      </w:r>
      <w:r w:rsidRPr="00BD27CC">
        <w:rPr>
          <w:i/>
          <w:iCs/>
          <w:sz w:val="22"/>
          <w:szCs w:val="22"/>
        </w:rPr>
        <w:t xml:space="preserve"> Edition)</w:t>
      </w:r>
    </w:p>
    <w:p w14:paraId="7FF217DD" w14:textId="77777777" w:rsidR="00F6476B" w:rsidRPr="00BD27CC" w:rsidRDefault="00F6476B" w:rsidP="00F6476B">
      <w:pPr>
        <w:rPr>
          <w:i/>
          <w:iCs/>
        </w:rPr>
      </w:pPr>
    </w:p>
    <w:p w14:paraId="058A773E" w14:textId="77777777" w:rsidR="00F6476B" w:rsidRPr="00BD27CC" w:rsidRDefault="00F6476B" w:rsidP="00F6476B">
      <w:pPr>
        <w:rPr>
          <w:i/>
          <w:iCs/>
          <w:sz w:val="22"/>
          <w:szCs w:val="22"/>
        </w:rPr>
      </w:pPr>
      <w:r w:rsidRPr="00BD27CC">
        <w:rPr>
          <w:i/>
          <w:iCs/>
          <w:sz w:val="22"/>
          <w:szCs w:val="22"/>
        </w:rPr>
        <w:t>To evaluate teaching, research/creative activity, and service, WKU uses the following labels, defined more specifically by the colleges and department.</w:t>
      </w:r>
    </w:p>
    <w:p w14:paraId="2C0D460A" w14:textId="77777777" w:rsidR="00F6476B" w:rsidRPr="00BD27CC" w:rsidRDefault="00F6476B" w:rsidP="005D3045">
      <w:pPr>
        <w:pStyle w:val="ListParagraph"/>
        <w:numPr>
          <w:ilvl w:val="0"/>
          <w:numId w:val="7"/>
        </w:numPr>
        <w:rPr>
          <w:i/>
          <w:iCs/>
          <w:sz w:val="22"/>
          <w:szCs w:val="22"/>
        </w:rPr>
      </w:pPr>
      <w:r w:rsidRPr="00BD27CC">
        <w:rPr>
          <w:b/>
          <w:bCs/>
          <w:i/>
          <w:iCs/>
          <w:sz w:val="22"/>
          <w:szCs w:val="22"/>
        </w:rPr>
        <w:t>Distinguished</w:t>
      </w:r>
      <w:r w:rsidRPr="00BD27CC">
        <w:rPr>
          <w:i/>
          <w:iCs/>
          <w:sz w:val="22"/>
          <w:szCs w:val="22"/>
        </w:rPr>
        <w:t>: indicates a truly exceptional level of performance</w:t>
      </w:r>
    </w:p>
    <w:p w14:paraId="1444B02C" w14:textId="77777777" w:rsidR="00F6476B" w:rsidRPr="00BD27CC" w:rsidRDefault="00F6476B" w:rsidP="005D3045">
      <w:pPr>
        <w:pStyle w:val="ListParagraph"/>
        <w:numPr>
          <w:ilvl w:val="0"/>
          <w:numId w:val="7"/>
        </w:numPr>
        <w:rPr>
          <w:i/>
          <w:iCs/>
          <w:sz w:val="22"/>
          <w:szCs w:val="22"/>
        </w:rPr>
      </w:pPr>
      <w:r w:rsidRPr="00BD27CC">
        <w:rPr>
          <w:b/>
          <w:bCs/>
          <w:i/>
          <w:iCs/>
          <w:sz w:val="22"/>
          <w:szCs w:val="22"/>
        </w:rPr>
        <w:t>Skilled</w:t>
      </w:r>
      <w:r w:rsidRPr="00BD27CC">
        <w:rPr>
          <w:i/>
          <w:iCs/>
          <w:sz w:val="22"/>
          <w:szCs w:val="22"/>
        </w:rPr>
        <w:t>: indicates a level of strong performance</w:t>
      </w:r>
    </w:p>
    <w:p w14:paraId="2A2746DA" w14:textId="77777777" w:rsidR="00F6476B" w:rsidRPr="00BD27CC" w:rsidRDefault="00F6476B" w:rsidP="005D3045">
      <w:pPr>
        <w:pStyle w:val="ListParagraph"/>
        <w:numPr>
          <w:ilvl w:val="0"/>
          <w:numId w:val="7"/>
        </w:numPr>
        <w:rPr>
          <w:i/>
          <w:iCs/>
          <w:sz w:val="22"/>
          <w:szCs w:val="22"/>
        </w:rPr>
      </w:pPr>
      <w:r w:rsidRPr="00BD27CC">
        <w:rPr>
          <w:b/>
          <w:bCs/>
          <w:i/>
          <w:iCs/>
          <w:sz w:val="22"/>
          <w:szCs w:val="22"/>
        </w:rPr>
        <w:t>Baseline</w:t>
      </w:r>
      <w:r w:rsidRPr="00BD27CC">
        <w:rPr>
          <w:i/>
          <w:iCs/>
          <w:sz w:val="22"/>
          <w:szCs w:val="22"/>
        </w:rPr>
        <w:t>: indicates a level of meeting minimum expectations</w:t>
      </w:r>
    </w:p>
    <w:p w14:paraId="3FD5DBE2" w14:textId="77777777" w:rsidR="00F6476B" w:rsidRPr="00BD27CC" w:rsidRDefault="00F6476B" w:rsidP="005D3045">
      <w:pPr>
        <w:pStyle w:val="ListParagraph"/>
        <w:numPr>
          <w:ilvl w:val="0"/>
          <w:numId w:val="7"/>
        </w:numPr>
        <w:rPr>
          <w:i/>
          <w:iCs/>
          <w:sz w:val="22"/>
          <w:szCs w:val="22"/>
        </w:rPr>
      </w:pPr>
      <w:r w:rsidRPr="00BD27CC">
        <w:rPr>
          <w:b/>
          <w:bCs/>
          <w:i/>
          <w:iCs/>
          <w:sz w:val="22"/>
          <w:szCs w:val="22"/>
        </w:rPr>
        <w:t>Unsatisfactory</w:t>
      </w:r>
      <w:r w:rsidRPr="00BD27CC">
        <w:rPr>
          <w:i/>
          <w:iCs/>
          <w:sz w:val="22"/>
          <w:szCs w:val="22"/>
        </w:rPr>
        <w:t>: indicates a level of not meeting minimum expectations</w:t>
      </w:r>
    </w:p>
    <w:p w14:paraId="0A6139E8" w14:textId="77777777" w:rsidR="00F6476B" w:rsidRDefault="00F6476B" w:rsidP="00F6476B"/>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8"/>
        <w:gridCol w:w="1864"/>
        <w:gridCol w:w="1863"/>
        <w:gridCol w:w="1868"/>
        <w:gridCol w:w="1867"/>
      </w:tblGrid>
      <w:tr w:rsidR="00F6476B" w:rsidRPr="00093BD7" w14:paraId="7C88341E" w14:textId="77777777" w:rsidTr="000E519A">
        <w:tc>
          <w:tcPr>
            <w:tcW w:w="9330" w:type="dxa"/>
            <w:gridSpan w:val="5"/>
          </w:tcPr>
          <w:p w14:paraId="4EF733BA" w14:textId="72E28546" w:rsidR="00F6476B" w:rsidRPr="00093BD7" w:rsidRDefault="006802B2" w:rsidP="009551FE">
            <w:pPr>
              <w:jc w:val="center"/>
              <w:rPr>
                <w:b/>
                <w:bCs/>
              </w:rPr>
            </w:pPr>
            <w:r>
              <w:rPr>
                <w:b/>
                <w:bCs/>
              </w:rPr>
              <w:t>TEACHING</w:t>
            </w:r>
          </w:p>
        </w:tc>
      </w:tr>
      <w:tr w:rsidR="00F6476B" w:rsidRPr="00093BD7" w14:paraId="13C4CFBB" w14:textId="77777777" w:rsidTr="000E519A">
        <w:tc>
          <w:tcPr>
            <w:tcW w:w="9330" w:type="dxa"/>
            <w:gridSpan w:val="5"/>
          </w:tcPr>
          <w:p w14:paraId="10446307" w14:textId="77777777" w:rsidR="00F6476B" w:rsidRPr="00BD27CC" w:rsidRDefault="00F6476B" w:rsidP="009551FE">
            <w:pPr>
              <w:autoSpaceDE w:val="0"/>
              <w:autoSpaceDN w:val="0"/>
              <w:adjustRightInd w:val="0"/>
              <w:rPr>
                <w:rFonts w:cstheme="minorHAnsi"/>
                <w:color w:val="000000"/>
                <w:sz w:val="22"/>
                <w:szCs w:val="22"/>
              </w:rPr>
            </w:pPr>
            <w:r w:rsidRPr="00BD27CC">
              <w:rPr>
                <w:rFonts w:cstheme="minorHAnsi"/>
                <w:color w:val="000000"/>
                <w:sz w:val="22"/>
                <w:szCs w:val="22"/>
              </w:rPr>
              <w:t>The Potter College of Arts and Letters (PCAL) recognizes that teaching varies across the academy of the arts, humanities, media, and social sciences. These instructional differences may include, but are not limited to, utilizing various pedagogical modalities (</w:t>
            </w:r>
            <w:proofErr w:type="gramStart"/>
            <w:r w:rsidRPr="00BD27CC">
              <w:rPr>
                <w:rFonts w:cstheme="minorHAnsi"/>
                <w:color w:val="000000"/>
                <w:sz w:val="22"/>
                <w:szCs w:val="22"/>
              </w:rPr>
              <w:t>i.e.</w:t>
            </w:r>
            <w:proofErr w:type="gramEnd"/>
            <w:r w:rsidRPr="00BD27CC">
              <w:rPr>
                <w:rFonts w:cstheme="minorHAnsi"/>
                <w:color w:val="000000"/>
                <w:sz w:val="22"/>
                <w:szCs w:val="22"/>
              </w:rPr>
              <w:t xml:space="preserve"> distance, experiential, lecture-based, etc.) Despite these differences, effective teaching can be defined using the four evaluation categories of Unsatisfactory, Baseline, Skilled, and Distinguished (refer to definitions of these categories listed above). Each academic unit within PCAL will determine more defined language as it relates to teaching expectations in their department/school. Effective teaching will be evaluated at a minimum using the following criteria:</w:t>
            </w:r>
          </w:p>
          <w:p w14:paraId="2A97CE66" w14:textId="77777777" w:rsidR="00F6476B" w:rsidRPr="00BD27CC" w:rsidRDefault="00F6476B" w:rsidP="009551FE">
            <w:pPr>
              <w:autoSpaceDE w:val="0"/>
              <w:autoSpaceDN w:val="0"/>
              <w:adjustRightInd w:val="0"/>
              <w:rPr>
                <w:rFonts w:cstheme="minorHAnsi"/>
                <w:color w:val="000000"/>
                <w:sz w:val="22"/>
                <w:szCs w:val="22"/>
              </w:rPr>
            </w:pPr>
          </w:p>
          <w:p w14:paraId="1CD5E424" w14:textId="77777777" w:rsidR="00F6476B" w:rsidRPr="00BD27CC" w:rsidRDefault="00F6476B" w:rsidP="009551FE">
            <w:pPr>
              <w:autoSpaceDE w:val="0"/>
              <w:autoSpaceDN w:val="0"/>
              <w:adjustRightInd w:val="0"/>
              <w:rPr>
                <w:rFonts w:cstheme="minorHAnsi"/>
                <w:color w:val="000000"/>
                <w:sz w:val="22"/>
                <w:szCs w:val="22"/>
              </w:rPr>
            </w:pPr>
            <w:r w:rsidRPr="00BD27CC">
              <w:rPr>
                <w:rFonts w:cstheme="minorHAnsi"/>
                <w:b/>
                <w:bCs/>
                <w:color w:val="000000"/>
                <w:sz w:val="22"/>
                <w:szCs w:val="22"/>
              </w:rPr>
              <w:t>Preparation and Planning</w:t>
            </w:r>
            <w:r w:rsidRPr="00BD27CC">
              <w:rPr>
                <w:rFonts w:cstheme="minorHAnsi"/>
                <w:color w:val="000000"/>
                <w:sz w:val="22"/>
                <w:szCs w:val="22"/>
              </w:rPr>
              <w:t> </w:t>
            </w:r>
          </w:p>
          <w:p w14:paraId="549DFEB0" w14:textId="77777777" w:rsidR="00F6476B" w:rsidRPr="00BD27CC" w:rsidRDefault="00F6476B" w:rsidP="00F6476B">
            <w:pPr>
              <w:pStyle w:val="ListParagraph"/>
              <w:numPr>
                <w:ilvl w:val="0"/>
                <w:numId w:val="3"/>
              </w:numPr>
              <w:autoSpaceDE w:val="0"/>
              <w:autoSpaceDN w:val="0"/>
              <w:adjustRightInd w:val="0"/>
              <w:rPr>
                <w:rFonts w:cstheme="minorHAnsi"/>
                <w:color w:val="000000"/>
                <w:sz w:val="22"/>
                <w:szCs w:val="22"/>
              </w:rPr>
            </w:pPr>
            <w:r w:rsidRPr="00BD27CC">
              <w:rPr>
                <w:rFonts w:cstheme="minorHAnsi"/>
                <w:color w:val="000000"/>
                <w:sz w:val="22"/>
                <w:szCs w:val="22"/>
              </w:rPr>
              <w:t>Provide clear syllabi that articulate course expectations accounting for flexibility when needed  </w:t>
            </w:r>
          </w:p>
          <w:p w14:paraId="4C4075F6" w14:textId="77777777" w:rsidR="00F6476B" w:rsidRPr="00BD27CC" w:rsidRDefault="00F6476B" w:rsidP="00F6476B">
            <w:pPr>
              <w:pStyle w:val="ListParagraph"/>
              <w:numPr>
                <w:ilvl w:val="0"/>
                <w:numId w:val="3"/>
              </w:numPr>
              <w:autoSpaceDE w:val="0"/>
              <w:autoSpaceDN w:val="0"/>
              <w:adjustRightInd w:val="0"/>
              <w:rPr>
                <w:rFonts w:cstheme="minorHAnsi"/>
                <w:color w:val="000000"/>
                <w:sz w:val="22"/>
                <w:szCs w:val="22"/>
              </w:rPr>
            </w:pPr>
            <w:r w:rsidRPr="00BD27CC">
              <w:rPr>
                <w:rFonts w:cstheme="minorHAnsi"/>
                <w:color w:val="000000"/>
                <w:sz w:val="22"/>
                <w:szCs w:val="22"/>
              </w:rPr>
              <w:t>Manifest a high-quality curriculum and, when possible and appropriate, high-impact practices that align with departmental program and university-level learning standards </w:t>
            </w:r>
          </w:p>
          <w:p w14:paraId="5FFA37E8" w14:textId="77777777" w:rsidR="00F6476B" w:rsidRPr="00BD27CC" w:rsidRDefault="00F6476B" w:rsidP="00F6476B">
            <w:pPr>
              <w:pStyle w:val="ListParagraph"/>
              <w:numPr>
                <w:ilvl w:val="0"/>
                <w:numId w:val="3"/>
              </w:numPr>
              <w:autoSpaceDE w:val="0"/>
              <w:autoSpaceDN w:val="0"/>
              <w:adjustRightInd w:val="0"/>
              <w:rPr>
                <w:rFonts w:cstheme="minorHAnsi"/>
                <w:color w:val="000000"/>
                <w:sz w:val="22"/>
                <w:szCs w:val="22"/>
              </w:rPr>
            </w:pPr>
            <w:r w:rsidRPr="00BD27CC">
              <w:rPr>
                <w:rFonts w:cstheme="minorHAnsi"/>
                <w:color w:val="000000"/>
                <w:sz w:val="22"/>
                <w:szCs w:val="22"/>
              </w:rPr>
              <w:t>Participate in professional development opportunities to enhance instructional quality</w:t>
            </w:r>
          </w:p>
          <w:p w14:paraId="1D3F9B72" w14:textId="77777777" w:rsidR="00F6476B" w:rsidRPr="00BD27CC" w:rsidRDefault="00F6476B" w:rsidP="00F6476B">
            <w:pPr>
              <w:pStyle w:val="ListParagraph"/>
              <w:numPr>
                <w:ilvl w:val="0"/>
                <w:numId w:val="3"/>
              </w:numPr>
              <w:autoSpaceDE w:val="0"/>
              <w:autoSpaceDN w:val="0"/>
              <w:adjustRightInd w:val="0"/>
              <w:rPr>
                <w:rFonts w:cstheme="minorHAnsi"/>
                <w:color w:val="000000"/>
                <w:sz w:val="22"/>
                <w:szCs w:val="22"/>
              </w:rPr>
            </w:pPr>
            <w:r w:rsidRPr="00BD27CC">
              <w:rPr>
                <w:rFonts w:cstheme="minorHAnsi"/>
                <w:color w:val="000000"/>
                <w:sz w:val="22"/>
                <w:szCs w:val="22"/>
              </w:rPr>
              <w:t>Maintain a high-quality course structure that includes, when possible and appropriate, high-impact practices that align with program and university-level learning standards.  </w:t>
            </w:r>
          </w:p>
          <w:p w14:paraId="2C3B27ED" w14:textId="77777777" w:rsidR="00F6476B" w:rsidRPr="00BD27CC" w:rsidRDefault="00F6476B" w:rsidP="009551FE">
            <w:pPr>
              <w:autoSpaceDE w:val="0"/>
              <w:autoSpaceDN w:val="0"/>
              <w:adjustRightInd w:val="0"/>
              <w:rPr>
                <w:rFonts w:cstheme="minorHAnsi"/>
                <w:b/>
                <w:bCs/>
                <w:color w:val="000000"/>
                <w:sz w:val="22"/>
                <w:szCs w:val="22"/>
              </w:rPr>
            </w:pPr>
            <w:r w:rsidRPr="00BD27CC">
              <w:rPr>
                <w:rFonts w:cstheme="minorHAnsi"/>
                <w:b/>
                <w:bCs/>
                <w:color w:val="000000"/>
                <w:sz w:val="22"/>
                <w:szCs w:val="22"/>
              </w:rPr>
              <w:t>Management and Feedback </w:t>
            </w:r>
          </w:p>
          <w:p w14:paraId="74777BD2" w14:textId="77777777" w:rsidR="00F6476B" w:rsidRPr="00BD27CC" w:rsidRDefault="00F6476B" w:rsidP="00F6476B">
            <w:pPr>
              <w:pStyle w:val="ListParagraph"/>
              <w:numPr>
                <w:ilvl w:val="0"/>
                <w:numId w:val="4"/>
              </w:numPr>
              <w:autoSpaceDE w:val="0"/>
              <w:autoSpaceDN w:val="0"/>
              <w:adjustRightInd w:val="0"/>
              <w:rPr>
                <w:rFonts w:cstheme="minorHAnsi"/>
                <w:color w:val="000000"/>
                <w:sz w:val="22"/>
                <w:szCs w:val="22"/>
              </w:rPr>
            </w:pPr>
            <w:r w:rsidRPr="00BD27CC">
              <w:rPr>
                <w:rFonts w:cstheme="minorHAnsi"/>
                <w:color w:val="000000"/>
                <w:sz w:val="22"/>
                <w:szCs w:val="22"/>
              </w:rPr>
              <w:t>Develop an effective learning environment conducive consistent with the course modality.  Such an environment should reflect inclusivity and promote fostering an inclusive learning environment that promotes learning opportunities that are culturally responsive, aware, and relevant</w:t>
            </w:r>
          </w:p>
          <w:p w14:paraId="26D6277E" w14:textId="77777777" w:rsidR="00F6476B" w:rsidRPr="00BD27CC" w:rsidRDefault="00F6476B" w:rsidP="00F6476B">
            <w:pPr>
              <w:pStyle w:val="ListParagraph"/>
              <w:numPr>
                <w:ilvl w:val="0"/>
                <w:numId w:val="4"/>
              </w:numPr>
              <w:autoSpaceDE w:val="0"/>
              <w:autoSpaceDN w:val="0"/>
              <w:adjustRightInd w:val="0"/>
              <w:rPr>
                <w:rFonts w:cstheme="minorHAnsi"/>
                <w:color w:val="000000"/>
                <w:sz w:val="22"/>
                <w:szCs w:val="22"/>
              </w:rPr>
            </w:pPr>
            <w:r w:rsidRPr="00BD27CC">
              <w:rPr>
                <w:rFonts w:cstheme="minorHAnsi"/>
                <w:color w:val="000000"/>
                <w:sz w:val="22"/>
                <w:szCs w:val="22"/>
              </w:rPr>
              <w:t>Provide timely and high-quality feedback that supports achievement of course student learning objectives</w:t>
            </w:r>
          </w:p>
          <w:p w14:paraId="00B5DE86" w14:textId="77777777" w:rsidR="00F6476B" w:rsidRPr="00BD27CC" w:rsidRDefault="00F6476B" w:rsidP="00F6476B">
            <w:pPr>
              <w:pStyle w:val="ListParagraph"/>
              <w:numPr>
                <w:ilvl w:val="0"/>
                <w:numId w:val="4"/>
              </w:numPr>
              <w:autoSpaceDE w:val="0"/>
              <w:autoSpaceDN w:val="0"/>
              <w:adjustRightInd w:val="0"/>
              <w:rPr>
                <w:rFonts w:cstheme="minorHAnsi"/>
                <w:color w:val="000000"/>
                <w:sz w:val="22"/>
                <w:szCs w:val="22"/>
              </w:rPr>
            </w:pPr>
            <w:r w:rsidRPr="00BD27CC">
              <w:rPr>
                <w:rFonts w:cstheme="minorHAnsi"/>
                <w:color w:val="000000"/>
                <w:sz w:val="22"/>
                <w:szCs w:val="22"/>
              </w:rPr>
              <w:t>Develop facility with and utilization of Blackboard Ultra course management and delivery</w:t>
            </w:r>
          </w:p>
          <w:p w14:paraId="5C2674AC" w14:textId="77777777" w:rsidR="00F6476B" w:rsidRPr="00BD27CC" w:rsidRDefault="00F6476B" w:rsidP="00F6476B">
            <w:pPr>
              <w:pStyle w:val="ListParagraph"/>
              <w:numPr>
                <w:ilvl w:val="0"/>
                <w:numId w:val="4"/>
              </w:numPr>
              <w:autoSpaceDE w:val="0"/>
              <w:autoSpaceDN w:val="0"/>
              <w:adjustRightInd w:val="0"/>
              <w:rPr>
                <w:rFonts w:cstheme="minorHAnsi"/>
                <w:color w:val="000000"/>
                <w:sz w:val="22"/>
                <w:szCs w:val="22"/>
              </w:rPr>
            </w:pPr>
            <w:r w:rsidRPr="00BD27CC">
              <w:rPr>
                <w:rFonts w:cstheme="minorHAnsi"/>
                <w:color w:val="000000"/>
                <w:sz w:val="22"/>
                <w:szCs w:val="22"/>
              </w:rPr>
              <w:t>Provide courses that progress in quality through peer feedback, student feedback, and professional development</w:t>
            </w:r>
          </w:p>
          <w:p w14:paraId="4A56DAF4" w14:textId="77777777" w:rsidR="00F6476B" w:rsidRPr="00BD27CC" w:rsidRDefault="00F6476B" w:rsidP="00F6476B">
            <w:pPr>
              <w:pStyle w:val="ListParagraph"/>
              <w:numPr>
                <w:ilvl w:val="0"/>
                <w:numId w:val="4"/>
              </w:numPr>
              <w:autoSpaceDE w:val="0"/>
              <w:autoSpaceDN w:val="0"/>
              <w:adjustRightInd w:val="0"/>
              <w:rPr>
                <w:rFonts w:cstheme="minorHAnsi"/>
                <w:color w:val="000000"/>
                <w:sz w:val="22"/>
                <w:szCs w:val="22"/>
              </w:rPr>
            </w:pPr>
            <w:r w:rsidRPr="00BD27CC">
              <w:rPr>
                <w:rFonts w:cstheme="minorHAnsi"/>
                <w:color w:val="000000"/>
                <w:sz w:val="22"/>
                <w:szCs w:val="22"/>
              </w:rPr>
              <w:lastRenderedPageBreak/>
              <w:t>Utilize on-task course delivery that aligns with syllabi expectations </w:t>
            </w:r>
          </w:p>
          <w:p w14:paraId="749BB03B" w14:textId="5BD6C16A" w:rsidR="00F6476B" w:rsidRPr="00BD27CC" w:rsidRDefault="00F6476B" w:rsidP="000E519A">
            <w:pPr>
              <w:pStyle w:val="ListParagraph"/>
              <w:numPr>
                <w:ilvl w:val="0"/>
                <w:numId w:val="4"/>
              </w:numPr>
              <w:autoSpaceDE w:val="0"/>
              <w:autoSpaceDN w:val="0"/>
              <w:adjustRightInd w:val="0"/>
              <w:rPr>
                <w:rFonts w:cstheme="minorHAnsi"/>
                <w:color w:val="000000"/>
                <w:sz w:val="22"/>
                <w:szCs w:val="22"/>
              </w:rPr>
            </w:pPr>
            <w:r w:rsidRPr="00BD27CC">
              <w:rPr>
                <w:rFonts w:cstheme="minorHAnsi"/>
                <w:color w:val="000000"/>
                <w:sz w:val="22"/>
                <w:szCs w:val="22"/>
              </w:rPr>
              <w:t>Provide courses that enhance program curriculum by allowing students to develop skills and knowledge that begin at an introductory level and develop into mastery. </w:t>
            </w:r>
          </w:p>
        </w:tc>
      </w:tr>
      <w:tr w:rsidR="00F6476B" w:rsidRPr="00093BD7" w14:paraId="4BC7DB00" w14:textId="77777777" w:rsidTr="000E519A">
        <w:tc>
          <w:tcPr>
            <w:tcW w:w="9330" w:type="dxa"/>
            <w:gridSpan w:val="5"/>
          </w:tcPr>
          <w:p w14:paraId="0062078A" w14:textId="28DB8F8C" w:rsidR="00F6476B" w:rsidRPr="00FD2362" w:rsidRDefault="00F6476B" w:rsidP="000E519A">
            <w:pPr>
              <w:jc w:val="center"/>
              <w:rPr>
                <w:b/>
                <w:bCs/>
              </w:rPr>
            </w:pPr>
            <w:r w:rsidRPr="00FD2362">
              <w:rPr>
                <w:b/>
                <w:bCs/>
              </w:rPr>
              <w:lastRenderedPageBreak/>
              <w:t>Department Chair</w:t>
            </w:r>
            <w:r w:rsidR="007F0993">
              <w:rPr>
                <w:b/>
                <w:bCs/>
              </w:rPr>
              <w:t>/Director</w:t>
            </w:r>
            <w:r w:rsidRPr="00FD2362">
              <w:rPr>
                <w:b/>
                <w:bCs/>
              </w:rPr>
              <w:t xml:space="preserve"> Comment/Evaluation/Suggestions</w:t>
            </w:r>
          </w:p>
        </w:tc>
      </w:tr>
      <w:tr w:rsidR="00F6476B" w:rsidRPr="00093BD7" w14:paraId="0F68F55B" w14:textId="77777777" w:rsidTr="000E519A">
        <w:tc>
          <w:tcPr>
            <w:tcW w:w="9330" w:type="dxa"/>
            <w:gridSpan w:val="5"/>
          </w:tcPr>
          <w:p w14:paraId="1C125236" w14:textId="77777777" w:rsidR="00F6476B" w:rsidRDefault="00F6476B" w:rsidP="009551FE"/>
          <w:p w14:paraId="519D022A" w14:textId="0DE818F6" w:rsidR="00BE6062" w:rsidRPr="00BE6062" w:rsidRDefault="00BE6062" w:rsidP="009551FE"/>
        </w:tc>
      </w:tr>
      <w:tr w:rsidR="00EF6B4C" w:rsidRPr="00B0004F" w14:paraId="3ACAC804" w14:textId="77777777" w:rsidTr="00EF6B4C">
        <w:tc>
          <w:tcPr>
            <w:tcW w:w="1868" w:type="dxa"/>
          </w:tcPr>
          <w:p w14:paraId="5F33CAA2" w14:textId="77777777" w:rsidR="00EF6B4C" w:rsidRPr="00B0004F" w:rsidRDefault="00EF6B4C" w:rsidP="00404E21">
            <w:pPr>
              <w:jc w:val="center"/>
            </w:pPr>
            <w:r w:rsidRPr="00F05315">
              <w:t>Distinguished</w:t>
            </w:r>
          </w:p>
        </w:tc>
        <w:tc>
          <w:tcPr>
            <w:tcW w:w="1864" w:type="dxa"/>
          </w:tcPr>
          <w:p w14:paraId="60F1A11C" w14:textId="77777777" w:rsidR="00EF6B4C" w:rsidRPr="00B0004F" w:rsidRDefault="00EF6B4C" w:rsidP="00404E21">
            <w:pPr>
              <w:jc w:val="center"/>
            </w:pPr>
            <w:r w:rsidRPr="00F05315">
              <w:t>Skilled</w:t>
            </w:r>
          </w:p>
        </w:tc>
        <w:tc>
          <w:tcPr>
            <w:tcW w:w="1863" w:type="dxa"/>
          </w:tcPr>
          <w:p w14:paraId="30BE9D78" w14:textId="77777777" w:rsidR="00EF6B4C" w:rsidRPr="00B0004F" w:rsidRDefault="00EF6B4C" w:rsidP="00404E21">
            <w:pPr>
              <w:jc w:val="center"/>
            </w:pPr>
            <w:r w:rsidRPr="00F05315">
              <w:t>Baseline</w:t>
            </w:r>
          </w:p>
        </w:tc>
        <w:tc>
          <w:tcPr>
            <w:tcW w:w="1868" w:type="dxa"/>
          </w:tcPr>
          <w:p w14:paraId="1BABC675" w14:textId="77777777" w:rsidR="00EF6B4C" w:rsidRPr="00B0004F" w:rsidRDefault="00EF6B4C" w:rsidP="00404E21">
            <w:pPr>
              <w:jc w:val="center"/>
            </w:pPr>
            <w:r w:rsidRPr="00F05315">
              <w:t>Unsatisfactory</w:t>
            </w:r>
          </w:p>
        </w:tc>
        <w:tc>
          <w:tcPr>
            <w:tcW w:w="1867" w:type="dxa"/>
          </w:tcPr>
          <w:p w14:paraId="27E94362" w14:textId="77777777" w:rsidR="00EF6B4C" w:rsidRPr="00B0004F" w:rsidRDefault="00EF6B4C" w:rsidP="00404E21">
            <w:pPr>
              <w:jc w:val="center"/>
            </w:pPr>
            <w:r w:rsidRPr="00F05315">
              <w:t>Not Applicable</w:t>
            </w:r>
          </w:p>
        </w:tc>
      </w:tr>
    </w:tbl>
    <w:p w14:paraId="75B3C51A" w14:textId="77777777" w:rsidR="00F6476B" w:rsidRDefault="00F6476B" w:rsidP="00F6476B"/>
    <w:p w14:paraId="0C9D6096" w14:textId="77777777" w:rsidR="00F6476B" w:rsidRDefault="00F6476B" w:rsidP="00F6476B"/>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7"/>
        <w:gridCol w:w="1857"/>
        <w:gridCol w:w="1854"/>
        <w:gridCol w:w="1866"/>
        <w:gridCol w:w="1861"/>
        <w:gridCol w:w="25"/>
      </w:tblGrid>
      <w:tr w:rsidR="00F6476B" w:rsidRPr="00093BD7" w14:paraId="65ECC237" w14:textId="77777777" w:rsidTr="00EF6B4C">
        <w:tc>
          <w:tcPr>
            <w:tcW w:w="9330" w:type="dxa"/>
            <w:gridSpan w:val="6"/>
          </w:tcPr>
          <w:p w14:paraId="0C8F062E" w14:textId="4AB9F8AF" w:rsidR="00F6476B" w:rsidRPr="00093BD7" w:rsidRDefault="00EF6B4C" w:rsidP="009551FE">
            <w:pPr>
              <w:jc w:val="center"/>
              <w:rPr>
                <w:b/>
                <w:bCs/>
              </w:rPr>
            </w:pPr>
            <w:r>
              <w:rPr>
                <w:b/>
                <w:bCs/>
              </w:rPr>
              <w:t>SCHOLARSHIP/CREATIVE ACTIVITY</w:t>
            </w:r>
          </w:p>
        </w:tc>
      </w:tr>
      <w:tr w:rsidR="00F6476B" w:rsidRPr="00093BD7" w14:paraId="3965FFCB" w14:textId="77777777" w:rsidTr="00EF6B4C">
        <w:tc>
          <w:tcPr>
            <w:tcW w:w="9330" w:type="dxa"/>
            <w:gridSpan w:val="6"/>
          </w:tcPr>
          <w:p w14:paraId="2449AC5C" w14:textId="1E1FB6D5" w:rsidR="00F6476B" w:rsidRPr="00BD27CC" w:rsidRDefault="00F6476B" w:rsidP="009551FE">
            <w:pPr>
              <w:rPr>
                <w:sz w:val="22"/>
                <w:szCs w:val="22"/>
              </w:rPr>
            </w:pPr>
            <w:r w:rsidRPr="00BD27CC">
              <w:rPr>
                <w:sz w:val="22"/>
                <w:szCs w:val="22"/>
              </w:rPr>
              <w:t>The Potter College of Arts and Letters (PCAL) recognizes research and creative scholarship varies based on the various academic disciplines that comprise the college. Therefore, evaluation of expectations in this area will be determined by the department/school. Level of research/creative scholarship productivity can be defined using the four evaluation categories of Unsatisfactory, Baseline, Skilled, and Distinguished (refer to definitions of these categories listed above).</w:t>
            </w:r>
          </w:p>
        </w:tc>
      </w:tr>
      <w:tr w:rsidR="00F6476B" w:rsidRPr="00093BD7" w14:paraId="028ED568" w14:textId="77777777" w:rsidTr="00EF6B4C">
        <w:tc>
          <w:tcPr>
            <w:tcW w:w="9330" w:type="dxa"/>
            <w:gridSpan w:val="6"/>
          </w:tcPr>
          <w:p w14:paraId="1912D555" w14:textId="2762FE8B" w:rsidR="00F6476B" w:rsidRPr="00FD2362" w:rsidRDefault="00EF6B4C" w:rsidP="000E519A">
            <w:pPr>
              <w:jc w:val="center"/>
              <w:rPr>
                <w:b/>
                <w:bCs/>
              </w:rPr>
            </w:pPr>
            <w:r w:rsidRPr="00DD7D32">
              <w:rPr>
                <w:b/>
                <w:bCs/>
              </w:rPr>
              <w:t>Chair/Director Comment/Evaluation/Suggestions</w:t>
            </w:r>
          </w:p>
        </w:tc>
      </w:tr>
      <w:tr w:rsidR="00F6476B" w:rsidRPr="00093BD7" w14:paraId="7768BD36" w14:textId="77777777" w:rsidTr="00EF6B4C">
        <w:tc>
          <w:tcPr>
            <w:tcW w:w="9330" w:type="dxa"/>
            <w:gridSpan w:val="6"/>
          </w:tcPr>
          <w:p w14:paraId="0546726D" w14:textId="77777777" w:rsidR="00F6476B" w:rsidRPr="00BD27CC" w:rsidRDefault="00F6476B" w:rsidP="009551FE"/>
          <w:p w14:paraId="7AA06C54" w14:textId="77777777" w:rsidR="00F6476B" w:rsidRPr="00093BD7" w:rsidRDefault="00F6476B" w:rsidP="009551FE">
            <w:pPr>
              <w:rPr>
                <w:i/>
                <w:iCs/>
              </w:rPr>
            </w:pPr>
          </w:p>
        </w:tc>
      </w:tr>
      <w:tr w:rsidR="00EF6B4C" w:rsidRPr="00B0004F" w14:paraId="325C25EA" w14:textId="77777777" w:rsidTr="00EF6B4C">
        <w:trPr>
          <w:gridAfter w:val="1"/>
          <w:wAfter w:w="25" w:type="dxa"/>
        </w:trPr>
        <w:tc>
          <w:tcPr>
            <w:tcW w:w="1867" w:type="dxa"/>
          </w:tcPr>
          <w:p w14:paraId="7D3B7E57" w14:textId="5AFC366B" w:rsidR="00EF6B4C" w:rsidRPr="00B0004F" w:rsidRDefault="00EF6B4C" w:rsidP="00EF6B4C">
            <w:pPr>
              <w:jc w:val="center"/>
            </w:pPr>
            <w:r w:rsidRPr="00F05315">
              <w:t>Distinguished</w:t>
            </w:r>
          </w:p>
        </w:tc>
        <w:tc>
          <w:tcPr>
            <w:tcW w:w="1857" w:type="dxa"/>
          </w:tcPr>
          <w:p w14:paraId="6E6AC4DE" w14:textId="2CC5EFE7" w:rsidR="00EF6B4C" w:rsidRPr="00B0004F" w:rsidRDefault="00EF6B4C" w:rsidP="00EF6B4C">
            <w:pPr>
              <w:jc w:val="center"/>
            </w:pPr>
            <w:r w:rsidRPr="00F05315">
              <w:t>Skilled</w:t>
            </w:r>
          </w:p>
        </w:tc>
        <w:tc>
          <w:tcPr>
            <w:tcW w:w="1854" w:type="dxa"/>
          </w:tcPr>
          <w:p w14:paraId="110F5CD5" w14:textId="1DAF0B87" w:rsidR="00EF6B4C" w:rsidRPr="00B0004F" w:rsidRDefault="00EF6B4C" w:rsidP="00EF6B4C">
            <w:pPr>
              <w:jc w:val="center"/>
            </w:pPr>
            <w:r w:rsidRPr="00F05315">
              <w:t>Baseline</w:t>
            </w:r>
          </w:p>
        </w:tc>
        <w:tc>
          <w:tcPr>
            <w:tcW w:w="1866" w:type="dxa"/>
          </w:tcPr>
          <w:p w14:paraId="15690550" w14:textId="182AB6CB" w:rsidR="00EF6B4C" w:rsidRPr="00B0004F" w:rsidRDefault="00EF6B4C" w:rsidP="00EF6B4C">
            <w:pPr>
              <w:jc w:val="center"/>
            </w:pPr>
            <w:r w:rsidRPr="00F05315">
              <w:t>Unsatisfactory</w:t>
            </w:r>
          </w:p>
        </w:tc>
        <w:tc>
          <w:tcPr>
            <w:tcW w:w="1861" w:type="dxa"/>
          </w:tcPr>
          <w:p w14:paraId="78FD8ECC" w14:textId="2D2F1AA5" w:rsidR="00EF6B4C" w:rsidRPr="00B0004F" w:rsidRDefault="00EF6B4C" w:rsidP="00EF6B4C">
            <w:pPr>
              <w:jc w:val="center"/>
            </w:pPr>
            <w:r w:rsidRPr="00F05315">
              <w:t>Not Applicable</w:t>
            </w:r>
          </w:p>
        </w:tc>
      </w:tr>
    </w:tbl>
    <w:p w14:paraId="082FB3A3" w14:textId="178F2D6A" w:rsidR="00F6476B" w:rsidRDefault="00F6476B" w:rsidP="00F6476B"/>
    <w:p w14:paraId="60F7E913" w14:textId="77777777" w:rsidR="00F6476B" w:rsidRDefault="00F6476B" w:rsidP="00F6476B"/>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9"/>
        <w:gridCol w:w="1864"/>
        <w:gridCol w:w="1863"/>
        <w:gridCol w:w="1868"/>
        <w:gridCol w:w="1866"/>
      </w:tblGrid>
      <w:tr w:rsidR="00F6476B" w:rsidRPr="00093BD7" w14:paraId="45C5BC41" w14:textId="77777777" w:rsidTr="00EF6B4C">
        <w:tc>
          <w:tcPr>
            <w:tcW w:w="9330" w:type="dxa"/>
            <w:gridSpan w:val="5"/>
          </w:tcPr>
          <w:p w14:paraId="21B55D37" w14:textId="464A8706" w:rsidR="00F6476B" w:rsidRPr="00093BD7" w:rsidRDefault="00EF6B4C" w:rsidP="009551FE">
            <w:pPr>
              <w:jc w:val="center"/>
              <w:rPr>
                <w:b/>
                <w:bCs/>
              </w:rPr>
            </w:pPr>
            <w:r>
              <w:rPr>
                <w:b/>
                <w:bCs/>
              </w:rPr>
              <w:t>SERVICE</w:t>
            </w:r>
          </w:p>
        </w:tc>
      </w:tr>
      <w:tr w:rsidR="00F6476B" w:rsidRPr="00093BD7" w14:paraId="2AE375B2" w14:textId="77777777" w:rsidTr="00EF6B4C">
        <w:tc>
          <w:tcPr>
            <w:tcW w:w="9330" w:type="dxa"/>
            <w:gridSpan w:val="5"/>
          </w:tcPr>
          <w:p w14:paraId="0886D9E6" w14:textId="77777777" w:rsidR="00BD27CC" w:rsidRDefault="00F6476B" w:rsidP="009551FE">
            <w:pPr>
              <w:autoSpaceDE w:val="0"/>
              <w:autoSpaceDN w:val="0"/>
              <w:adjustRightInd w:val="0"/>
              <w:rPr>
                <w:rFonts w:cs="Avenir Book"/>
                <w:color w:val="000000"/>
                <w:sz w:val="22"/>
                <w:szCs w:val="22"/>
              </w:rPr>
            </w:pPr>
            <w:r w:rsidRPr="00BD27CC">
              <w:rPr>
                <w:rFonts w:cs="Avenir Book"/>
                <w:color w:val="000000"/>
                <w:sz w:val="22"/>
                <w:szCs w:val="22"/>
              </w:rPr>
              <w:t>The Potter College of Arts and Letters (PCAL) recognizes that service varies across the academy of the arts, humanities, media, and social sciences. Despite these differences, service productivity can be defined using the four evaluation categories of Unsatisfactory, Baseline, Skilled, and Distinguished (refer to definitions of these categories listed above). Each academic unit within PCAL will determine more defined language as it relates to service expectations in their department/school.</w:t>
            </w:r>
          </w:p>
          <w:p w14:paraId="4DD3E912" w14:textId="204B7386" w:rsidR="00F6476B" w:rsidRPr="00BD27CC" w:rsidRDefault="00F6476B" w:rsidP="009551FE">
            <w:pPr>
              <w:autoSpaceDE w:val="0"/>
              <w:autoSpaceDN w:val="0"/>
              <w:adjustRightInd w:val="0"/>
              <w:rPr>
                <w:rFonts w:cs="Avenir Book"/>
                <w:color w:val="000000"/>
                <w:sz w:val="22"/>
                <w:szCs w:val="22"/>
              </w:rPr>
            </w:pPr>
          </w:p>
          <w:p w14:paraId="55A1411D" w14:textId="77777777" w:rsidR="00F6476B" w:rsidRPr="00BD27CC" w:rsidRDefault="00F6476B" w:rsidP="009551FE">
            <w:pPr>
              <w:autoSpaceDE w:val="0"/>
              <w:autoSpaceDN w:val="0"/>
              <w:adjustRightInd w:val="0"/>
              <w:rPr>
                <w:rFonts w:cs="Avenir Book"/>
                <w:color w:val="000000"/>
                <w:sz w:val="22"/>
                <w:szCs w:val="22"/>
              </w:rPr>
            </w:pPr>
            <w:r w:rsidRPr="00BD27CC">
              <w:rPr>
                <w:rFonts w:cs="Avenir Book"/>
                <w:color w:val="000000"/>
                <w:sz w:val="22"/>
                <w:szCs w:val="22"/>
              </w:rPr>
              <w:t xml:space="preserve">Faculty who </w:t>
            </w:r>
            <w:proofErr w:type="gramStart"/>
            <w:r w:rsidRPr="00BD27CC">
              <w:rPr>
                <w:rFonts w:cs="Avenir Book"/>
                <w:color w:val="000000"/>
                <w:sz w:val="22"/>
                <w:szCs w:val="22"/>
              </w:rPr>
              <w:t>have</w:t>
            </w:r>
            <w:proofErr w:type="gramEnd"/>
            <w:r w:rsidRPr="00BD27CC">
              <w:rPr>
                <w:rFonts w:cs="Avenir Book"/>
                <w:color w:val="000000"/>
                <w:sz w:val="22"/>
                <w:szCs w:val="22"/>
              </w:rPr>
              <w:t xml:space="preserve"> service expectations as a function of their appointment, will be evaluated at a minimum using the following criteria:</w:t>
            </w:r>
          </w:p>
          <w:p w14:paraId="264BCCC1" w14:textId="2F71FBD1" w:rsidR="00F6476B" w:rsidRPr="00BD27CC" w:rsidRDefault="00F6476B" w:rsidP="009551FE">
            <w:pPr>
              <w:autoSpaceDE w:val="0"/>
              <w:autoSpaceDN w:val="0"/>
              <w:adjustRightInd w:val="0"/>
              <w:rPr>
                <w:rFonts w:cs="Avenir Book"/>
                <w:color w:val="000000"/>
                <w:sz w:val="22"/>
                <w:szCs w:val="22"/>
              </w:rPr>
            </w:pPr>
          </w:p>
          <w:p w14:paraId="44FACC13" w14:textId="77777777" w:rsidR="00F6476B" w:rsidRPr="00BD27CC" w:rsidRDefault="00F6476B" w:rsidP="009551FE">
            <w:pPr>
              <w:autoSpaceDE w:val="0"/>
              <w:autoSpaceDN w:val="0"/>
              <w:adjustRightInd w:val="0"/>
              <w:rPr>
                <w:rFonts w:cs="Avenir Book"/>
                <w:color w:val="000000"/>
                <w:sz w:val="22"/>
                <w:szCs w:val="22"/>
              </w:rPr>
            </w:pPr>
            <w:r w:rsidRPr="00BD27CC">
              <w:rPr>
                <w:rFonts w:cs="Avenir Black"/>
                <w:b/>
                <w:bCs/>
                <w:color w:val="000000"/>
                <w:sz w:val="22"/>
                <w:szCs w:val="22"/>
              </w:rPr>
              <w:t>Size and Scope </w:t>
            </w:r>
          </w:p>
          <w:p w14:paraId="6473C513" w14:textId="77777777" w:rsidR="00F6476B" w:rsidRPr="00BD27CC" w:rsidRDefault="00F6476B" w:rsidP="00F6476B">
            <w:pPr>
              <w:numPr>
                <w:ilvl w:val="0"/>
                <w:numId w:val="1"/>
              </w:numPr>
              <w:tabs>
                <w:tab w:val="left" w:pos="220"/>
                <w:tab w:val="left" w:pos="720"/>
              </w:tabs>
              <w:autoSpaceDE w:val="0"/>
              <w:autoSpaceDN w:val="0"/>
              <w:adjustRightInd w:val="0"/>
              <w:ind w:hanging="720"/>
              <w:rPr>
                <w:rFonts w:cs="Avenir Book"/>
                <w:color w:val="000000"/>
                <w:sz w:val="22"/>
                <w:szCs w:val="22"/>
              </w:rPr>
            </w:pPr>
            <w:r w:rsidRPr="00BD27CC">
              <w:rPr>
                <w:rFonts w:cs="Avenir Book"/>
                <w:color w:val="000000"/>
                <w:sz w:val="22"/>
                <w:szCs w:val="22"/>
              </w:rPr>
              <w:t>Short-term vs. long-term</w:t>
            </w:r>
          </w:p>
          <w:p w14:paraId="485C5161" w14:textId="77777777" w:rsidR="00F6476B" w:rsidRPr="00BD27CC" w:rsidRDefault="00F6476B" w:rsidP="00F6476B">
            <w:pPr>
              <w:numPr>
                <w:ilvl w:val="0"/>
                <w:numId w:val="1"/>
              </w:numPr>
              <w:tabs>
                <w:tab w:val="left" w:pos="220"/>
                <w:tab w:val="left" w:pos="720"/>
              </w:tabs>
              <w:autoSpaceDE w:val="0"/>
              <w:autoSpaceDN w:val="0"/>
              <w:adjustRightInd w:val="0"/>
              <w:ind w:hanging="720"/>
              <w:rPr>
                <w:rFonts w:cs="Avenir Book"/>
                <w:color w:val="000000"/>
                <w:sz w:val="22"/>
                <w:szCs w:val="22"/>
              </w:rPr>
            </w:pPr>
            <w:r w:rsidRPr="00BD27CC">
              <w:rPr>
                <w:rFonts w:cs="Avenir Book"/>
                <w:color w:val="000000"/>
                <w:sz w:val="22"/>
                <w:szCs w:val="22"/>
              </w:rPr>
              <w:t>Level of service</w:t>
            </w:r>
          </w:p>
          <w:p w14:paraId="6B1A4B27" w14:textId="72550151" w:rsidR="00F6476B" w:rsidRPr="00BE6062" w:rsidRDefault="00F6476B" w:rsidP="009551FE">
            <w:pPr>
              <w:numPr>
                <w:ilvl w:val="0"/>
                <w:numId w:val="1"/>
              </w:numPr>
              <w:tabs>
                <w:tab w:val="left" w:pos="220"/>
                <w:tab w:val="left" w:pos="720"/>
              </w:tabs>
              <w:autoSpaceDE w:val="0"/>
              <w:autoSpaceDN w:val="0"/>
              <w:adjustRightInd w:val="0"/>
              <w:ind w:hanging="720"/>
              <w:rPr>
                <w:rFonts w:cs="Avenir Book"/>
                <w:color w:val="000000"/>
                <w:sz w:val="22"/>
                <w:szCs w:val="22"/>
              </w:rPr>
            </w:pPr>
            <w:r w:rsidRPr="00BD27CC">
              <w:rPr>
                <w:rFonts w:cs="Avenir Book"/>
                <w:color w:val="000000"/>
                <w:sz w:val="22"/>
                <w:szCs w:val="22"/>
              </w:rPr>
              <w:t>Time commitment</w:t>
            </w:r>
          </w:p>
          <w:p w14:paraId="6AC20336" w14:textId="77777777" w:rsidR="00F6476B" w:rsidRPr="00BD27CC" w:rsidRDefault="00F6476B" w:rsidP="009551FE">
            <w:pPr>
              <w:autoSpaceDE w:val="0"/>
              <w:autoSpaceDN w:val="0"/>
              <w:adjustRightInd w:val="0"/>
              <w:rPr>
                <w:rFonts w:cs="Avenir Book"/>
                <w:color w:val="000000"/>
                <w:sz w:val="22"/>
                <w:szCs w:val="22"/>
              </w:rPr>
            </w:pPr>
            <w:r w:rsidRPr="00BD27CC">
              <w:rPr>
                <w:rFonts w:cs="Avenir Black"/>
                <w:b/>
                <w:bCs/>
                <w:color w:val="000000"/>
                <w:sz w:val="22"/>
                <w:szCs w:val="22"/>
              </w:rPr>
              <w:t>Type and Quality</w:t>
            </w:r>
          </w:p>
          <w:p w14:paraId="5E63849D" w14:textId="256D9854" w:rsidR="00F6476B" w:rsidRPr="00BE6062" w:rsidRDefault="00F6476B" w:rsidP="00BE6062">
            <w:pPr>
              <w:pStyle w:val="ListParagraph"/>
              <w:numPr>
                <w:ilvl w:val="0"/>
                <w:numId w:val="8"/>
              </w:numPr>
              <w:tabs>
                <w:tab w:val="left" w:pos="240"/>
              </w:tabs>
              <w:autoSpaceDE w:val="0"/>
              <w:autoSpaceDN w:val="0"/>
              <w:adjustRightInd w:val="0"/>
              <w:ind w:left="330"/>
              <w:rPr>
                <w:rFonts w:cs="Avenir Book"/>
                <w:color w:val="000000"/>
                <w:sz w:val="22"/>
                <w:szCs w:val="22"/>
              </w:rPr>
            </w:pPr>
            <w:r w:rsidRPr="00BE6062">
              <w:rPr>
                <w:rFonts w:cs="Avenir Book"/>
                <w:color w:val="000000"/>
                <w:sz w:val="22"/>
                <w:szCs w:val="22"/>
              </w:rPr>
              <w:t>Professional invited service vs. non-invited (</w:t>
            </w:r>
            <w:proofErr w:type="gramStart"/>
            <w:r w:rsidRPr="00BE6062">
              <w:rPr>
                <w:rFonts w:cs="Avenir Book"/>
                <w:color w:val="000000"/>
                <w:sz w:val="22"/>
                <w:szCs w:val="22"/>
              </w:rPr>
              <w:t>i.e.</w:t>
            </w:r>
            <w:proofErr w:type="gramEnd"/>
            <w:r w:rsidRPr="00BE6062">
              <w:rPr>
                <w:rFonts w:cs="Avenir Book"/>
                <w:color w:val="000000"/>
                <w:sz w:val="22"/>
                <w:szCs w:val="22"/>
              </w:rPr>
              <w:t xml:space="preserve"> service to the department, college, university, discipline, or professional-level community service. </w:t>
            </w:r>
          </w:p>
        </w:tc>
      </w:tr>
      <w:tr w:rsidR="00F6476B" w:rsidRPr="00093BD7" w14:paraId="3794BCDC" w14:textId="77777777" w:rsidTr="00EF6B4C">
        <w:tc>
          <w:tcPr>
            <w:tcW w:w="9330" w:type="dxa"/>
            <w:gridSpan w:val="5"/>
          </w:tcPr>
          <w:p w14:paraId="7326EE66" w14:textId="1BCBEF51" w:rsidR="00F6476B" w:rsidRPr="00FD2362" w:rsidRDefault="00EF6B4C" w:rsidP="000E519A">
            <w:pPr>
              <w:jc w:val="center"/>
              <w:rPr>
                <w:b/>
                <w:bCs/>
              </w:rPr>
            </w:pPr>
            <w:r w:rsidRPr="00DD7D32">
              <w:rPr>
                <w:b/>
                <w:bCs/>
              </w:rPr>
              <w:t>Chair/Director Comment/Evaluation/Suggestions</w:t>
            </w:r>
          </w:p>
        </w:tc>
      </w:tr>
      <w:tr w:rsidR="00F6476B" w:rsidRPr="00093BD7" w14:paraId="4229660D" w14:textId="77777777" w:rsidTr="00EF6B4C">
        <w:tc>
          <w:tcPr>
            <w:tcW w:w="9330" w:type="dxa"/>
            <w:gridSpan w:val="5"/>
          </w:tcPr>
          <w:p w14:paraId="33091286" w14:textId="77777777" w:rsidR="00F6476B" w:rsidRDefault="00F6476B" w:rsidP="009551FE"/>
          <w:p w14:paraId="61A2EB4A" w14:textId="42D651B3" w:rsidR="00BE6062" w:rsidRPr="00BE6062" w:rsidRDefault="00BE6062" w:rsidP="009551FE"/>
        </w:tc>
      </w:tr>
      <w:tr w:rsidR="00EF6B4C" w:rsidRPr="000E2B5D" w14:paraId="21E0D7DE" w14:textId="77777777" w:rsidTr="00EF6B4C">
        <w:tc>
          <w:tcPr>
            <w:tcW w:w="1869" w:type="dxa"/>
          </w:tcPr>
          <w:p w14:paraId="40AF2CD0" w14:textId="378ED735" w:rsidR="00EF6B4C" w:rsidRPr="000E2B5D" w:rsidRDefault="00EF6B4C" w:rsidP="00EF6B4C">
            <w:pPr>
              <w:jc w:val="center"/>
            </w:pPr>
            <w:r w:rsidRPr="00F05315">
              <w:lastRenderedPageBreak/>
              <w:t>Distinguished</w:t>
            </w:r>
          </w:p>
        </w:tc>
        <w:tc>
          <w:tcPr>
            <w:tcW w:w="1864" w:type="dxa"/>
          </w:tcPr>
          <w:p w14:paraId="1B56EC20" w14:textId="059C0D25" w:rsidR="00EF6B4C" w:rsidRPr="000E2B5D" w:rsidRDefault="00EF6B4C" w:rsidP="00EF6B4C">
            <w:pPr>
              <w:jc w:val="center"/>
            </w:pPr>
            <w:r w:rsidRPr="00F05315">
              <w:t>Skilled</w:t>
            </w:r>
          </w:p>
        </w:tc>
        <w:tc>
          <w:tcPr>
            <w:tcW w:w="1863" w:type="dxa"/>
          </w:tcPr>
          <w:p w14:paraId="70AD42D1" w14:textId="74189B94" w:rsidR="00EF6B4C" w:rsidRPr="000E2B5D" w:rsidRDefault="00EF6B4C" w:rsidP="00EF6B4C">
            <w:pPr>
              <w:jc w:val="center"/>
            </w:pPr>
            <w:r w:rsidRPr="00F05315">
              <w:t>Baseline</w:t>
            </w:r>
          </w:p>
        </w:tc>
        <w:tc>
          <w:tcPr>
            <w:tcW w:w="1868" w:type="dxa"/>
          </w:tcPr>
          <w:p w14:paraId="41E938CC" w14:textId="23C1A65D" w:rsidR="00EF6B4C" w:rsidRPr="000E2B5D" w:rsidRDefault="00EF6B4C" w:rsidP="00EF6B4C">
            <w:pPr>
              <w:jc w:val="center"/>
            </w:pPr>
            <w:r w:rsidRPr="00F05315">
              <w:t>Unsatisfactory</w:t>
            </w:r>
          </w:p>
        </w:tc>
        <w:tc>
          <w:tcPr>
            <w:tcW w:w="1866" w:type="dxa"/>
          </w:tcPr>
          <w:p w14:paraId="2B34C11A" w14:textId="4F91C65A" w:rsidR="00EF6B4C" w:rsidRPr="000E2B5D" w:rsidRDefault="00EF6B4C" w:rsidP="00EF6B4C">
            <w:pPr>
              <w:jc w:val="center"/>
            </w:pPr>
            <w:r w:rsidRPr="00F05315">
              <w:t>Not Applicable</w:t>
            </w:r>
          </w:p>
        </w:tc>
      </w:tr>
    </w:tbl>
    <w:p w14:paraId="5FBE7F86" w14:textId="77777777" w:rsidR="00F6476B" w:rsidRDefault="00F6476B" w:rsidP="00F6476B"/>
    <w:p w14:paraId="2A2F1FAF" w14:textId="77777777" w:rsidR="00F6476B" w:rsidRDefault="00F6476B" w:rsidP="00F6476B"/>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70"/>
        <w:gridCol w:w="1870"/>
        <w:gridCol w:w="5590"/>
      </w:tblGrid>
      <w:tr w:rsidR="00F6476B" w:rsidRPr="00093BD7" w14:paraId="49EFACA2" w14:textId="77777777" w:rsidTr="000E519A">
        <w:tc>
          <w:tcPr>
            <w:tcW w:w="9330" w:type="dxa"/>
            <w:gridSpan w:val="3"/>
          </w:tcPr>
          <w:p w14:paraId="6CDF348B" w14:textId="55919E8E" w:rsidR="00F6476B" w:rsidRPr="00093BD7" w:rsidRDefault="00EF6B4C" w:rsidP="009551FE">
            <w:pPr>
              <w:jc w:val="center"/>
              <w:rPr>
                <w:b/>
                <w:bCs/>
              </w:rPr>
            </w:pPr>
            <w:r>
              <w:rPr>
                <w:b/>
                <w:bCs/>
              </w:rPr>
              <w:t>PROFESSIONALISM</w:t>
            </w:r>
          </w:p>
        </w:tc>
      </w:tr>
      <w:tr w:rsidR="00F6476B" w:rsidRPr="00093BD7" w14:paraId="5892C978" w14:textId="77777777" w:rsidTr="000E519A">
        <w:tc>
          <w:tcPr>
            <w:tcW w:w="9330" w:type="dxa"/>
            <w:gridSpan w:val="3"/>
          </w:tcPr>
          <w:p w14:paraId="0ABEB1AD" w14:textId="77777777" w:rsidR="00F6476B" w:rsidRPr="004D6934" w:rsidRDefault="00F6476B" w:rsidP="009551FE">
            <w:pPr>
              <w:pStyle w:val="elementtoproof"/>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A faculty member behaves professionally by adhering to department, college, University and professional organization standards. Professional behavior includes timely completion of departmental, college and University tasks; ethical conduct in matters of instruction, research and finances; and the maintenance of civil and respectful relationships with students and colleagues.</w:t>
            </w:r>
          </w:p>
          <w:p w14:paraId="50B2DFC3" w14:textId="77777777" w:rsidR="00F6476B" w:rsidRPr="004D6934" w:rsidRDefault="00F6476B" w:rsidP="009551FE">
            <w:pPr>
              <w:pStyle w:val="elementtoproof"/>
              <w:spacing w:before="0" w:beforeAutospacing="0" w:after="0" w:afterAutospacing="0"/>
              <w:rPr>
                <w:rFonts w:ascii="Calibri" w:hAnsi="Calibri" w:cs="Calibri"/>
                <w:color w:val="000000"/>
                <w:sz w:val="21"/>
                <w:szCs w:val="21"/>
              </w:rPr>
            </w:pPr>
          </w:p>
          <w:p w14:paraId="793F123B" w14:textId="77777777" w:rsidR="00F6476B" w:rsidRPr="004D6934" w:rsidRDefault="00F6476B" w:rsidP="00BD27CC">
            <w:pPr>
              <w:pStyle w:val="NormalWeb"/>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Standards to which faculty are expected to adhere are more specifically identified here:</w:t>
            </w:r>
          </w:p>
          <w:p w14:paraId="03AB4BD6" w14:textId="77777777" w:rsidR="00F6476B" w:rsidRPr="004D6934" w:rsidRDefault="00F6476B" w:rsidP="00BD27CC">
            <w:pPr>
              <w:pStyle w:val="NormalWeb"/>
              <w:numPr>
                <w:ilvl w:val="0"/>
                <w:numId w:val="6"/>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 xml:space="preserve">WKU Faculty Handbook Section II.D., Professional </w:t>
            </w:r>
            <w:proofErr w:type="gramStart"/>
            <w:r w:rsidRPr="004D6934">
              <w:rPr>
                <w:rFonts w:ascii="Aptos" w:hAnsi="Aptos" w:cs="Calibri"/>
                <w:color w:val="000000"/>
                <w:sz w:val="22"/>
                <w:szCs w:val="22"/>
              </w:rPr>
              <w:t>Conduct;</w:t>
            </w:r>
            <w:proofErr w:type="gramEnd"/>
          </w:p>
          <w:p w14:paraId="5D890185" w14:textId="77777777" w:rsidR="00F6476B" w:rsidRPr="004D6934" w:rsidRDefault="00F6476B" w:rsidP="00DA6F07">
            <w:pPr>
              <w:pStyle w:val="NormalWeb"/>
              <w:numPr>
                <w:ilvl w:val="0"/>
                <w:numId w:val="6"/>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 xml:space="preserve">WKU Standards of Conduct, Policy </w:t>
            </w:r>
            <w:proofErr w:type="gramStart"/>
            <w:r w:rsidRPr="004D6934">
              <w:rPr>
                <w:rFonts w:ascii="Aptos" w:hAnsi="Aptos" w:cs="Calibri"/>
                <w:color w:val="000000"/>
                <w:sz w:val="22"/>
                <w:szCs w:val="22"/>
              </w:rPr>
              <w:t>4.8;</w:t>
            </w:r>
            <w:proofErr w:type="gramEnd"/>
            <w:r w:rsidRPr="004D6934">
              <w:rPr>
                <w:rFonts w:ascii="Aptos" w:hAnsi="Aptos" w:cs="Calibri"/>
                <w:color w:val="000000"/>
                <w:sz w:val="22"/>
                <w:szCs w:val="22"/>
              </w:rPr>
              <w:t> </w:t>
            </w:r>
          </w:p>
          <w:p w14:paraId="6C0C2EAB" w14:textId="77777777" w:rsidR="00F6476B" w:rsidRPr="004D6934" w:rsidRDefault="00F6476B" w:rsidP="00DA6F07">
            <w:pPr>
              <w:pStyle w:val="NormalWeb"/>
              <w:numPr>
                <w:ilvl w:val="0"/>
                <w:numId w:val="6"/>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WKU departmental/college standards, as adopted through shared governance; and</w:t>
            </w:r>
          </w:p>
          <w:p w14:paraId="2A6750C8" w14:textId="1573CC4C" w:rsidR="00DA6F07" w:rsidRPr="00BD27CC" w:rsidRDefault="00F6476B" w:rsidP="00BD27CC">
            <w:pPr>
              <w:pStyle w:val="ListParagraph"/>
              <w:numPr>
                <w:ilvl w:val="0"/>
                <w:numId w:val="6"/>
              </w:numPr>
              <w:rPr>
                <w:i/>
                <w:iCs/>
              </w:rPr>
            </w:pPr>
            <w:r w:rsidRPr="004D6934">
              <w:rPr>
                <w:rFonts w:ascii="Aptos" w:hAnsi="Aptos" w:cs="Calibri"/>
                <w:color w:val="000000"/>
                <w:sz w:val="22"/>
                <w:szCs w:val="22"/>
              </w:rPr>
              <w:t>Professional organization standards, if applicable.</w:t>
            </w:r>
          </w:p>
        </w:tc>
      </w:tr>
      <w:tr w:rsidR="00F6476B" w:rsidRPr="00093BD7" w14:paraId="6A42FE1B" w14:textId="77777777" w:rsidTr="000E519A">
        <w:tc>
          <w:tcPr>
            <w:tcW w:w="9330" w:type="dxa"/>
            <w:gridSpan w:val="3"/>
          </w:tcPr>
          <w:p w14:paraId="1247DF02" w14:textId="0F360B7A" w:rsidR="00F6476B" w:rsidRPr="00FD2362" w:rsidRDefault="00EF6B4C" w:rsidP="000E519A">
            <w:pPr>
              <w:jc w:val="center"/>
              <w:rPr>
                <w:b/>
                <w:bCs/>
              </w:rPr>
            </w:pPr>
            <w:r w:rsidRPr="00DD7D32">
              <w:rPr>
                <w:b/>
                <w:bCs/>
              </w:rPr>
              <w:t>Chair/Director Comment/Evaluation/Suggestions</w:t>
            </w:r>
          </w:p>
        </w:tc>
      </w:tr>
      <w:tr w:rsidR="00F6476B" w:rsidRPr="00093BD7" w14:paraId="751AA30E" w14:textId="77777777" w:rsidTr="000E519A">
        <w:tc>
          <w:tcPr>
            <w:tcW w:w="9330" w:type="dxa"/>
            <w:gridSpan w:val="3"/>
          </w:tcPr>
          <w:p w14:paraId="5AE75423" w14:textId="77777777" w:rsidR="00F6476B" w:rsidRPr="00BD27CC" w:rsidRDefault="00F6476B" w:rsidP="009551FE"/>
          <w:p w14:paraId="77939DD3" w14:textId="77777777" w:rsidR="00F6476B" w:rsidRPr="00093BD7" w:rsidRDefault="00F6476B" w:rsidP="009551FE">
            <w:pPr>
              <w:rPr>
                <w:i/>
                <w:iCs/>
              </w:rPr>
            </w:pPr>
          </w:p>
        </w:tc>
      </w:tr>
      <w:tr w:rsidR="00131864" w:rsidRPr="00B0004F" w14:paraId="1E423F2D" w14:textId="77777777" w:rsidTr="00404E21">
        <w:trPr>
          <w:gridAfter w:val="1"/>
          <w:wAfter w:w="5590" w:type="dxa"/>
        </w:trPr>
        <w:tc>
          <w:tcPr>
            <w:tcW w:w="1870" w:type="dxa"/>
            <w:vAlign w:val="center"/>
          </w:tcPr>
          <w:p w14:paraId="14D1D880" w14:textId="699284FF" w:rsidR="00131864" w:rsidRPr="00B0004F" w:rsidRDefault="007F0993" w:rsidP="00404E21">
            <w:pPr>
              <w:jc w:val="center"/>
            </w:pPr>
            <w:r>
              <w:t>Satisfactory</w:t>
            </w:r>
          </w:p>
        </w:tc>
        <w:tc>
          <w:tcPr>
            <w:tcW w:w="1870" w:type="dxa"/>
            <w:vAlign w:val="center"/>
          </w:tcPr>
          <w:p w14:paraId="516B5900" w14:textId="6D187EFD" w:rsidR="00131864" w:rsidRPr="00B0004F" w:rsidRDefault="007F0993" w:rsidP="00404E21">
            <w:pPr>
              <w:jc w:val="center"/>
            </w:pPr>
            <w:r>
              <w:t>Uns</w:t>
            </w:r>
            <w:r w:rsidR="00131864" w:rsidRPr="00B0004F">
              <w:t>atisfactory</w:t>
            </w:r>
          </w:p>
        </w:tc>
      </w:tr>
    </w:tbl>
    <w:p w14:paraId="7C849C4F" w14:textId="77777777" w:rsidR="00F6476B" w:rsidRDefault="00F6476B" w:rsidP="00F6476B"/>
    <w:p w14:paraId="066D6D07" w14:textId="77777777" w:rsidR="00F6476B" w:rsidRDefault="00F6476B" w:rsidP="00F6476B"/>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9330"/>
      </w:tblGrid>
      <w:tr w:rsidR="00F6476B" w:rsidRPr="00093BD7" w14:paraId="207FF70B" w14:textId="77777777" w:rsidTr="000E519A">
        <w:tc>
          <w:tcPr>
            <w:tcW w:w="9350" w:type="dxa"/>
          </w:tcPr>
          <w:p w14:paraId="5167D151" w14:textId="77777777" w:rsidR="00EF6B4C" w:rsidRDefault="00EF6B4C" w:rsidP="00EF6B4C">
            <w:pPr>
              <w:jc w:val="center"/>
              <w:rPr>
                <w:b/>
                <w:bCs/>
              </w:rPr>
            </w:pPr>
            <w:r w:rsidRPr="00B0004F">
              <w:rPr>
                <w:b/>
                <w:bCs/>
              </w:rPr>
              <w:t>OTHER COMMENTS</w:t>
            </w:r>
          </w:p>
          <w:p w14:paraId="2EFC4F6E" w14:textId="2ADC5104" w:rsidR="00F6476B" w:rsidRPr="00093BD7" w:rsidRDefault="00EF6B4C" w:rsidP="00EF6B4C">
            <w:pPr>
              <w:jc w:val="center"/>
              <w:rPr>
                <w:b/>
                <w:bCs/>
              </w:rPr>
            </w:pPr>
            <w:r>
              <w:rPr>
                <w:b/>
                <w:bCs/>
              </w:rPr>
              <w:t>I</w:t>
            </w:r>
            <w:r w:rsidRPr="00B0004F">
              <w:rPr>
                <w:b/>
                <w:bCs/>
              </w:rPr>
              <w:t xml:space="preserve">ncluding </w:t>
            </w:r>
            <w:r>
              <w:rPr>
                <w:b/>
                <w:bCs/>
              </w:rPr>
              <w:t>C</w:t>
            </w:r>
            <w:r w:rsidRPr="00B0004F">
              <w:rPr>
                <w:b/>
                <w:bCs/>
              </w:rPr>
              <w:t xml:space="preserve">ontinuing </w:t>
            </w:r>
            <w:r>
              <w:rPr>
                <w:b/>
                <w:bCs/>
              </w:rPr>
              <w:t>P</w:t>
            </w:r>
            <w:r w:rsidRPr="00B0004F">
              <w:rPr>
                <w:b/>
                <w:bCs/>
              </w:rPr>
              <w:t xml:space="preserve">rofessional </w:t>
            </w:r>
            <w:r>
              <w:rPr>
                <w:b/>
                <w:bCs/>
              </w:rPr>
              <w:t>D</w:t>
            </w:r>
            <w:r w:rsidRPr="00B0004F">
              <w:rPr>
                <w:b/>
                <w:bCs/>
              </w:rPr>
              <w:t xml:space="preserve">evelopment </w:t>
            </w:r>
            <w:r>
              <w:rPr>
                <w:b/>
                <w:bCs/>
              </w:rPr>
              <w:t>&amp;</w:t>
            </w:r>
            <w:r w:rsidRPr="00B0004F">
              <w:rPr>
                <w:b/>
                <w:bCs/>
              </w:rPr>
              <w:t xml:space="preserve"> </w:t>
            </w:r>
            <w:r>
              <w:rPr>
                <w:b/>
                <w:bCs/>
              </w:rPr>
              <w:t>I</w:t>
            </w:r>
            <w:r w:rsidRPr="00B0004F">
              <w:rPr>
                <w:b/>
                <w:bCs/>
              </w:rPr>
              <w:t xml:space="preserve">ndividual </w:t>
            </w:r>
            <w:r>
              <w:rPr>
                <w:b/>
                <w:bCs/>
              </w:rPr>
              <w:t>G</w:t>
            </w:r>
            <w:r w:rsidRPr="00B0004F">
              <w:rPr>
                <w:b/>
                <w:bCs/>
              </w:rPr>
              <w:t>oals</w:t>
            </w:r>
          </w:p>
        </w:tc>
      </w:tr>
      <w:tr w:rsidR="00F6476B" w:rsidRPr="00093BD7" w14:paraId="4EDE4F8C" w14:textId="77777777" w:rsidTr="000E519A">
        <w:tc>
          <w:tcPr>
            <w:tcW w:w="9350" w:type="dxa"/>
          </w:tcPr>
          <w:p w14:paraId="5B9DC6BE" w14:textId="7409B001" w:rsidR="00F6476B" w:rsidRPr="00BD27CC" w:rsidRDefault="00F6476B" w:rsidP="009551FE">
            <w:pPr>
              <w:rPr>
                <w:sz w:val="22"/>
                <w:szCs w:val="22"/>
              </w:rPr>
            </w:pPr>
            <w:r w:rsidRPr="00BD27CC">
              <w:rPr>
                <w:sz w:val="22"/>
                <w:szCs w:val="22"/>
              </w:rPr>
              <w:t xml:space="preserve">Potter College of Arts and Letters (PCAL) recognizes that professional development and goal setting varies across the academy.  Departments and schools with PCAL will determine guidance in this category as it relates to expectations surrounding continuing professional development and individual goals. </w:t>
            </w:r>
          </w:p>
        </w:tc>
      </w:tr>
      <w:tr w:rsidR="00F6476B" w:rsidRPr="00093BD7" w14:paraId="45251272" w14:textId="77777777" w:rsidTr="000E519A">
        <w:tc>
          <w:tcPr>
            <w:tcW w:w="9350" w:type="dxa"/>
          </w:tcPr>
          <w:p w14:paraId="0BC038E6" w14:textId="77777777" w:rsidR="00F6476B" w:rsidRDefault="00F6476B" w:rsidP="009551FE"/>
          <w:p w14:paraId="5BC58FA8" w14:textId="7E1877FE" w:rsidR="00BE6062" w:rsidRPr="00BE6062" w:rsidRDefault="00BE6062" w:rsidP="009551FE"/>
        </w:tc>
      </w:tr>
    </w:tbl>
    <w:p w14:paraId="3A418744" w14:textId="75CCBC96" w:rsidR="00F6476B" w:rsidRDefault="00F6476B" w:rsidP="00F6476B"/>
    <w:p w14:paraId="4A6BAFFE" w14:textId="77777777" w:rsidR="00BE6062" w:rsidRDefault="00BE6062" w:rsidP="00F6476B"/>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74"/>
        <w:gridCol w:w="1870"/>
        <w:gridCol w:w="1869"/>
        <w:gridCol w:w="3717"/>
      </w:tblGrid>
      <w:tr w:rsidR="00F6476B" w:rsidRPr="00093BD7" w14:paraId="33B01777" w14:textId="77777777" w:rsidTr="000E519A">
        <w:tc>
          <w:tcPr>
            <w:tcW w:w="9330" w:type="dxa"/>
            <w:gridSpan w:val="4"/>
          </w:tcPr>
          <w:p w14:paraId="7EEF0C19" w14:textId="129B999A" w:rsidR="00F6476B" w:rsidRPr="00093BD7" w:rsidRDefault="00EF6B4C" w:rsidP="009551FE">
            <w:pPr>
              <w:jc w:val="center"/>
              <w:rPr>
                <w:b/>
                <w:bCs/>
              </w:rPr>
            </w:pPr>
            <w:r w:rsidRPr="00B0004F">
              <w:rPr>
                <w:b/>
                <w:bCs/>
              </w:rPr>
              <w:t>POST-TENURE REVIEW</w:t>
            </w:r>
          </w:p>
        </w:tc>
      </w:tr>
      <w:tr w:rsidR="00F6476B" w:rsidRPr="00093BD7" w14:paraId="2EE5D1B0" w14:textId="77777777" w:rsidTr="000E519A">
        <w:tc>
          <w:tcPr>
            <w:tcW w:w="9330" w:type="dxa"/>
            <w:gridSpan w:val="4"/>
          </w:tcPr>
          <w:p w14:paraId="0580F7CA" w14:textId="77777777" w:rsidR="00F6476B" w:rsidRPr="000E519A" w:rsidRDefault="00F6476B" w:rsidP="009551FE">
            <w:pPr>
              <w:rPr>
                <w:sz w:val="22"/>
                <w:szCs w:val="22"/>
              </w:rPr>
            </w:pPr>
            <w:r w:rsidRPr="000E519A">
              <w:rPr>
                <w:sz w:val="22"/>
                <w:szCs w:val="22"/>
              </w:rPr>
              <w:t xml:space="preserve">The post-tenure review process at WKU is built upon the annual evaluation process. </w:t>
            </w:r>
          </w:p>
          <w:p w14:paraId="3FAEC5C4" w14:textId="27F88BB5" w:rsidR="00F6476B" w:rsidRPr="000E519A" w:rsidRDefault="00F6476B" w:rsidP="009551FE">
            <w:pPr>
              <w:rPr>
                <w:i/>
                <w:iCs/>
                <w:sz w:val="22"/>
                <w:szCs w:val="22"/>
              </w:rPr>
            </w:pPr>
            <w:r w:rsidRPr="000E519A">
              <w:rPr>
                <w:sz w:val="22"/>
                <w:szCs w:val="22"/>
              </w:rPr>
              <w:t xml:space="preserve">The department chair/director should explicitly address the post-tenure review goals of commending and recognizing superior performance, </w:t>
            </w:r>
            <w:proofErr w:type="gramStart"/>
            <w:r w:rsidRPr="000E519A">
              <w:rPr>
                <w:sz w:val="22"/>
                <w:szCs w:val="22"/>
              </w:rPr>
              <w:t>encouraging</w:t>
            </w:r>
            <w:proofErr w:type="gramEnd"/>
            <w:r w:rsidRPr="000E519A">
              <w:rPr>
                <w:sz w:val="22"/>
                <w:szCs w:val="22"/>
              </w:rPr>
              <w:t xml:space="preserve"> and facilitating improvement whenever necessary, maximizing opportunities for continuing professional development, and advancing attainment of institutional goals.</w:t>
            </w:r>
            <w:r w:rsidR="007F0993">
              <w:rPr>
                <w:sz w:val="22"/>
                <w:szCs w:val="22"/>
              </w:rPr>
              <w:t xml:space="preserve"> (See </w:t>
            </w:r>
            <w:r w:rsidR="007F0993" w:rsidRPr="007F0993">
              <w:rPr>
                <w:i/>
                <w:iCs/>
                <w:sz w:val="22"/>
                <w:szCs w:val="22"/>
              </w:rPr>
              <w:t>Faculty Handbook</w:t>
            </w:r>
            <w:r w:rsidR="007F0993">
              <w:rPr>
                <w:sz w:val="22"/>
                <w:szCs w:val="22"/>
              </w:rPr>
              <w:t>, Section VI)</w:t>
            </w:r>
          </w:p>
        </w:tc>
      </w:tr>
      <w:tr w:rsidR="00F6476B" w:rsidRPr="00093BD7" w14:paraId="33AD7F5C" w14:textId="77777777" w:rsidTr="000E519A">
        <w:tc>
          <w:tcPr>
            <w:tcW w:w="9330" w:type="dxa"/>
            <w:gridSpan w:val="4"/>
          </w:tcPr>
          <w:p w14:paraId="41AA0C7A" w14:textId="2B31964B" w:rsidR="00F6476B" w:rsidRPr="00FD2362" w:rsidRDefault="00F6476B" w:rsidP="007F678F">
            <w:pPr>
              <w:jc w:val="center"/>
              <w:rPr>
                <w:b/>
                <w:bCs/>
              </w:rPr>
            </w:pPr>
            <w:r w:rsidRPr="00FD2362">
              <w:rPr>
                <w:b/>
                <w:bCs/>
              </w:rPr>
              <w:t>Chair</w:t>
            </w:r>
            <w:r w:rsidR="007F0993">
              <w:rPr>
                <w:b/>
                <w:bCs/>
              </w:rPr>
              <w:t>/Director</w:t>
            </w:r>
            <w:r w:rsidRPr="00FD2362">
              <w:rPr>
                <w:b/>
                <w:bCs/>
              </w:rPr>
              <w:t xml:space="preserve"> Comment/Evaluation/</w:t>
            </w:r>
            <w:r>
              <w:rPr>
                <w:b/>
                <w:bCs/>
              </w:rPr>
              <w:t xml:space="preserve">Plans for </w:t>
            </w:r>
            <w:r w:rsidR="005C6C2C">
              <w:rPr>
                <w:b/>
                <w:bCs/>
              </w:rPr>
              <w:t>I</w:t>
            </w:r>
            <w:r>
              <w:rPr>
                <w:b/>
                <w:bCs/>
              </w:rPr>
              <w:t>mprovement</w:t>
            </w:r>
          </w:p>
        </w:tc>
      </w:tr>
      <w:tr w:rsidR="00F6476B" w:rsidRPr="00093BD7" w14:paraId="3A684313" w14:textId="77777777" w:rsidTr="000E519A">
        <w:tc>
          <w:tcPr>
            <w:tcW w:w="9330" w:type="dxa"/>
            <w:gridSpan w:val="4"/>
          </w:tcPr>
          <w:p w14:paraId="655B2CA6" w14:textId="77777777" w:rsidR="00F6476B" w:rsidRDefault="00F6476B" w:rsidP="009551FE"/>
          <w:p w14:paraId="7FB0BDA4" w14:textId="68537923" w:rsidR="00BE6062" w:rsidRPr="00BE6062" w:rsidRDefault="00BE6062" w:rsidP="009551FE"/>
        </w:tc>
      </w:tr>
      <w:tr w:rsidR="00EF6B4C" w:rsidRPr="00B0004F" w14:paraId="3149F9CD" w14:textId="77777777" w:rsidTr="00A54754">
        <w:trPr>
          <w:gridAfter w:val="1"/>
          <w:wAfter w:w="3717" w:type="dxa"/>
          <w:trHeight w:val="450"/>
        </w:trPr>
        <w:tc>
          <w:tcPr>
            <w:tcW w:w="1874" w:type="dxa"/>
            <w:vAlign w:val="center"/>
          </w:tcPr>
          <w:p w14:paraId="36B8312F" w14:textId="77777777" w:rsidR="00EF6B4C" w:rsidRPr="00B0004F" w:rsidRDefault="00EF6B4C" w:rsidP="00A54754">
            <w:pPr>
              <w:jc w:val="center"/>
            </w:pPr>
            <w:r>
              <w:lastRenderedPageBreak/>
              <w:t>S</w:t>
            </w:r>
            <w:r w:rsidRPr="00B0004F">
              <w:t>atisfactory</w:t>
            </w:r>
          </w:p>
        </w:tc>
        <w:tc>
          <w:tcPr>
            <w:tcW w:w="1870" w:type="dxa"/>
            <w:vAlign w:val="center"/>
          </w:tcPr>
          <w:p w14:paraId="5343AC4B" w14:textId="77777777" w:rsidR="00EF6B4C" w:rsidRPr="00B65B34" w:rsidRDefault="00EF6B4C" w:rsidP="00A54754">
            <w:pPr>
              <w:jc w:val="center"/>
            </w:pPr>
            <w:r w:rsidRPr="00B65B34">
              <w:t>Unsatisfactory</w:t>
            </w:r>
          </w:p>
        </w:tc>
        <w:tc>
          <w:tcPr>
            <w:tcW w:w="1869" w:type="dxa"/>
            <w:vAlign w:val="center"/>
          </w:tcPr>
          <w:p w14:paraId="66359961" w14:textId="77777777" w:rsidR="00EF6B4C" w:rsidRPr="00B0004F" w:rsidRDefault="00EF6B4C" w:rsidP="00A54754">
            <w:pPr>
              <w:jc w:val="center"/>
            </w:pPr>
            <w:r>
              <w:t>N/A Untenured</w:t>
            </w:r>
          </w:p>
        </w:tc>
      </w:tr>
    </w:tbl>
    <w:p w14:paraId="162DF11E" w14:textId="77777777" w:rsidR="004B45E0" w:rsidRDefault="004B45E0"/>
    <w:sectPr w:rsidR="004B45E0" w:rsidSect="00373D87">
      <w:headerReference w:type="even" r:id="rId7"/>
      <w:headerReference w:type="default" r:id="rId8"/>
      <w:footerReference w:type="even" r:id="rId9"/>
      <w:footerReference w:type="default" r:id="rId10"/>
      <w:headerReference w:type="first" r:id="rId11"/>
      <w:footerReference w:type="first" r:id="rId12"/>
      <w:pgSz w:w="12240" w:h="15840"/>
      <w:pgMar w:top="19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128D" w14:textId="77777777" w:rsidR="003462E4" w:rsidRDefault="003462E4" w:rsidP="0046028F">
      <w:r>
        <w:separator/>
      </w:r>
    </w:p>
  </w:endnote>
  <w:endnote w:type="continuationSeparator" w:id="0">
    <w:p w14:paraId="6AD0A794" w14:textId="77777777" w:rsidR="003462E4" w:rsidRDefault="003462E4" w:rsidP="0046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8768115"/>
      <w:docPartObj>
        <w:docPartGallery w:val="Page Numbers (Bottom of Page)"/>
        <w:docPartUnique/>
      </w:docPartObj>
    </w:sdtPr>
    <w:sdtContent>
      <w:p w14:paraId="27563890" w14:textId="649C5BB8" w:rsidR="00143B66" w:rsidRDefault="00143B66" w:rsidP="00066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87B5CD" w14:textId="77777777" w:rsidR="00143B66" w:rsidRDefault="00143B66" w:rsidP="00143B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6943349"/>
      <w:docPartObj>
        <w:docPartGallery w:val="Page Numbers (Bottom of Page)"/>
        <w:docPartUnique/>
      </w:docPartObj>
    </w:sdtPr>
    <w:sdtContent>
      <w:p w14:paraId="02DE8D6D" w14:textId="24279D46" w:rsidR="00143B66" w:rsidRDefault="00143B66" w:rsidP="00066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9233EC" w14:textId="18C10D4F" w:rsidR="00143B66" w:rsidRDefault="00143B66" w:rsidP="00143B66">
    <w:pPr>
      <w:pStyle w:val="Footer"/>
      <w:ind w:right="360"/>
      <w:jc w:val="right"/>
    </w:pPr>
    <w:r>
      <w:t>PCAL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8F00" w14:textId="77777777" w:rsidR="00143B66" w:rsidRDefault="0014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B52D" w14:textId="77777777" w:rsidR="003462E4" w:rsidRDefault="003462E4" w:rsidP="0046028F">
      <w:r>
        <w:separator/>
      </w:r>
    </w:p>
  </w:footnote>
  <w:footnote w:type="continuationSeparator" w:id="0">
    <w:p w14:paraId="372A2F97" w14:textId="77777777" w:rsidR="003462E4" w:rsidRDefault="003462E4" w:rsidP="00460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75B" w14:textId="77777777" w:rsidR="00143B66" w:rsidRDefault="00143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4188" w14:textId="5B955ECF" w:rsidR="0046028F" w:rsidRPr="00373D87" w:rsidRDefault="001344D9" w:rsidP="00373D87">
    <w:pPr>
      <w:pStyle w:val="Header"/>
      <w:tabs>
        <w:tab w:val="clear" w:pos="4680"/>
      </w:tabs>
      <w:rPr>
        <w:sz w:val="40"/>
        <w:szCs w:val="40"/>
      </w:rPr>
    </w:pPr>
    <w:r>
      <w:rPr>
        <w:noProof/>
        <w14:ligatures w14:val="standardContextual"/>
      </w:rPr>
      <w:drawing>
        <wp:inline distT="0" distB="0" distL="0" distR="0" wp14:anchorId="4C11178F" wp14:editId="520B3D24">
          <wp:extent cx="1879600" cy="684546"/>
          <wp:effectExtent l="0" t="0" r="0" b="0"/>
          <wp:docPr id="1945417962"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17962"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0420" cy="706697"/>
                  </a:xfrm>
                  <a:prstGeom prst="rect">
                    <a:avLst/>
                  </a:prstGeom>
                </pic:spPr>
              </pic:pic>
            </a:graphicData>
          </a:graphic>
        </wp:inline>
      </w:drawing>
    </w:r>
    <w:r w:rsidR="0046028F">
      <w:tab/>
    </w:r>
    <w:sdt>
      <w:sdtPr>
        <w:rPr>
          <w:sz w:val="40"/>
          <w:szCs w:val="40"/>
        </w:rPr>
        <w:id w:val="-1023089623"/>
        <w:docPartObj>
          <w:docPartGallery w:val="Page Numbers (Top of Page)"/>
          <w:docPartUnique/>
        </w:docPartObj>
      </w:sdtPr>
      <w:sdtContent>
        <w:r w:rsidR="00723A8A" w:rsidRPr="00A54754">
          <w:rPr>
            <w:b/>
            <w:bCs/>
            <w:sz w:val="42"/>
            <w:szCs w:val="42"/>
          </w:rPr>
          <w:t>Annual Evaluation of Faculty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44FD" w14:textId="77777777" w:rsidR="00143B66" w:rsidRDefault="00143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864067F"/>
    <w:multiLevelType w:val="hybridMultilevel"/>
    <w:tmpl w:val="C85CF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461DBA"/>
    <w:multiLevelType w:val="hybridMultilevel"/>
    <w:tmpl w:val="41D85806"/>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4" w15:restartNumberingAfterBreak="0">
    <w:nsid w:val="454942E1"/>
    <w:multiLevelType w:val="hybridMultilevel"/>
    <w:tmpl w:val="D56AFA8A"/>
    <w:lvl w:ilvl="0" w:tplc="88687D20">
      <w:start w:val="1"/>
      <w:numFmt w:val="decimal"/>
      <w:lvlText w:val="%1."/>
      <w:lvlJc w:val="left"/>
      <w:pPr>
        <w:ind w:left="720" w:hanging="360"/>
      </w:pPr>
      <w:rPr>
        <w:rFonts w:ascii="Aptos" w:hAnsi="Apto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B3B38"/>
    <w:multiLevelType w:val="hybridMultilevel"/>
    <w:tmpl w:val="3A621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8A591E"/>
    <w:multiLevelType w:val="hybridMultilevel"/>
    <w:tmpl w:val="3A9CD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B019E3"/>
    <w:multiLevelType w:val="hybridMultilevel"/>
    <w:tmpl w:val="B39C1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1816271">
    <w:abstractNumId w:val="0"/>
  </w:num>
  <w:num w:numId="2" w16cid:durableId="374544210">
    <w:abstractNumId w:val="1"/>
  </w:num>
  <w:num w:numId="3" w16cid:durableId="1096635110">
    <w:abstractNumId w:val="7"/>
  </w:num>
  <w:num w:numId="4" w16cid:durableId="1999579801">
    <w:abstractNumId w:val="6"/>
  </w:num>
  <w:num w:numId="5" w16cid:durableId="1135565291">
    <w:abstractNumId w:val="4"/>
  </w:num>
  <w:num w:numId="6" w16cid:durableId="1387921535">
    <w:abstractNumId w:val="2"/>
  </w:num>
  <w:num w:numId="7" w16cid:durableId="410587355">
    <w:abstractNumId w:val="5"/>
  </w:num>
  <w:num w:numId="8" w16cid:durableId="902066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EA"/>
    <w:rsid w:val="000E519A"/>
    <w:rsid w:val="00131864"/>
    <w:rsid w:val="001344D9"/>
    <w:rsid w:val="00143B66"/>
    <w:rsid w:val="0017281A"/>
    <w:rsid w:val="003462E4"/>
    <w:rsid w:val="00373D87"/>
    <w:rsid w:val="003A410E"/>
    <w:rsid w:val="003B06DC"/>
    <w:rsid w:val="003F40ED"/>
    <w:rsid w:val="004054EA"/>
    <w:rsid w:val="0046028F"/>
    <w:rsid w:val="004B45E0"/>
    <w:rsid w:val="005C6C2C"/>
    <w:rsid w:val="005D3045"/>
    <w:rsid w:val="006802B2"/>
    <w:rsid w:val="00723A8A"/>
    <w:rsid w:val="007F0993"/>
    <w:rsid w:val="007F678F"/>
    <w:rsid w:val="00A54754"/>
    <w:rsid w:val="00AF6F2B"/>
    <w:rsid w:val="00BD27CC"/>
    <w:rsid w:val="00BE6062"/>
    <w:rsid w:val="00C50A33"/>
    <w:rsid w:val="00CB6A6F"/>
    <w:rsid w:val="00CF7772"/>
    <w:rsid w:val="00DA6F07"/>
    <w:rsid w:val="00DC45B8"/>
    <w:rsid w:val="00ED0FD2"/>
    <w:rsid w:val="00ED4C50"/>
    <w:rsid w:val="00EF2113"/>
    <w:rsid w:val="00EF4AB8"/>
    <w:rsid w:val="00EF6B4C"/>
    <w:rsid w:val="00F6476B"/>
    <w:rsid w:val="00F9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8AAC5"/>
  <w15:chartTrackingRefBased/>
  <w15:docId w15:val="{146B7707-4454-5642-99D1-B53DFBBD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6B"/>
    <w:rPr>
      <w:kern w:val="0"/>
      <w14:ligatures w14:val="none"/>
    </w:rPr>
  </w:style>
  <w:style w:type="paragraph" w:styleId="Heading1">
    <w:name w:val="heading 1"/>
    <w:basedOn w:val="Normal"/>
    <w:next w:val="Normal"/>
    <w:link w:val="Heading1Char"/>
    <w:uiPriority w:val="9"/>
    <w:qFormat/>
    <w:rsid w:val="00405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4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4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4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4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4EA"/>
    <w:rPr>
      <w:rFonts w:eastAsiaTheme="majorEastAsia" w:cstheme="majorBidi"/>
      <w:color w:val="272727" w:themeColor="text1" w:themeTint="D8"/>
    </w:rPr>
  </w:style>
  <w:style w:type="paragraph" w:styleId="Title">
    <w:name w:val="Title"/>
    <w:basedOn w:val="Normal"/>
    <w:next w:val="Normal"/>
    <w:link w:val="TitleChar"/>
    <w:uiPriority w:val="10"/>
    <w:qFormat/>
    <w:rsid w:val="004054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4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54EA"/>
    <w:rPr>
      <w:i/>
      <w:iCs/>
      <w:color w:val="404040" w:themeColor="text1" w:themeTint="BF"/>
    </w:rPr>
  </w:style>
  <w:style w:type="paragraph" w:styleId="ListParagraph">
    <w:name w:val="List Paragraph"/>
    <w:basedOn w:val="Normal"/>
    <w:uiPriority w:val="1"/>
    <w:qFormat/>
    <w:rsid w:val="004054EA"/>
    <w:pPr>
      <w:ind w:left="720"/>
      <w:contextualSpacing/>
    </w:pPr>
  </w:style>
  <w:style w:type="character" w:styleId="IntenseEmphasis">
    <w:name w:val="Intense Emphasis"/>
    <w:basedOn w:val="DefaultParagraphFont"/>
    <w:uiPriority w:val="21"/>
    <w:qFormat/>
    <w:rsid w:val="004054EA"/>
    <w:rPr>
      <w:i/>
      <w:iCs/>
      <w:color w:val="0F4761" w:themeColor="accent1" w:themeShade="BF"/>
    </w:rPr>
  </w:style>
  <w:style w:type="paragraph" w:styleId="IntenseQuote">
    <w:name w:val="Intense Quote"/>
    <w:basedOn w:val="Normal"/>
    <w:next w:val="Normal"/>
    <w:link w:val="IntenseQuoteChar"/>
    <w:uiPriority w:val="30"/>
    <w:qFormat/>
    <w:rsid w:val="00405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4EA"/>
    <w:rPr>
      <w:i/>
      <w:iCs/>
      <w:color w:val="0F4761" w:themeColor="accent1" w:themeShade="BF"/>
    </w:rPr>
  </w:style>
  <w:style w:type="character" w:styleId="IntenseReference">
    <w:name w:val="Intense Reference"/>
    <w:basedOn w:val="DefaultParagraphFont"/>
    <w:uiPriority w:val="32"/>
    <w:qFormat/>
    <w:rsid w:val="004054EA"/>
    <w:rPr>
      <w:b/>
      <w:bCs/>
      <w:smallCaps/>
      <w:color w:val="0F4761" w:themeColor="accent1" w:themeShade="BF"/>
      <w:spacing w:val="5"/>
    </w:rPr>
  </w:style>
  <w:style w:type="paragraph" w:styleId="Header">
    <w:name w:val="header"/>
    <w:basedOn w:val="Normal"/>
    <w:link w:val="HeaderChar"/>
    <w:uiPriority w:val="99"/>
    <w:unhideWhenUsed/>
    <w:rsid w:val="0046028F"/>
    <w:pPr>
      <w:tabs>
        <w:tab w:val="center" w:pos="4680"/>
        <w:tab w:val="right" w:pos="9360"/>
      </w:tabs>
    </w:pPr>
  </w:style>
  <w:style w:type="character" w:customStyle="1" w:styleId="HeaderChar">
    <w:name w:val="Header Char"/>
    <w:basedOn w:val="DefaultParagraphFont"/>
    <w:link w:val="Header"/>
    <w:uiPriority w:val="99"/>
    <w:rsid w:val="0046028F"/>
  </w:style>
  <w:style w:type="paragraph" w:styleId="Footer">
    <w:name w:val="footer"/>
    <w:basedOn w:val="Normal"/>
    <w:link w:val="FooterChar"/>
    <w:uiPriority w:val="99"/>
    <w:unhideWhenUsed/>
    <w:rsid w:val="0046028F"/>
    <w:pPr>
      <w:tabs>
        <w:tab w:val="center" w:pos="4680"/>
        <w:tab w:val="right" w:pos="9360"/>
      </w:tabs>
    </w:pPr>
  </w:style>
  <w:style w:type="character" w:customStyle="1" w:styleId="FooterChar">
    <w:name w:val="Footer Char"/>
    <w:basedOn w:val="DefaultParagraphFont"/>
    <w:link w:val="Footer"/>
    <w:uiPriority w:val="99"/>
    <w:rsid w:val="0046028F"/>
  </w:style>
  <w:style w:type="table" w:styleId="TableGrid">
    <w:name w:val="Table Grid"/>
    <w:basedOn w:val="TableNormal"/>
    <w:uiPriority w:val="39"/>
    <w:rsid w:val="00F6476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F6476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6476B"/>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14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Ashley</dc:creator>
  <cp:keywords/>
  <dc:description/>
  <cp:lastModifiedBy>Hale, Rob</cp:lastModifiedBy>
  <cp:revision>16</cp:revision>
  <dcterms:created xsi:type="dcterms:W3CDTF">2024-06-12T16:18:00Z</dcterms:created>
  <dcterms:modified xsi:type="dcterms:W3CDTF">2024-06-18T16:32:00Z</dcterms:modified>
</cp:coreProperties>
</file>