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2D" w:rsidRPr="00AE50A1" w:rsidRDefault="00C44C05" w:rsidP="00CC602D">
      <w:pPr>
        <w:pStyle w:val="Heading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82D800" wp14:editId="70A518E4">
            <wp:simplePos x="0" y="0"/>
            <wp:positionH relativeFrom="column">
              <wp:posOffset>161925</wp:posOffset>
            </wp:positionH>
            <wp:positionV relativeFrom="paragraph">
              <wp:posOffset>99695</wp:posOffset>
            </wp:positionV>
            <wp:extent cx="838200" cy="1084580"/>
            <wp:effectExtent l="0" t="0" r="0" b="1270"/>
            <wp:wrapNone/>
            <wp:docPr id="1" name="Picture 1" descr="CHF Color Seal Scanned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F Color Seal Scanned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2D">
        <w:rPr>
          <w:rFonts w:ascii="Times New Roman" w:hAnsi="Times New Roman" w:cs="Times New Roman"/>
          <w:b w:val="0"/>
          <w:color w:val="auto"/>
          <w:sz w:val="24"/>
          <w:szCs w:val="24"/>
        </w:rPr>
        <w:t>Policy No:  400.2</w:t>
      </w:r>
    </w:p>
    <w:p w:rsidR="00CC602D" w:rsidRPr="00A97A17" w:rsidRDefault="00CC602D" w:rsidP="00CC602D">
      <w:pPr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>Last Update:</w:t>
      </w:r>
      <w:r>
        <w:rPr>
          <w:sz w:val="24"/>
          <w:szCs w:val="24"/>
        </w:rPr>
        <w:tab/>
      </w:r>
      <w:r w:rsidR="008E6A66">
        <w:rPr>
          <w:sz w:val="24"/>
          <w:szCs w:val="24"/>
        </w:rPr>
        <w:t>November 3, 2016</w:t>
      </w:r>
    </w:p>
    <w:p w:rsidR="00CC602D" w:rsidRPr="00C66225" w:rsidRDefault="00CC602D" w:rsidP="00CC602D">
      <w:pPr>
        <w:jc w:val="center"/>
        <w:rPr>
          <w:sz w:val="24"/>
          <w:szCs w:val="24"/>
        </w:rPr>
      </w:pPr>
      <w:r w:rsidRPr="00A97A17">
        <w:rPr>
          <w:b/>
          <w:sz w:val="24"/>
          <w:szCs w:val="24"/>
        </w:rPr>
        <w:tab/>
      </w:r>
      <w:r w:rsidR="00C66225">
        <w:rPr>
          <w:b/>
          <w:sz w:val="24"/>
          <w:szCs w:val="24"/>
        </w:rPr>
        <w:tab/>
      </w:r>
      <w:r w:rsidR="00C66225">
        <w:rPr>
          <w:b/>
          <w:sz w:val="24"/>
          <w:szCs w:val="24"/>
        </w:rPr>
        <w:tab/>
      </w:r>
      <w:r w:rsidR="00C66225">
        <w:rPr>
          <w:b/>
          <w:sz w:val="24"/>
          <w:szCs w:val="24"/>
        </w:rPr>
        <w:tab/>
      </w:r>
      <w:r w:rsidR="00C66225">
        <w:rPr>
          <w:b/>
          <w:sz w:val="24"/>
          <w:szCs w:val="24"/>
        </w:rPr>
        <w:tab/>
      </w:r>
      <w:r w:rsidR="00C66225">
        <w:rPr>
          <w:b/>
          <w:sz w:val="24"/>
          <w:szCs w:val="24"/>
        </w:rPr>
        <w:tab/>
      </w:r>
      <w:r w:rsidR="00C66225">
        <w:rPr>
          <w:b/>
          <w:sz w:val="24"/>
          <w:szCs w:val="24"/>
        </w:rPr>
        <w:tab/>
      </w:r>
      <w:r w:rsidR="00C66225">
        <w:rPr>
          <w:b/>
          <w:sz w:val="24"/>
          <w:szCs w:val="24"/>
        </w:rPr>
        <w:tab/>
      </w:r>
      <w:r w:rsidR="00C66225">
        <w:rPr>
          <w:b/>
          <w:sz w:val="24"/>
          <w:szCs w:val="24"/>
        </w:rPr>
        <w:tab/>
      </w:r>
      <w:r w:rsidR="00C66225">
        <w:rPr>
          <w:b/>
          <w:sz w:val="24"/>
          <w:szCs w:val="24"/>
        </w:rPr>
        <w:tab/>
        <w:t xml:space="preserve">     </w:t>
      </w:r>
    </w:p>
    <w:p w:rsidR="00C44C05" w:rsidRDefault="00C44C05" w:rsidP="00CC602D">
      <w:pPr>
        <w:jc w:val="center"/>
        <w:rPr>
          <w:b/>
          <w:sz w:val="24"/>
          <w:szCs w:val="24"/>
        </w:rPr>
      </w:pPr>
    </w:p>
    <w:p w:rsidR="00CC602D" w:rsidRDefault="00CC602D" w:rsidP="00CC602D">
      <w:pPr>
        <w:jc w:val="center"/>
        <w:rPr>
          <w:b/>
          <w:sz w:val="24"/>
          <w:szCs w:val="24"/>
        </w:rPr>
      </w:pPr>
      <w:r w:rsidRPr="00A97A17">
        <w:rPr>
          <w:b/>
          <w:sz w:val="24"/>
          <w:szCs w:val="24"/>
        </w:rPr>
        <w:tab/>
      </w:r>
    </w:p>
    <w:p w:rsidR="00CC602D" w:rsidRDefault="00CC602D" w:rsidP="00CC602D">
      <w:pPr>
        <w:jc w:val="center"/>
        <w:rPr>
          <w:b/>
          <w:sz w:val="24"/>
          <w:szCs w:val="24"/>
        </w:rPr>
      </w:pPr>
    </w:p>
    <w:p w:rsidR="00881231" w:rsidRDefault="00881231" w:rsidP="00CC602D">
      <w:pPr>
        <w:jc w:val="center"/>
        <w:rPr>
          <w:b/>
          <w:sz w:val="24"/>
          <w:szCs w:val="24"/>
        </w:rPr>
      </w:pPr>
    </w:p>
    <w:p w:rsidR="00CC602D" w:rsidRPr="00A97A17" w:rsidRDefault="00CC602D" w:rsidP="00CC602D">
      <w:pPr>
        <w:jc w:val="center"/>
        <w:rPr>
          <w:sz w:val="24"/>
          <w:szCs w:val="24"/>
        </w:rPr>
      </w:pPr>
      <w:r>
        <w:rPr>
          <w:sz w:val="24"/>
          <w:szCs w:val="24"/>
        </w:rPr>
        <w:t>COLLEGE HEIGHTS FOUNDATION</w:t>
      </w:r>
    </w:p>
    <w:p w:rsidR="00CC602D" w:rsidRPr="00A97A17" w:rsidRDefault="00CC602D" w:rsidP="00CC602D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CC602D" w:rsidRPr="00A97A17" w:rsidRDefault="00CC602D" w:rsidP="00CC602D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A97A17">
        <w:rPr>
          <w:szCs w:val="24"/>
        </w:rPr>
        <w:t>SECTION:</w:t>
      </w:r>
      <w:r w:rsidRPr="00A97A17">
        <w:rPr>
          <w:szCs w:val="24"/>
        </w:rPr>
        <w:tab/>
      </w:r>
      <w:r>
        <w:rPr>
          <w:szCs w:val="24"/>
        </w:rPr>
        <w:t>Treasury</w:t>
      </w:r>
    </w:p>
    <w:p w:rsidR="00CC602D" w:rsidRPr="00A97A17" w:rsidRDefault="00CC602D" w:rsidP="00CC602D">
      <w:pPr>
        <w:rPr>
          <w:b/>
          <w:sz w:val="24"/>
          <w:szCs w:val="24"/>
        </w:rPr>
      </w:pPr>
    </w:p>
    <w:p w:rsidR="00CC602D" w:rsidRPr="00AE50A1" w:rsidRDefault="00CC602D" w:rsidP="00CC602D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SUBJECT: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Spending Policy</w:t>
      </w:r>
    </w:p>
    <w:p w:rsidR="003F266A" w:rsidRPr="00A34A18" w:rsidRDefault="003F266A" w:rsidP="003F266A">
      <w:pPr>
        <w:jc w:val="center"/>
        <w:rPr>
          <w:sz w:val="24"/>
        </w:rPr>
      </w:pPr>
    </w:p>
    <w:p w:rsidR="00CC602D" w:rsidRDefault="00CC602D" w:rsidP="003F266A">
      <w:pPr>
        <w:rPr>
          <w:b/>
          <w:sz w:val="24"/>
          <w:u w:val="single"/>
        </w:rPr>
      </w:pPr>
    </w:p>
    <w:p w:rsidR="00CC602D" w:rsidRDefault="00CC602D" w:rsidP="003F266A">
      <w:pPr>
        <w:rPr>
          <w:b/>
          <w:sz w:val="24"/>
          <w:u w:val="single"/>
        </w:rPr>
      </w:pPr>
    </w:p>
    <w:p w:rsidR="003F266A" w:rsidRPr="00A34A18" w:rsidRDefault="00CC602D" w:rsidP="003F266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PURP</w:t>
      </w:r>
      <w:r w:rsidR="00450E28" w:rsidRPr="00A34A18">
        <w:rPr>
          <w:b/>
          <w:sz w:val="24"/>
          <w:u w:val="single"/>
        </w:rPr>
        <w:t xml:space="preserve">OSE </w:t>
      </w:r>
    </w:p>
    <w:p w:rsidR="00450E28" w:rsidRPr="00A34A18" w:rsidRDefault="00450E28" w:rsidP="003F266A">
      <w:pPr>
        <w:rPr>
          <w:b/>
          <w:sz w:val="24"/>
          <w:u w:val="single"/>
        </w:rPr>
      </w:pPr>
    </w:p>
    <w:p w:rsidR="000F2390" w:rsidRPr="00A34A18" w:rsidRDefault="00E87C42" w:rsidP="000F2390">
      <w:pPr>
        <w:ind w:right="-720"/>
        <w:rPr>
          <w:sz w:val="24"/>
          <w:szCs w:val="24"/>
        </w:rPr>
      </w:pPr>
      <w:r>
        <w:rPr>
          <w:sz w:val="24"/>
        </w:rPr>
        <w:t xml:space="preserve">The purpose of this policy is to define the spending </w:t>
      </w:r>
      <w:r w:rsidR="003F266A" w:rsidRPr="00A34A18">
        <w:rPr>
          <w:sz w:val="24"/>
        </w:rPr>
        <w:t xml:space="preserve">policy for the </w:t>
      </w:r>
      <w:r w:rsidR="00CC602D">
        <w:rPr>
          <w:sz w:val="24"/>
        </w:rPr>
        <w:t>endowment f</w:t>
      </w:r>
      <w:r w:rsidR="004D7FE5" w:rsidRPr="00A34A18">
        <w:rPr>
          <w:sz w:val="24"/>
        </w:rPr>
        <w:t>unds of the College Heights Foundation</w:t>
      </w:r>
      <w:r w:rsidR="00EF3833" w:rsidRPr="00A34A18">
        <w:rPr>
          <w:sz w:val="24"/>
        </w:rPr>
        <w:t xml:space="preserve">.  As such, this will serve as the baseline policy for </w:t>
      </w:r>
      <w:r w:rsidR="00CC602D">
        <w:rPr>
          <w:sz w:val="24"/>
        </w:rPr>
        <w:t xml:space="preserve">most, </w:t>
      </w:r>
      <w:r w:rsidR="001703FC" w:rsidRPr="00A34A18">
        <w:rPr>
          <w:sz w:val="24"/>
        </w:rPr>
        <w:t xml:space="preserve">but not </w:t>
      </w:r>
      <w:r w:rsidR="00CC602D">
        <w:rPr>
          <w:sz w:val="24"/>
        </w:rPr>
        <w:t>necessarily all</w:t>
      </w:r>
      <w:r w:rsidR="004F1153">
        <w:rPr>
          <w:sz w:val="24"/>
        </w:rPr>
        <w:t>, of</w:t>
      </w:r>
      <w:r w:rsidR="001703FC" w:rsidRPr="00A34A18">
        <w:rPr>
          <w:sz w:val="24"/>
        </w:rPr>
        <w:t xml:space="preserve"> </w:t>
      </w:r>
      <w:r w:rsidR="00EF3833" w:rsidRPr="00A34A18">
        <w:rPr>
          <w:sz w:val="24"/>
        </w:rPr>
        <w:t>th</w:t>
      </w:r>
      <w:r>
        <w:rPr>
          <w:sz w:val="24"/>
        </w:rPr>
        <w:t xml:space="preserve">e Foundation’s various </w:t>
      </w:r>
      <w:r w:rsidR="00CC602D">
        <w:rPr>
          <w:sz w:val="24"/>
        </w:rPr>
        <w:t>e</w:t>
      </w:r>
      <w:r w:rsidR="00EF3833" w:rsidRPr="00A34A18">
        <w:rPr>
          <w:sz w:val="24"/>
        </w:rPr>
        <w:t>ndowment assets</w:t>
      </w:r>
      <w:r w:rsidR="00C220F3" w:rsidRPr="00A34A18">
        <w:rPr>
          <w:sz w:val="24"/>
        </w:rPr>
        <w:t xml:space="preserve">. </w:t>
      </w:r>
      <w:r w:rsidR="00EF3833" w:rsidRPr="00A34A18">
        <w:rPr>
          <w:sz w:val="24"/>
        </w:rPr>
        <w:t xml:space="preserve"> </w:t>
      </w:r>
      <w:r w:rsidR="000F2390" w:rsidRPr="00A34A18">
        <w:rPr>
          <w:sz w:val="24"/>
        </w:rPr>
        <w:t xml:space="preserve">The Foundation recognizes that as a perpetual entity, </w:t>
      </w:r>
      <w:r w:rsidR="000F2390">
        <w:rPr>
          <w:sz w:val="24"/>
        </w:rPr>
        <w:t xml:space="preserve">the framework of its spending </w:t>
      </w:r>
      <w:r w:rsidR="000F2390" w:rsidRPr="00A34A18">
        <w:rPr>
          <w:sz w:val="24"/>
        </w:rPr>
        <w:t>decisions should be centered upon long term (5-10 year plus)</w:t>
      </w:r>
      <w:r w:rsidR="000F2390">
        <w:rPr>
          <w:sz w:val="24"/>
        </w:rPr>
        <w:t xml:space="preserve"> market cycles</w:t>
      </w:r>
      <w:r w:rsidR="000F2390" w:rsidRPr="00A34A18">
        <w:rPr>
          <w:sz w:val="24"/>
        </w:rPr>
        <w:t xml:space="preserve">. </w:t>
      </w:r>
    </w:p>
    <w:p w:rsidR="003F266A" w:rsidRPr="00A34A18" w:rsidRDefault="003F266A" w:rsidP="003F266A">
      <w:pPr>
        <w:rPr>
          <w:sz w:val="24"/>
        </w:rPr>
      </w:pPr>
      <w:r w:rsidRPr="00A34A18">
        <w:rPr>
          <w:sz w:val="24"/>
        </w:rPr>
        <w:t>The objectives have been created in response to:</w:t>
      </w:r>
    </w:p>
    <w:p w:rsidR="003F266A" w:rsidRPr="00A34A18" w:rsidRDefault="003F266A" w:rsidP="003F266A">
      <w:pPr>
        <w:rPr>
          <w:sz w:val="24"/>
        </w:rPr>
      </w:pPr>
    </w:p>
    <w:p w:rsidR="003F266A" w:rsidRPr="00A34A18" w:rsidRDefault="003F266A" w:rsidP="003F266A">
      <w:pPr>
        <w:numPr>
          <w:ilvl w:val="0"/>
          <w:numId w:val="1"/>
        </w:numPr>
        <w:rPr>
          <w:sz w:val="24"/>
        </w:rPr>
      </w:pPr>
      <w:r w:rsidRPr="00A34A18">
        <w:rPr>
          <w:sz w:val="24"/>
        </w:rPr>
        <w:t>the anticipated financial needs of the organization</w:t>
      </w:r>
      <w:r w:rsidR="004345D8">
        <w:rPr>
          <w:sz w:val="24"/>
        </w:rPr>
        <w:t>;</w:t>
      </w:r>
    </w:p>
    <w:p w:rsidR="003F266A" w:rsidRPr="00A34A18" w:rsidRDefault="003F266A" w:rsidP="003F266A">
      <w:pPr>
        <w:numPr>
          <w:ilvl w:val="0"/>
          <w:numId w:val="1"/>
        </w:numPr>
        <w:rPr>
          <w:sz w:val="24"/>
        </w:rPr>
      </w:pPr>
      <w:r w:rsidRPr="00A34A18">
        <w:rPr>
          <w:sz w:val="24"/>
        </w:rPr>
        <w:t xml:space="preserve">the organization’s </w:t>
      </w:r>
      <w:r w:rsidR="00E87C42">
        <w:rPr>
          <w:sz w:val="24"/>
        </w:rPr>
        <w:t>investment policy and anticipated market returns</w:t>
      </w:r>
      <w:r w:rsidR="004345D8">
        <w:rPr>
          <w:sz w:val="24"/>
        </w:rPr>
        <w:t xml:space="preserve">; </w:t>
      </w:r>
    </w:p>
    <w:p w:rsidR="003F266A" w:rsidRDefault="00E87C42" w:rsidP="003F266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adequately plan for distributions </w:t>
      </w:r>
      <w:r w:rsidR="002550E2">
        <w:rPr>
          <w:sz w:val="24"/>
        </w:rPr>
        <w:t xml:space="preserve">for the current year and in </w:t>
      </w:r>
      <w:r>
        <w:rPr>
          <w:sz w:val="24"/>
        </w:rPr>
        <w:t>future</w:t>
      </w:r>
      <w:r w:rsidR="002550E2">
        <w:rPr>
          <w:sz w:val="24"/>
        </w:rPr>
        <w:t xml:space="preserve"> years</w:t>
      </w:r>
      <w:r>
        <w:rPr>
          <w:sz w:val="24"/>
        </w:rPr>
        <w:t xml:space="preserve"> to maximize the benefit to the </w:t>
      </w:r>
      <w:r w:rsidR="00881231" w:rsidRPr="008E6A66">
        <w:rPr>
          <w:sz w:val="24"/>
        </w:rPr>
        <w:t>I</w:t>
      </w:r>
      <w:r w:rsidR="004345D8" w:rsidRPr="008E6A66">
        <w:rPr>
          <w:sz w:val="24"/>
        </w:rPr>
        <w:t>nstitution</w:t>
      </w:r>
      <w:r w:rsidR="004345D8">
        <w:rPr>
          <w:sz w:val="24"/>
        </w:rPr>
        <w:t xml:space="preserve"> </w:t>
      </w:r>
      <w:r>
        <w:rPr>
          <w:sz w:val="24"/>
        </w:rPr>
        <w:t>while also appropriately growing the</w:t>
      </w:r>
      <w:r w:rsidR="00CC602D">
        <w:rPr>
          <w:sz w:val="24"/>
        </w:rPr>
        <w:t xml:space="preserve"> endowment of the</w:t>
      </w:r>
      <w:r w:rsidR="00881231">
        <w:rPr>
          <w:sz w:val="24"/>
        </w:rPr>
        <w:t xml:space="preserve"> Foundation;</w:t>
      </w:r>
    </w:p>
    <w:p w:rsidR="004345D8" w:rsidRPr="008E6A66" w:rsidRDefault="003A17CF" w:rsidP="003F266A">
      <w:pPr>
        <w:numPr>
          <w:ilvl w:val="0"/>
          <w:numId w:val="1"/>
        </w:numPr>
        <w:rPr>
          <w:sz w:val="24"/>
        </w:rPr>
      </w:pPr>
      <w:r w:rsidRPr="008E6A66">
        <w:rPr>
          <w:sz w:val="24"/>
        </w:rPr>
        <w:t>p</w:t>
      </w:r>
      <w:r w:rsidR="004345D8" w:rsidRPr="008E6A66">
        <w:rPr>
          <w:sz w:val="24"/>
        </w:rPr>
        <w:t xml:space="preserve">rovide current beneficiaries with a predictable and relatively stable stream of revenue; </w:t>
      </w:r>
    </w:p>
    <w:p w:rsidR="004345D8" w:rsidRPr="008E6A66" w:rsidRDefault="003A17CF" w:rsidP="003F266A">
      <w:pPr>
        <w:numPr>
          <w:ilvl w:val="0"/>
          <w:numId w:val="1"/>
        </w:numPr>
        <w:rPr>
          <w:sz w:val="24"/>
        </w:rPr>
      </w:pPr>
      <w:r w:rsidRPr="008E6A66">
        <w:rPr>
          <w:sz w:val="24"/>
        </w:rPr>
        <w:t xml:space="preserve">reduce the lagging effects of up or down markets in the spending formula; </w:t>
      </w:r>
      <w:r w:rsidR="00881231" w:rsidRPr="008E6A66">
        <w:rPr>
          <w:sz w:val="24"/>
        </w:rPr>
        <w:t>and</w:t>
      </w:r>
    </w:p>
    <w:p w:rsidR="003A17CF" w:rsidRPr="008E6A66" w:rsidRDefault="003A17CF" w:rsidP="003F266A">
      <w:pPr>
        <w:numPr>
          <w:ilvl w:val="0"/>
          <w:numId w:val="1"/>
        </w:numPr>
        <w:rPr>
          <w:sz w:val="24"/>
        </w:rPr>
      </w:pPr>
      <w:proofErr w:type="gramStart"/>
      <w:r w:rsidRPr="008E6A66">
        <w:rPr>
          <w:sz w:val="24"/>
        </w:rPr>
        <w:t>ensure</w:t>
      </w:r>
      <w:proofErr w:type="gramEnd"/>
      <w:r w:rsidRPr="008E6A66">
        <w:rPr>
          <w:sz w:val="24"/>
        </w:rPr>
        <w:t xml:space="preserve"> the prescribed policy over time will meet the current needs and long term needs of the institution while preserving the intergenerational purchasing power of the endowment.</w:t>
      </w:r>
    </w:p>
    <w:p w:rsidR="003F266A" w:rsidRPr="00A34A18" w:rsidRDefault="003F266A" w:rsidP="003F266A">
      <w:pPr>
        <w:numPr>
          <w:ilvl w:val="12"/>
          <w:numId w:val="0"/>
        </w:numPr>
        <w:ind w:left="360" w:hanging="360"/>
        <w:rPr>
          <w:sz w:val="24"/>
        </w:rPr>
      </w:pPr>
    </w:p>
    <w:p w:rsidR="003F266A" w:rsidRPr="00A34A18" w:rsidRDefault="003F266A" w:rsidP="003F266A">
      <w:pPr>
        <w:rPr>
          <w:sz w:val="24"/>
        </w:rPr>
      </w:pPr>
      <w:r w:rsidRPr="00A34A18">
        <w:rPr>
          <w:sz w:val="24"/>
        </w:rPr>
        <w:t>This policy is to be communicated to any in</w:t>
      </w:r>
      <w:r w:rsidR="00E87C42">
        <w:rPr>
          <w:sz w:val="24"/>
        </w:rPr>
        <w:t>dividual associated with the distrib</w:t>
      </w:r>
      <w:r w:rsidR="00CC602D">
        <w:rPr>
          <w:sz w:val="24"/>
        </w:rPr>
        <w:t>ution of any of the funds</w:t>
      </w:r>
      <w:r w:rsidR="00E87C42">
        <w:rPr>
          <w:sz w:val="24"/>
        </w:rPr>
        <w:t xml:space="preserve"> managed by the Foundation.  </w:t>
      </w:r>
      <w:r w:rsidR="003950C2">
        <w:rPr>
          <w:sz w:val="24"/>
        </w:rPr>
        <w:t xml:space="preserve">The spending rate should be no more than 6% or less than 3% of the </w:t>
      </w:r>
      <w:r w:rsidR="00881231" w:rsidRPr="008E6A66">
        <w:rPr>
          <w:sz w:val="24"/>
        </w:rPr>
        <w:t>trailing three-year</w:t>
      </w:r>
      <w:r w:rsidR="00881231">
        <w:rPr>
          <w:sz w:val="24"/>
        </w:rPr>
        <w:t xml:space="preserve"> </w:t>
      </w:r>
      <w:r w:rsidR="003950C2">
        <w:rPr>
          <w:sz w:val="24"/>
        </w:rPr>
        <w:t>moving average market value.  The</w:t>
      </w:r>
      <w:r w:rsidRPr="00A34A18">
        <w:rPr>
          <w:sz w:val="24"/>
        </w:rPr>
        <w:t xml:space="preserve"> </w:t>
      </w:r>
      <w:r w:rsidR="003950C2">
        <w:rPr>
          <w:sz w:val="24"/>
        </w:rPr>
        <w:t xml:space="preserve">spending </w:t>
      </w:r>
      <w:r w:rsidRPr="00A34A18">
        <w:rPr>
          <w:sz w:val="24"/>
        </w:rPr>
        <w:t>policy</w:t>
      </w:r>
      <w:r w:rsidR="003950C2">
        <w:rPr>
          <w:sz w:val="24"/>
        </w:rPr>
        <w:t xml:space="preserve"> rate</w:t>
      </w:r>
      <w:r w:rsidR="00881231">
        <w:rPr>
          <w:sz w:val="24"/>
        </w:rPr>
        <w:t xml:space="preserve"> </w:t>
      </w:r>
      <w:r w:rsidR="00881231" w:rsidRPr="008E6A66">
        <w:rPr>
          <w:sz w:val="24"/>
        </w:rPr>
        <w:t>within that range</w:t>
      </w:r>
      <w:r w:rsidRPr="00A34A18">
        <w:rPr>
          <w:sz w:val="24"/>
        </w:rPr>
        <w:t xml:space="preserve"> will be reviewed by the Executive Committee on an annual basis.</w:t>
      </w:r>
    </w:p>
    <w:p w:rsidR="00450E28" w:rsidRPr="00A34A18" w:rsidRDefault="00450E28" w:rsidP="00450E28">
      <w:pPr>
        <w:ind w:right="-720"/>
        <w:rPr>
          <w:sz w:val="24"/>
        </w:rPr>
      </w:pPr>
    </w:p>
    <w:p w:rsidR="000F2390" w:rsidRDefault="000F2390" w:rsidP="00450E28">
      <w:pPr>
        <w:ind w:right="-720"/>
        <w:rPr>
          <w:b/>
          <w:sz w:val="24"/>
          <w:u w:val="single"/>
        </w:rPr>
      </w:pPr>
    </w:p>
    <w:p w:rsidR="00EF3833" w:rsidRPr="00A34A18" w:rsidRDefault="00E650C8" w:rsidP="00450E28">
      <w:pPr>
        <w:ind w:right="-72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ANNUAL </w:t>
      </w:r>
      <w:r w:rsidR="000F2390">
        <w:rPr>
          <w:b/>
          <w:sz w:val="24"/>
          <w:u w:val="single"/>
        </w:rPr>
        <w:t>SPENDING POLICY</w:t>
      </w:r>
    </w:p>
    <w:p w:rsidR="00450E28" w:rsidRDefault="00450E28" w:rsidP="00EF3833">
      <w:pPr>
        <w:ind w:right="-720"/>
        <w:rPr>
          <w:sz w:val="24"/>
        </w:rPr>
      </w:pPr>
    </w:p>
    <w:p w:rsidR="004345D8" w:rsidRDefault="004345D8" w:rsidP="00EF3833">
      <w:pPr>
        <w:ind w:right="-720"/>
        <w:rPr>
          <w:sz w:val="24"/>
        </w:rPr>
      </w:pPr>
      <w:r w:rsidRPr="008E6A66">
        <w:rPr>
          <w:sz w:val="24"/>
        </w:rPr>
        <w:t>The endowment of the College Heights Foundation will be managed in accordance with the provisions of the Kentucky Uniform Prudent Managem</w:t>
      </w:r>
      <w:r w:rsidR="005600EB">
        <w:rPr>
          <w:sz w:val="24"/>
        </w:rPr>
        <w:t xml:space="preserve">ent of Institutional Funds Act </w:t>
      </w:r>
      <w:r w:rsidRPr="008E6A66">
        <w:rPr>
          <w:sz w:val="24"/>
        </w:rPr>
        <w:t>(UPMIFA) as de</w:t>
      </w:r>
      <w:r w:rsidR="003A17CF" w:rsidRPr="008E6A66">
        <w:rPr>
          <w:sz w:val="24"/>
        </w:rPr>
        <w:t xml:space="preserve">fined in KRS 273.600 to 273.645.  </w:t>
      </w:r>
      <w:r w:rsidR="00E12F2C" w:rsidRPr="008E6A66">
        <w:rPr>
          <w:sz w:val="24"/>
        </w:rPr>
        <w:t xml:space="preserve">UPMIFA requires the Foundation to ensure the duration and preservation of the endowment fund by appropriating a prudent amount for expenditures from endowment funds within the restrictions of any gift agreements.  </w:t>
      </w:r>
      <w:r w:rsidR="003A17CF" w:rsidRPr="008E6A66">
        <w:rPr>
          <w:sz w:val="24"/>
        </w:rPr>
        <w:t xml:space="preserve">The primary goal </w:t>
      </w:r>
      <w:r w:rsidR="00E12F2C" w:rsidRPr="008E6A66">
        <w:rPr>
          <w:sz w:val="24"/>
        </w:rPr>
        <w:t xml:space="preserve">of the spending policy </w:t>
      </w:r>
      <w:r w:rsidR="003A17CF" w:rsidRPr="008E6A66">
        <w:rPr>
          <w:sz w:val="24"/>
        </w:rPr>
        <w:t xml:space="preserve">is to achieve a proper balance between the present and future needs of the University and the Foundation.  </w:t>
      </w:r>
    </w:p>
    <w:p w:rsidR="005600EB" w:rsidRDefault="005600EB" w:rsidP="005600EB">
      <w:pPr>
        <w:ind w:right="-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Policy No:  400.</w:t>
      </w:r>
      <w:r>
        <w:rPr>
          <w:sz w:val="24"/>
          <w:szCs w:val="24"/>
        </w:rPr>
        <w:t>2</w:t>
      </w:r>
    </w:p>
    <w:p w:rsidR="005600EB" w:rsidRDefault="005600EB" w:rsidP="005600EB">
      <w:pPr>
        <w:ind w:right="-720"/>
        <w:jc w:val="right"/>
        <w:rPr>
          <w:sz w:val="24"/>
          <w:szCs w:val="24"/>
        </w:rPr>
      </w:pPr>
      <w:r>
        <w:rPr>
          <w:sz w:val="24"/>
          <w:szCs w:val="24"/>
        </w:rPr>
        <w:t>Page 2</w:t>
      </w:r>
    </w:p>
    <w:p w:rsidR="005600EB" w:rsidRDefault="005600EB" w:rsidP="005600EB">
      <w:pPr>
        <w:ind w:right="-720"/>
        <w:jc w:val="right"/>
        <w:rPr>
          <w:sz w:val="24"/>
        </w:rPr>
      </w:pPr>
    </w:p>
    <w:p w:rsidR="005600EB" w:rsidRDefault="005600EB" w:rsidP="00EF3833">
      <w:pPr>
        <w:ind w:right="-720"/>
        <w:rPr>
          <w:sz w:val="24"/>
        </w:rPr>
      </w:pPr>
    </w:p>
    <w:p w:rsidR="000F2390" w:rsidRDefault="003950C2" w:rsidP="00EF3833">
      <w:pPr>
        <w:ind w:right="-720"/>
        <w:rPr>
          <w:sz w:val="24"/>
        </w:rPr>
      </w:pPr>
      <w:r>
        <w:rPr>
          <w:sz w:val="24"/>
        </w:rPr>
        <w:t>The annual distribution target</w:t>
      </w:r>
      <w:r w:rsidR="000F2390">
        <w:rPr>
          <w:sz w:val="24"/>
        </w:rPr>
        <w:t xml:space="preserve"> shall be 4% of the endowment fund’s trailing </w:t>
      </w:r>
      <w:r w:rsidR="00CC602D">
        <w:rPr>
          <w:sz w:val="24"/>
        </w:rPr>
        <w:t xml:space="preserve">three-year </w:t>
      </w:r>
      <w:r w:rsidR="000F2390">
        <w:rPr>
          <w:sz w:val="24"/>
        </w:rPr>
        <w:t>moving market value average.</w:t>
      </w:r>
    </w:p>
    <w:p w:rsidR="000F2390" w:rsidRDefault="000F2390" w:rsidP="00EF3833">
      <w:pPr>
        <w:ind w:right="-720"/>
        <w:rPr>
          <w:sz w:val="24"/>
        </w:rPr>
      </w:pPr>
    </w:p>
    <w:p w:rsidR="000F2390" w:rsidRDefault="000F2390" w:rsidP="00EF3833">
      <w:pPr>
        <w:ind w:right="-720"/>
        <w:rPr>
          <w:sz w:val="24"/>
        </w:rPr>
      </w:pPr>
      <w:r>
        <w:rPr>
          <w:sz w:val="24"/>
        </w:rPr>
        <w:t>In the initial year an endowed fund is established, the annual distribution goal shall be 4% of the beginning market value of th</w:t>
      </w:r>
      <w:r w:rsidR="002550E2">
        <w:rPr>
          <w:sz w:val="24"/>
        </w:rPr>
        <w:t>e endowment.  However, the annual distribution may not be made until the endowed fund has been established and invested</w:t>
      </w:r>
      <w:r w:rsidR="00881231">
        <w:rPr>
          <w:sz w:val="24"/>
        </w:rPr>
        <w:t xml:space="preserve"> for at least one calendar year </w:t>
      </w:r>
      <w:r w:rsidR="00881231" w:rsidRPr="008E6A66">
        <w:rPr>
          <w:sz w:val="24"/>
        </w:rPr>
        <w:t>without the prior approval of the President.</w:t>
      </w:r>
    </w:p>
    <w:p w:rsidR="002550E2" w:rsidRDefault="002550E2" w:rsidP="00EF3833">
      <w:pPr>
        <w:ind w:right="-720"/>
        <w:rPr>
          <w:sz w:val="24"/>
        </w:rPr>
      </w:pPr>
    </w:p>
    <w:p w:rsidR="002550E2" w:rsidRPr="00A34A18" w:rsidRDefault="002550E2" w:rsidP="00EF3833">
      <w:pPr>
        <w:ind w:right="-720"/>
        <w:rPr>
          <w:sz w:val="24"/>
        </w:rPr>
      </w:pPr>
      <w:r>
        <w:rPr>
          <w:sz w:val="24"/>
        </w:rPr>
        <w:t>In subsequent years, the annual distribution may be made anytime during the fiscal year at the request of the fund administrator.  Unless there is prior approval</w:t>
      </w:r>
      <w:r w:rsidR="00E12F2C">
        <w:rPr>
          <w:sz w:val="24"/>
        </w:rPr>
        <w:t xml:space="preserve"> </w:t>
      </w:r>
      <w:r w:rsidR="00E12F2C" w:rsidRPr="008E6A66">
        <w:rPr>
          <w:sz w:val="24"/>
        </w:rPr>
        <w:t>by the President</w:t>
      </w:r>
      <w:r>
        <w:rPr>
          <w:sz w:val="24"/>
        </w:rPr>
        <w:t>, annual distributions shall not be carried over between fiscal years.</w:t>
      </w:r>
    </w:p>
    <w:p w:rsidR="00E12F2C" w:rsidRDefault="00E12F2C" w:rsidP="003C3B26">
      <w:pPr>
        <w:rPr>
          <w:b/>
          <w:i/>
          <w:sz w:val="24"/>
          <w:szCs w:val="24"/>
          <w:highlight w:val="yellow"/>
        </w:rPr>
      </w:pPr>
    </w:p>
    <w:p w:rsidR="004506A8" w:rsidRDefault="004506A8" w:rsidP="003C3B26">
      <w:pPr>
        <w:rPr>
          <w:b/>
          <w:sz w:val="24"/>
          <w:szCs w:val="24"/>
          <w:highlight w:val="yellow"/>
          <w:u w:val="single"/>
        </w:rPr>
      </w:pPr>
    </w:p>
    <w:p w:rsidR="004506A8" w:rsidRDefault="004506A8" w:rsidP="003C3B26">
      <w:pPr>
        <w:rPr>
          <w:b/>
          <w:sz w:val="24"/>
          <w:szCs w:val="24"/>
          <w:highlight w:val="yellow"/>
          <w:u w:val="single"/>
        </w:rPr>
      </w:pPr>
    </w:p>
    <w:p w:rsidR="00835A95" w:rsidRPr="008E6A66" w:rsidRDefault="003C3B26" w:rsidP="003C3B26">
      <w:pPr>
        <w:rPr>
          <w:b/>
          <w:sz w:val="24"/>
          <w:szCs w:val="24"/>
          <w:u w:val="single"/>
        </w:rPr>
      </w:pPr>
      <w:r w:rsidRPr="008E6A66">
        <w:rPr>
          <w:b/>
          <w:sz w:val="24"/>
          <w:szCs w:val="24"/>
          <w:u w:val="single"/>
        </w:rPr>
        <w:t xml:space="preserve">UNDERWATER ENDOWMENT SPENDING POLICY </w:t>
      </w:r>
    </w:p>
    <w:p w:rsidR="003C3B26" w:rsidRPr="008E6A66" w:rsidRDefault="003C3B26" w:rsidP="003C3B26">
      <w:pPr>
        <w:rPr>
          <w:b/>
          <w:sz w:val="24"/>
          <w:szCs w:val="24"/>
          <w:u w:val="single"/>
        </w:rPr>
      </w:pPr>
    </w:p>
    <w:p w:rsidR="00E650C8" w:rsidRPr="008E6A66" w:rsidRDefault="00BA3D00" w:rsidP="003C3B26">
      <w:pPr>
        <w:rPr>
          <w:sz w:val="24"/>
          <w:szCs w:val="24"/>
        </w:rPr>
      </w:pPr>
      <w:r w:rsidRPr="008E6A66">
        <w:rPr>
          <w:sz w:val="24"/>
          <w:szCs w:val="24"/>
        </w:rPr>
        <w:t>The Colleg</w:t>
      </w:r>
      <w:r w:rsidR="00E650C8" w:rsidRPr="008E6A66">
        <w:rPr>
          <w:sz w:val="24"/>
          <w:szCs w:val="24"/>
        </w:rPr>
        <w:t xml:space="preserve">e Heights Foundation is committed to honor the </w:t>
      </w:r>
      <w:r w:rsidR="003D6A66" w:rsidRPr="008E6A66">
        <w:rPr>
          <w:sz w:val="24"/>
          <w:szCs w:val="24"/>
        </w:rPr>
        <w:t>wishes</w:t>
      </w:r>
      <w:r w:rsidR="00E650C8" w:rsidRPr="008E6A66">
        <w:rPr>
          <w:sz w:val="24"/>
          <w:szCs w:val="24"/>
        </w:rPr>
        <w:t xml:space="preserve"> of the donor by</w:t>
      </w:r>
      <w:r w:rsidR="003D6A66" w:rsidRPr="008E6A66">
        <w:rPr>
          <w:sz w:val="24"/>
          <w:szCs w:val="24"/>
        </w:rPr>
        <w:t xml:space="preserve"> providing </w:t>
      </w:r>
      <w:r w:rsidR="00E650C8" w:rsidRPr="008E6A66">
        <w:rPr>
          <w:sz w:val="24"/>
          <w:szCs w:val="24"/>
        </w:rPr>
        <w:t xml:space="preserve">annual </w:t>
      </w:r>
      <w:r w:rsidR="00613F6D" w:rsidRPr="008E6A66">
        <w:rPr>
          <w:sz w:val="24"/>
          <w:szCs w:val="24"/>
        </w:rPr>
        <w:t>support</w:t>
      </w:r>
      <w:r w:rsidR="00881231" w:rsidRPr="008E6A66">
        <w:rPr>
          <w:sz w:val="24"/>
          <w:szCs w:val="24"/>
        </w:rPr>
        <w:t xml:space="preserve"> from the endowment</w:t>
      </w:r>
      <w:r w:rsidR="00613F6D" w:rsidRPr="008E6A66">
        <w:rPr>
          <w:sz w:val="24"/>
          <w:szCs w:val="24"/>
        </w:rPr>
        <w:t xml:space="preserve"> while also preserving the principal investment of the fund so that it will last in perpetuity.</w:t>
      </w:r>
      <w:r w:rsidR="00C66225" w:rsidRPr="008E6A66">
        <w:rPr>
          <w:sz w:val="24"/>
          <w:szCs w:val="24"/>
        </w:rPr>
        <w:t xml:space="preserve">  T</w:t>
      </w:r>
      <w:r w:rsidR="00E650C8" w:rsidRPr="008E6A66">
        <w:rPr>
          <w:sz w:val="24"/>
          <w:szCs w:val="24"/>
        </w:rPr>
        <w:t xml:space="preserve">he Foundation </w:t>
      </w:r>
      <w:r w:rsidR="00DF4E2A" w:rsidRPr="008E6A66">
        <w:rPr>
          <w:sz w:val="24"/>
          <w:szCs w:val="24"/>
        </w:rPr>
        <w:t>strives to provide prudent fiduciary man</w:t>
      </w:r>
      <w:r w:rsidR="00E650C8" w:rsidRPr="008E6A66">
        <w:rPr>
          <w:sz w:val="24"/>
          <w:szCs w:val="24"/>
        </w:rPr>
        <w:t>agement and administrati</w:t>
      </w:r>
      <w:r w:rsidR="00C66225" w:rsidRPr="008E6A66">
        <w:rPr>
          <w:sz w:val="24"/>
          <w:szCs w:val="24"/>
        </w:rPr>
        <w:t xml:space="preserve">on of each individual endowment </w:t>
      </w:r>
      <w:r w:rsidR="00E650C8" w:rsidRPr="008E6A66">
        <w:rPr>
          <w:sz w:val="24"/>
          <w:szCs w:val="24"/>
        </w:rPr>
        <w:t>fund</w:t>
      </w:r>
      <w:r w:rsidR="00C66225" w:rsidRPr="008E6A66">
        <w:rPr>
          <w:sz w:val="24"/>
          <w:szCs w:val="24"/>
        </w:rPr>
        <w:t>.  However, the Foundation recognizes that</w:t>
      </w:r>
      <w:r w:rsidR="00E650C8" w:rsidRPr="008E6A66">
        <w:rPr>
          <w:sz w:val="24"/>
          <w:szCs w:val="24"/>
        </w:rPr>
        <w:t xml:space="preserve"> sometimes due to </w:t>
      </w:r>
      <w:r w:rsidR="00C66225" w:rsidRPr="008E6A66">
        <w:rPr>
          <w:sz w:val="24"/>
          <w:szCs w:val="24"/>
        </w:rPr>
        <w:t xml:space="preserve">conditions out of its </w:t>
      </w:r>
      <w:r w:rsidR="008D478D" w:rsidRPr="008E6A66">
        <w:rPr>
          <w:sz w:val="24"/>
          <w:szCs w:val="24"/>
        </w:rPr>
        <w:t>control</w:t>
      </w:r>
      <w:r w:rsidR="00C66225" w:rsidRPr="008E6A66">
        <w:rPr>
          <w:sz w:val="24"/>
          <w:szCs w:val="24"/>
        </w:rPr>
        <w:t xml:space="preserve">, </w:t>
      </w:r>
      <w:r w:rsidR="00E650C8" w:rsidRPr="008E6A66">
        <w:rPr>
          <w:sz w:val="24"/>
          <w:szCs w:val="24"/>
        </w:rPr>
        <w:t xml:space="preserve">the </w:t>
      </w:r>
      <w:r w:rsidR="00C66225" w:rsidRPr="008E6A66">
        <w:rPr>
          <w:sz w:val="24"/>
          <w:szCs w:val="24"/>
        </w:rPr>
        <w:t>fair market value of an endowed fund</w:t>
      </w:r>
      <w:r w:rsidR="00E650C8" w:rsidRPr="008E6A66">
        <w:rPr>
          <w:sz w:val="24"/>
          <w:szCs w:val="24"/>
        </w:rPr>
        <w:t xml:space="preserve"> </w:t>
      </w:r>
      <w:r w:rsidR="00C66225" w:rsidRPr="008E6A66">
        <w:rPr>
          <w:sz w:val="24"/>
          <w:szCs w:val="24"/>
        </w:rPr>
        <w:t>ca</w:t>
      </w:r>
      <w:r w:rsidR="00E12F2C" w:rsidRPr="008E6A66">
        <w:rPr>
          <w:sz w:val="24"/>
          <w:szCs w:val="24"/>
        </w:rPr>
        <w:t xml:space="preserve">n fall below the historic principal value of the contributions received </w:t>
      </w:r>
      <w:r w:rsidR="008D478D" w:rsidRPr="008E6A66">
        <w:rPr>
          <w:sz w:val="24"/>
          <w:szCs w:val="24"/>
        </w:rPr>
        <w:t xml:space="preserve">deeming it an underwater endowment.  </w:t>
      </w:r>
    </w:p>
    <w:p w:rsidR="00E650C8" w:rsidRPr="008E6A66" w:rsidRDefault="00E650C8" w:rsidP="003C3B26">
      <w:pPr>
        <w:rPr>
          <w:sz w:val="24"/>
          <w:szCs w:val="24"/>
        </w:rPr>
      </w:pPr>
    </w:p>
    <w:p w:rsidR="00A369C6" w:rsidRPr="008E6A66" w:rsidRDefault="00A369C6" w:rsidP="003C3B26">
      <w:pPr>
        <w:rPr>
          <w:sz w:val="24"/>
          <w:szCs w:val="24"/>
        </w:rPr>
      </w:pPr>
      <w:r w:rsidRPr="008E6A66">
        <w:rPr>
          <w:sz w:val="24"/>
          <w:szCs w:val="24"/>
        </w:rPr>
        <w:t>In accordance w</w:t>
      </w:r>
      <w:r w:rsidR="00E650C8" w:rsidRPr="008E6A66">
        <w:rPr>
          <w:sz w:val="24"/>
          <w:szCs w:val="24"/>
        </w:rPr>
        <w:t xml:space="preserve">ith the </w:t>
      </w:r>
      <w:r w:rsidR="005B3357" w:rsidRPr="008E6A66">
        <w:rPr>
          <w:sz w:val="24"/>
          <w:szCs w:val="24"/>
        </w:rPr>
        <w:t xml:space="preserve">Kentucky </w:t>
      </w:r>
      <w:r w:rsidRPr="008E6A66">
        <w:rPr>
          <w:sz w:val="24"/>
          <w:szCs w:val="24"/>
        </w:rPr>
        <w:t>Uniform Prudent Management of Institutional Funds Act (UPMIFA)</w:t>
      </w:r>
      <w:r w:rsidR="00E650C8" w:rsidRPr="008E6A66">
        <w:rPr>
          <w:sz w:val="24"/>
          <w:szCs w:val="24"/>
        </w:rPr>
        <w:t xml:space="preserve">, the College Heights Foundation </w:t>
      </w:r>
      <w:r w:rsidRPr="008E6A66">
        <w:rPr>
          <w:sz w:val="24"/>
          <w:szCs w:val="24"/>
        </w:rPr>
        <w:t>has considered the following factors in developing a</w:t>
      </w:r>
      <w:r w:rsidR="007666FD" w:rsidRPr="008E6A66">
        <w:rPr>
          <w:sz w:val="24"/>
          <w:szCs w:val="24"/>
        </w:rPr>
        <w:t>n</w:t>
      </w:r>
      <w:r w:rsidRPr="008E6A66">
        <w:rPr>
          <w:sz w:val="24"/>
          <w:szCs w:val="24"/>
        </w:rPr>
        <w:t xml:space="preserve"> underwater endowment spending policy:</w:t>
      </w:r>
    </w:p>
    <w:p w:rsidR="00F14BC6" w:rsidRPr="008E6A66" w:rsidRDefault="00F0442B" w:rsidP="00A369C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E6A66">
        <w:rPr>
          <w:sz w:val="24"/>
          <w:szCs w:val="24"/>
        </w:rPr>
        <w:t>the duration and preservation of the endowment fund;</w:t>
      </w:r>
    </w:p>
    <w:p w:rsidR="00F0442B" w:rsidRPr="008E6A66" w:rsidRDefault="00F0442B" w:rsidP="00A369C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E6A66">
        <w:rPr>
          <w:sz w:val="24"/>
          <w:szCs w:val="24"/>
        </w:rPr>
        <w:t xml:space="preserve">the </w:t>
      </w:r>
      <w:r w:rsidR="00F65E4F" w:rsidRPr="008E6A66">
        <w:rPr>
          <w:sz w:val="24"/>
          <w:szCs w:val="24"/>
        </w:rPr>
        <w:t>purpose of the</w:t>
      </w:r>
      <w:r w:rsidR="00E650C8" w:rsidRPr="008E6A66">
        <w:rPr>
          <w:sz w:val="24"/>
          <w:szCs w:val="24"/>
        </w:rPr>
        <w:t xml:space="preserve"> individual </w:t>
      </w:r>
      <w:r w:rsidRPr="008E6A66">
        <w:rPr>
          <w:sz w:val="24"/>
          <w:szCs w:val="24"/>
        </w:rPr>
        <w:t>endowment fund</w:t>
      </w:r>
      <w:r w:rsidR="00F65E4F" w:rsidRPr="008E6A66">
        <w:rPr>
          <w:sz w:val="24"/>
          <w:szCs w:val="24"/>
        </w:rPr>
        <w:t xml:space="preserve"> in support of the institution</w:t>
      </w:r>
      <w:r w:rsidRPr="008E6A66">
        <w:rPr>
          <w:sz w:val="24"/>
          <w:szCs w:val="24"/>
        </w:rPr>
        <w:t>;</w:t>
      </w:r>
    </w:p>
    <w:p w:rsidR="00F0442B" w:rsidRPr="008E6A66" w:rsidRDefault="00F0442B" w:rsidP="00A369C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E6A66">
        <w:rPr>
          <w:sz w:val="24"/>
          <w:szCs w:val="24"/>
        </w:rPr>
        <w:t>general economic conditions;</w:t>
      </w:r>
    </w:p>
    <w:p w:rsidR="00F0442B" w:rsidRPr="008E6A66" w:rsidRDefault="00F0442B" w:rsidP="00A369C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E6A66">
        <w:rPr>
          <w:sz w:val="24"/>
          <w:szCs w:val="24"/>
        </w:rPr>
        <w:t>the possible effect of inflation or deflation;</w:t>
      </w:r>
    </w:p>
    <w:p w:rsidR="00F0442B" w:rsidRPr="008E6A66" w:rsidRDefault="00F0442B" w:rsidP="00A369C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E6A66">
        <w:rPr>
          <w:sz w:val="24"/>
          <w:szCs w:val="24"/>
        </w:rPr>
        <w:t>the expected total return from income and the appreciation of investments;</w:t>
      </w:r>
    </w:p>
    <w:p w:rsidR="00F0442B" w:rsidRPr="008E6A66" w:rsidRDefault="00F0442B" w:rsidP="00F0442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E6A66">
        <w:rPr>
          <w:sz w:val="24"/>
          <w:szCs w:val="24"/>
        </w:rPr>
        <w:t>other resources of the institution;</w:t>
      </w:r>
    </w:p>
    <w:p w:rsidR="00F0442B" w:rsidRPr="008E6A66" w:rsidRDefault="00F0442B" w:rsidP="00F0442B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gramStart"/>
      <w:r w:rsidRPr="008E6A66">
        <w:rPr>
          <w:sz w:val="24"/>
          <w:szCs w:val="24"/>
        </w:rPr>
        <w:t>the</w:t>
      </w:r>
      <w:proofErr w:type="gramEnd"/>
      <w:r w:rsidRPr="008E6A66">
        <w:rPr>
          <w:sz w:val="24"/>
          <w:szCs w:val="24"/>
        </w:rPr>
        <w:t xml:space="preserve"> inve</w:t>
      </w:r>
      <w:r w:rsidR="00E650C8" w:rsidRPr="008E6A66">
        <w:rPr>
          <w:sz w:val="24"/>
          <w:szCs w:val="24"/>
        </w:rPr>
        <w:t>stment policy of the Foundation</w:t>
      </w:r>
      <w:r w:rsidRPr="008E6A66">
        <w:rPr>
          <w:sz w:val="24"/>
          <w:szCs w:val="24"/>
        </w:rPr>
        <w:t>.</w:t>
      </w:r>
    </w:p>
    <w:p w:rsidR="00F0442B" w:rsidRPr="008E6A66" w:rsidRDefault="00F0442B" w:rsidP="00F0442B">
      <w:pPr>
        <w:rPr>
          <w:sz w:val="24"/>
          <w:szCs w:val="24"/>
        </w:rPr>
      </w:pPr>
    </w:p>
    <w:p w:rsidR="00492C4A" w:rsidRPr="008E6A66" w:rsidRDefault="00C66225" w:rsidP="00F0442B">
      <w:pPr>
        <w:rPr>
          <w:sz w:val="24"/>
          <w:szCs w:val="24"/>
        </w:rPr>
      </w:pPr>
      <w:r w:rsidRPr="008E6A66">
        <w:rPr>
          <w:sz w:val="24"/>
          <w:szCs w:val="24"/>
        </w:rPr>
        <w:t xml:space="preserve">Based on the those considerations, </w:t>
      </w:r>
      <w:r w:rsidR="00BC0C79" w:rsidRPr="008E6A66">
        <w:rPr>
          <w:sz w:val="24"/>
          <w:szCs w:val="24"/>
        </w:rPr>
        <w:t>if the</w:t>
      </w:r>
      <w:r w:rsidR="00F65E4F" w:rsidRPr="008E6A66">
        <w:rPr>
          <w:sz w:val="24"/>
          <w:szCs w:val="24"/>
        </w:rPr>
        <w:t xml:space="preserve"> </w:t>
      </w:r>
      <w:r w:rsidR="005B3357" w:rsidRPr="008E6A66">
        <w:rPr>
          <w:sz w:val="24"/>
          <w:szCs w:val="24"/>
        </w:rPr>
        <w:t xml:space="preserve">fair </w:t>
      </w:r>
      <w:r w:rsidR="00F65E4F" w:rsidRPr="008E6A66">
        <w:rPr>
          <w:sz w:val="24"/>
          <w:szCs w:val="24"/>
        </w:rPr>
        <w:t>market value of the</w:t>
      </w:r>
      <w:r w:rsidR="00BC0C79" w:rsidRPr="008E6A66">
        <w:rPr>
          <w:sz w:val="24"/>
          <w:szCs w:val="24"/>
        </w:rPr>
        <w:t xml:space="preserve"> endowed fund</w:t>
      </w:r>
      <w:r w:rsidR="00F65E4F" w:rsidRPr="008E6A66">
        <w:rPr>
          <w:sz w:val="24"/>
          <w:szCs w:val="24"/>
        </w:rPr>
        <w:t xml:space="preserve"> </w:t>
      </w:r>
      <w:r w:rsidR="00492C4A" w:rsidRPr="008E6A66">
        <w:rPr>
          <w:sz w:val="24"/>
          <w:szCs w:val="24"/>
        </w:rPr>
        <w:t>is less t</w:t>
      </w:r>
      <w:r w:rsidR="005B3357" w:rsidRPr="008E6A66">
        <w:rPr>
          <w:sz w:val="24"/>
          <w:szCs w:val="24"/>
        </w:rPr>
        <w:t xml:space="preserve">han the account’s historic principal </w:t>
      </w:r>
      <w:r w:rsidR="00492C4A" w:rsidRPr="008E6A66">
        <w:rPr>
          <w:sz w:val="24"/>
          <w:szCs w:val="24"/>
        </w:rPr>
        <w:t xml:space="preserve">value as of fiscal year end, the income distribution for the following year may be adjusted in an </w:t>
      </w:r>
      <w:r w:rsidR="005B3357" w:rsidRPr="008E6A66">
        <w:rPr>
          <w:sz w:val="24"/>
          <w:szCs w:val="24"/>
        </w:rPr>
        <w:t>effort to restore the fund balance back to the historic principal</w:t>
      </w:r>
      <w:r w:rsidR="00492C4A" w:rsidRPr="008E6A66">
        <w:rPr>
          <w:sz w:val="24"/>
          <w:szCs w:val="24"/>
        </w:rPr>
        <w:t xml:space="preserve"> amount.</w:t>
      </w:r>
    </w:p>
    <w:p w:rsidR="00492C4A" w:rsidRPr="008E6A66" w:rsidRDefault="00492C4A" w:rsidP="00F0442B">
      <w:pPr>
        <w:rPr>
          <w:sz w:val="24"/>
          <w:szCs w:val="24"/>
        </w:rPr>
      </w:pPr>
    </w:p>
    <w:p w:rsidR="005600EB" w:rsidRDefault="00492C4A" w:rsidP="00F0442B">
      <w:pPr>
        <w:rPr>
          <w:sz w:val="24"/>
          <w:szCs w:val="24"/>
        </w:rPr>
      </w:pPr>
      <w:r w:rsidRPr="008E6A66">
        <w:rPr>
          <w:sz w:val="24"/>
          <w:szCs w:val="24"/>
        </w:rPr>
        <w:t>T</w:t>
      </w:r>
      <w:r w:rsidR="00E650C8" w:rsidRPr="008E6A66">
        <w:rPr>
          <w:sz w:val="24"/>
          <w:szCs w:val="24"/>
        </w:rPr>
        <w:t>he College Heights Foundation</w:t>
      </w:r>
      <w:r w:rsidR="00BC0C79" w:rsidRPr="008E6A66">
        <w:rPr>
          <w:sz w:val="24"/>
          <w:szCs w:val="24"/>
        </w:rPr>
        <w:t xml:space="preserve"> will use a </w:t>
      </w:r>
      <w:r w:rsidR="00F0442B" w:rsidRPr="008E6A66">
        <w:rPr>
          <w:sz w:val="24"/>
          <w:szCs w:val="24"/>
        </w:rPr>
        <w:t xml:space="preserve">step down </w:t>
      </w:r>
      <w:r w:rsidR="00E97BDD" w:rsidRPr="008E6A66">
        <w:rPr>
          <w:sz w:val="24"/>
          <w:szCs w:val="24"/>
        </w:rPr>
        <w:t>appropriation</w:t>
      </w:r>
      <w:r w:rsidRPr="008E6A66">
        <w:rPr>
          <w:sz w:val="24"/>
          <w:szCs w:val="24"/>
        </w:rPr>
        <w:t xml:space="preserve"> </w:t>
      </w:r>
      <w:r w:rsidR="00F0442B" w:rsidRPr="008E6A66">
        <w:rPr>
          <w:sz w:val="24"/>
          <w:szCs w:val="24"/>
        </w:rPr>
        <w:t>method</w:t>
      </w:r>
      <w:r w:rsidRPr="008E6A66">
        <w:rPr>
          <w:sz w:val="24"/>
          <w:szCs w:val="24"/>
        </w:rPr>
        <w:t xml:space="preserve"> to slow the allocation from the endowment until the principal has been restored for any permanently endowed fund with a </w:t>
      </w:r>
      <w:r w:rsidR="005B3357" w:rsidRPr="008E6A66">
        <w:rPr>
          <w:sz w:val="24"/>
          <w:szCs w:val="24"/>
        </w:rPr>
        <w:t xml:space="preserve">fair </w:t>
      </w:r>
      <w:r w:rsidRPr="008E6A66">
        <w:rPr>
          <w:sz w:val="24"/>
          <w:szCs w:val="24"/>
        </w:rPr>
        <w:t>market value</w:t>
      </w:r>
      <w:r w:rsidR="005B3357" w:rsidRPr="008E6A66">
        <w:rPr>
          <w:sz w:val="24"/>
          <w:szCs w:val="24"/>
        </w:rPr>
        <w:t xml:space="preserve"> (FMV)</w:t>
      </w:r>
      <w:r w:rsidRPr="008E6A66">
        <w:rPr>
          <w:sz w:val="24"/>
          <w:szCs w:val="24"/>
        </w:rPr>
        <w:t xml:space="preserve"> less than 96% of the donor’s contributed value.  </w:t>
      </w:r>
    </w:p>
    <w:p w:rsidR="005600EB" w:rsidRDefault="005600EB" w:rsidP="00F0442B">
      <w:pPr>
        <w:rPr>
          <w:sz w:val="24"/>
          <w:szCs w:val="24"/>
        </w:rPr>
      </w:pPr>
    </w:p>
    <w:p w:rsidR="005600EB" w:rsidRDefault="005600EB" w:rsidP="00F0442B">
      <w:pPr>
        <w:rPr>
          <w:sz w:val="24"/>
          <w:szCs w:val="24"/>
        </w:rPr>
      </w:pPr>
    </w:p>
    <w:p w:rsidR="005600EB" w:rsidRDefault="005600EB" w:rsidP="005600E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Policy No:  400.</w:t>
      </w:r>
      <w:r>
        <w:rPr>
          <w:sz w:val="24"/>
          <w:szCs w:val="24"/>
        </w:rPr>
        <w:t>2</w:t>
      </w:r>
    </w:p>
    <w:p w:rsidR="005600EB" w:rsidRDefault="005600EB" w:rsidP="005600EB">
      <w:pPr>
        <w:jc w:val="right"/>
        <w:rPr>
          <w:sz w:val="24"/>
          <w:szCs w:val="24"/>
        </w:rPr>
      </w:pPr>
      <w:r>
        <w:rPr>
          <w:sz w:val="24"/>
          <w:szCs w:val="24"/>
        </w:rPr>
        <w:t>Page 3</w:t>
      </w:r>
    </w:p>
    <w:p w:rsidR="005600EB" w:rsidRDefault="005600EB" w:rsidP="00F0442B">
      <w:pPr>
        <w:rPr>
          <w:sz w:val="24"/>
          <w:szCs w:val="24"/>
        </w:rPr>
      </w:pPr>
    </w:p>
    <w:p w:rsidR="005600EB" w:rsidRDefault="005600EB" w:rsidP="00F0442B">
      <w:pPr>
        <w:rPr>
          <w:sz w:val="24"/>
          <w:szCs w:val="24"/>
        </w:rPr>
      </w:pPr>
    </w:p>
    <w:p w:rsidR="00492C4A" w:rsidRPr="008E6A66" w:rsidRDefault="00492C4A" w:rsidP="00F0442B">
      <w:pPr>
        <w:rPr>
          <w:sz w:val="24"/>
          <w:szCs w:val="24"/>
        </w:rPr>
      </w:pPr>
      <w:bookmarkStart w:id="0" w:name="_GoBack"/>
      <w:bookmarkEnd w:id="0"/>
      <w:r w:rsidRPr="008E6A66">
        <w:rPr>
          <w:sz w:val="24"/>
          <w:szCs w:val="24"/>
        </w:rPr>
        <w:t>The following schedule will be used to determine the spending allocation:</w:t>
      </w:r>
    </w:p>
    <w:p w:rsidR="00492C4A" w:rsidRPr="008E6A66" w:rsidRDefault="005B3357" w:rsidP="00492C4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E6A66">
        <w:rPr>
          <w:sz w:val="24"/>
          <w:szCs w:val="24"/>
        </w:rPr>
        <w:t xml:space="preserve">FMV </w:t>
      </w:r>
      <w:r w:rsidR="00492C4A" w:rsidRPr="008E6A66">
        <w:rPr>
          <w:sz w:val="24"/>
          <w:szCs w:val="24"/>
        </w:rPr>
        <w:t>between 90</w:t>
      </w:r>
      <w:r w:rsidRPr="008E6A66">
        <w:rPr>
          <w:sz w:val="24"/>
          <w:szCs w:val="24"/>
        </w:rPr>
        <w:t xml:space="preserve">%-95.9% of historic principal </w:t>
      </w:r>
      <w:r w:rsidR="00B40506" w:rsidRPr="008E6A66">
        <w:rPr>
          <w:sz w:val="24"/>
          <w:szCs w:val="24"/>
        </w:rPr>
        <w:t>value=75% distribution</w:t>
      </w:r>
    </w:p>
    <w:p w:rsidR="00B40506" w:rsidRPr="008E6A66" w:rsidRDefault="005B3357" w:rsidP="00B4050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E6A66">
        <w:rPr>
          <w:sz w:val="24"/>
          <w:szCs w:val="24"/>
        </w:rPr>
        <w:t xml:space="preserve">FMV </w:t>
      </w:r>
      <w:r w:rsidR="00B40506" w:rsidRPr="008E6A66">
        <w:rPr>
          <w:sz w:val="24"/>
          <w:szCs w:val="24"/>
        </w:rPr>
        <w:t>bet</w:t>
      </w:r>
      <w:r w:rsidRPr="008E6A66">
        <w:rPr>
          <w:sz w:val="24"/>
          <w:szCs w:val="24"/>
        </w:rPr>
        <w:t xml:space="preserve">ween 85%-89.9% of historic principal </w:t>
      </w:r>
      <w:r w:rsidR="00B40506" w:rsidRPr="008E6A66">
        <w:rPr>
          <w:sz w:val="24"/>
          <w:szCs w:val="24"/>
        </w:rPr>
        <w:t>value=50% distribution</w:t>
      </w:r>
    </w:p>
    <w:p w:rsidR="00B40506" w:rsidRPr="008E6A66" w:rsidRDefault="005B3357" w:rsidP="00B4050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E6A66">
        <w:rPr>
          <w:sz w:val="24"/>
          <w:szCs w:val="24"/>
        </w:rPr>
        <w:t xml:space="preserve">FMV </w:t>
      </w:r>
      <w:r w:rsidR="00F65E4F" w:rsidRPr="008E6A66">
        <w:rPr>
          <w:sz w:val="24"/>
          <w:szCs w:val="24"/>
        </w:rPr>
        <w:t>between 80%-8</w:t>
      </w:r>
      <w:r w:rsidRPr="008E6A66">
        <w:rPr>
          <w:sz w:val="24"/>
          <w:szCs w:val="24"/>
        </w:rPr>
        <w:t xml:space="preserve">4.9% of historic principal </w:t>
      </w:r>
      <w:r w:rsidR="00B40506" w:rsidRPr="008E6A66">
        <w:rPr>
          <w:sz w:val="24"/>
          <w:szCs w:val="24"/>
        </w:rPr>
        <w:t>value=25% distribution</w:t>
      </w:r>
    </w:p>
    <w:p w:rsidR="00B40506" w:rsidRPr="008E6A66" w:rsidRDefault="005B3357" w:rsidP="00B4050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E6A66">
        <w:rPr>
          <w:sz w:val="24"/>
          <w:szCs w:val="24"/>
        </w:rPr>
        <w:t xml:space="preserve">FMV less than 80% of historic principal </w:t>
      </w:r>
      <w:r w:rsidR="00B40506" w:rsidRPr="008E6A66">
        <w:rPr>
          <w:sz w:val="24"/>
          <w:szCs w:val="24"/>
        </w:rPr>
        <w:t>value=No distribution</w:t>
      </w:r>
    </w:p>
    <w:p w:rsidR="00BC0C79" w:rsidRPr="008E6A66" w:rsidRDefault="00BC0C79" w:rsidP="00BC0C79">
      <w:pPr>
        <w:rPr>
          <w:sz w:val="24"/>
          <w:szCs w:val="24"/>
        </w:rPr>
      </w:pPr>
    </w:p>
    <w:p w:rsidR="00BC0C79" w:rsidRPr="008E6A66" w:rsidRDefault="00BC0C79" w:rsidP="00BC0C79">
      <w:pPr>
        <w:rPr>
          <w:sz w:val="24"/>
          <w:szCs w:val="24"/>
        </w:rPr>
      </w:pPr>
      <w:r w:rsidRPr="008E6A66">
        <w:rPr>
          <w:sz w:val="24"/>
          <w:szCs w:val="24"/>
        </w:rPr>
        <w:t xml:space="preserve">No distributions will be made from an endowed fund that is considered underwater by more than 20%.  </w:t>
      </w:r>
      <w:r w:rsidR="00F65E4F" w:rsidRPr="008E6A66">
        <w:rPr>
          <w:sz w:val="24"/>
          <w:szCs w:val="24"/>
        </w:rPr>
        <w:t>Further, once distributions have been suspended from an underwater endowment, then annual appropriations will not resume until the fair market value has been restored t</w:t>
      </w:r>
      <w:r w:rsidR="005B3357" w:rsidRPr="008E6A66">
        <w:rPr>
          <w:sz w:val="24"/>
          <w:szCs w:val="24"/>
        </w:rPr>
        <w:t xml:space="preserve">o the historic principal </w:t>
      </w:r>
      <w:r w:rsidR="00F65E4F" w:rsidRPr="008E6A66">
        <w:rPr>
          <w:sz w:val="24"/>
          <w:szCs w:val="24"/>
        </w:rPr>
        <w:t xml:space="preserve">value.  </w:t>
      </w:r>
      <w:r w:rsidRPr="008E6A66">
        <w:rPr>
          <w:sz w:val="24"/>
          <w:szCs w:val="24"/>
        </w:rPr>
        <w:t>Donors have the option of contri</w:t>
      </w:r>
      <w:r w:rsidR="00F65E4F" w:rsidRPr="008E6A66">
        <w:rPr>
          <w:sz w:val="24"/>
          <w:szCs w:val="24"/>
        </w:rPr>
        <w:t xml:space="preserve">buting to an underwater endowed fund </w:t>
      </w:r>
      <w:r w:rsidRPr="008E6A66">
        <w:rPr>
          <w:sz w:val="24"/>
          <w:szCs w:val="24"/>
        </w:rPr>
        <w:t>to restore the account to the contributed value in order to remove the account from underwater status so that regular spending distributions can be made.</w:t>
      </w:r>
    </w:p>
    <w:p w:rsidR="00492C4A" w:rsidRPr="008E6A66" w:rsidRDefault="00492C4A" w:rsidP="00B40506">
      <w:pPr>
        <w:pStyle w:val="ListParagraph"/>
        <w:ind w:left="1440"/>
        <w:rPr>
          <w:sz w:val="24"/>
          <w:szCs w:val="24"/>
        </w:rPr>
      </w:pPr>
    </w:p>
    <w:p w:rsidR="007666FD" w:rsidRPr="00F0442B" w:rsidRDefault="007666FD" w:rsidP="00F0442B">
      <w:pPr>
        <w:rPr>
          <w:sz w:val="24"/>
          <w:szCs w:val="24"/>
        </w:rPr>
      </w:pPr>
      <w:r w:rsidRPr="008E6A66">
        <w:rPr>
          <w:sz w:val="24"/>
          <w:szCs w:val="24"/>
        </w:rPr>
        <w:t>The Treasurer and President have authority to approve exceptions to t</w:t>
      </w:r>
      <w:r w:rsidR="00BC0C79" w:rsidRPr="008E6A66">
        <w:rPr>
          <w:sz w:val="24"/>
          <w:szCs w:val="24"/>
        </w:rPr>
        <w:t xml:space="preserve">he policy based on the </w:t>
      </w:r>
      <w:r w:rsidRPr="008E6A66">
        <w:rPr>
          <w:sz w:val="24"/>
          <w:szCs w:val="24"/>
        </w:rPr>
        <w:t>factors</w:t>
      </w:r>
      <w:r w:rsidR="00B40506" w:rsidRPr="008E6A66">
        <w:rPr>
          <w:sz w:val="24"/>
          <w:szCs w:val="24"/>
        </w:rPr>
        <w:t xml:space="preserve"> </w:t>
      </w:r>
      <w:r w:rsidR="00BC0C79" w:rsidRPr="008E6A66">
        <w:rPr>
          <w:sz w:val="24"/>
          <w:szCs w:val="24"/>
        </w:rPr>
        <w:t xml:space="preserve">outlined above and in accordance with the principles of </w:t>
      </w:r>
      <w:r w:rsidRPr="008E6A66">
        <w:rPr>
          <w:sz w:val="24"/>
          <w:szCs w:val="24"/>
        </w:rPr>
        <w:t>UPMIFA.</w:t>
      </w:r>
    </w:p>
    <w:sectPr w:rsidR="007666FD" w:rsidRPr="00F0442B" w:rsidSect="00AB2D50">
      <w:footerReference w:type="even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B7" w:rsidRDefault="007C46B7">
      <w:r>
        <w:separator/>
      </w:r>
    </w:p>
  </w:endnote>
  <w:endnote w:type="continuationSeparator" w:id="0">
    <w:p w:rsidR="007C46B7" w:rsidRDefault="007C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1C" w:rsidRDefault="0052051C" w:rsidP="00E973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051C" w:rsidRDefault="0052051C" w:rsidP="005B70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1C" w:rsidRDefault="0052051C" w:rsidP="005B70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B7" w:rsidRDefault="007C46B7">
      <w:r>
        <w:separator/>
      </w:r>
    </w:p>
  </w:footnote>
  <w:footnote w:type="continuationSeparator" w:id="0">
    <w:p w:rsidR="007C46B7" w:rsidRDefault="007C4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466441"/>
    <w:multiLevelType w:val="hybridMultilevel"/>
    <w:tmpl w:val="AF80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F47BB"/>
    <w:multiLevelType w:val="hybridMultilevel"/>
    <w:tmpl w:val="41782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293EC5"/>
    <w:multiLevelType w:val="singleLevel"/>
    <w:tmpl w:val="8AA6A4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</w:rPr>
    </w:lvl>
  </w:abstractNum>
  <w:abstractNum w:abstractNumId="4">
    <w:nsid w:val="3A2D1D28"/>
    <w:multiLevelType w:val="hybridMultilevel"/>
    <w:tmpl w:val="5538C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7561E"/>
    <w:multiLevelType w:val="hybridMultilevel"/>
    <w:tmpl w:val="F93642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916AE"/>
    <w:multiLevelType w:val="singleLevel"/>
    <w:tmpl w:val="88B87BCA"/>
    <w:lvl w:ilvl="0">
      <w:start w:val="2"/>
      <w:numFmt w:val="decimal"/>
      <w:lvlText w:val="%1."/>
      <w:lvlJc w:val="left"/>
      <w:pPr>
        <w:tabs>
          <w:tab w:val="num" w:pos="726"/>
        </w:tabs>
        <w:ind w:left="726" w:hanging="510"/>
      </w:pPr>
      <w:rPr>
        <w:rFonts w:hint="default"/>
      </w:rPr>
    </w:lvl>
  </w:abstractNum>
  <w:abstractNum w:abstractNumId="7">
    <w:nsid w:val="5BB611A4"/>
    <w:multiLevelType w:val="singleLevel"/>
    <w:tmpl w:val="F03A82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6A"/>
    <w:rsid w:val="0001126A"/>
    <w:rsid w:val="00014E9F"/>
    <w:rsid w:val="000317C9"/>
    <w:rsid w:val="00041CDD"/>
    <w:rsid w:val="0004476C"/>
    <w:rsid w:val="00085B12"/>
    <w:rsid w:val="00097146"/>
    <w:rsid w:val="000B6D4E"/>
    <w:rsid w:val="000D45A9"/>
    <w:rsid w:val="000F2390"/>
    <w:rsid w:val="00102500"/>
    <w:rsid w:val="0011248A"/>
    <w:rsid w:val="001151CB"/>
    <w:rsid w:val="00126337"/>
    <w:rsid w:val="0013036D"/>
    <w:rsid w:val="0015403A"/>
    <w:rsid w:val="00160247"/>
    <w:rsid w:val="001678C6"/>
    <w:rsid w:val="001703FC"/>
    <w:rsid w:val="00175AF3"/>
    <w:rsid w:val="00197BB4"/>
    <w:rsid w:val="001A241F"/>
    <w:rsid w:val="001A6395"/>
    <w:rsid w:val="001B277D"/>
    <w:rsid w:val="001C1922"/>
    <w:rsid w:val="001C2939"/>
    <w:rsid w:val="001F0C2F"/>
    <w:rsid w:val="001F2FA0"/>
    <w:rsid w:val="0020529E"/>
    <w:rsid w:val="002055CE"/>
    <w:rsid w:val="0022126D"/>
    <w:rsid w:val="002352F2"/>
    <w:rsid w:val="00240BE9"/>
    <w:rsid w:val="002510E1"/>
    <w:rsid w:val="002550E2"/>
    <w:rsid w:val="0026387E"/>
    <w:rsid w:val="002764FA"/>
    <w:rsid w:val="00293115"/>
    <w:rsid w:val="002960FE"/>
    <w:rsid w:val="002A4320"/>
    <w:rsid w:val="002A79F0"/>
    <w:rsid w:val="002D296C"/>
    <w:rsid w:val="002E2188"/>
    <w:rsid w:val="002E3E43"/>
    <w:rsid w:val="002E6A46"/>
    <w:rsid w:val="002E7DDA"/>
    <w:rsid w:val="002F4D78"/>
    <w:rsid w:val="003350A8"/>
    <w:rsid w:val="00336530"/>
    <w:rsid w:val="00346936"/>
    <w:rsid w:val="003618CA"/>
    <w:rsid w:val="00362956"/>
    <w:rsid w:val="0036543D"/>
    <w:rsid w:val="00374E25"/>
    <w:rsid w:val="003801F5"/>
    <w:rsid w:val="003854B7"/>
    <w:rsid w:val="003873EB"/>
    <w:rsid w:val="00393499"/>
    <w:rsid w:val="003950C2"/>
    <w:rsid w:val="00395E06"/>
    <w:rsid w:val="003A17CF"/>
    <w:rsid w:val="003B2097"/>
    <w:rsid w:val="003B51DF"/>
    <w:rsid w:val="003C3B26"/>
    <w:rsid w:val="003D6A66"/>
    <w:rsid w:val="003F266A"/>
    <w:rsid w:val="0040349C"/>
    <w:rsid w:val="00410641"/>
    <w:rsid w:val="0042359B"/>
    <w:rsid w:val="004345D8"/>
    <w:rsid w:val="004409DE"/>
    <w:rsid w:val="0044471F"/>
    <w:rsid w:val="004506A8"/>
    <w:rsid w:val="00450E28"/>
    <w:rsid w:val="00472EB4"/>
    <w:rsid w:val="004749D1"/>
    <w:rsid w:val="004804F6"/>
    <w:rsid w:val="004835B8"/>
    <w:rsid w:val="004878AC"/>
    <w:rsid w:val="00487CE3"/>
    <w:rsid w:val="00492C4A"/>
    <w:rsid w:val="0049694B"/>
    <w:rsid w:val="00496C85"/>
    <w:rsid w:val="004A43A2"/>
    <w:rsid w:val="004D1006"/>
    <w:rsid w:val="004D1B8B"/>
    <w:rsid w:val="004D4615"/>
    <w:rsid w:val="004D7FE5"/>
    <w:rsid w:val="004F1153"/>
    <w:rsid w:val="004F1A5A"/>
    <w:rsid w:val="0052051C"/>
    <w:rsid w:val="005209D4"/>
    <w:rsid w:val="005600EB"/>
    <w:rsid w:val="0057040B"/>
    <w:rsid w:val="00575C87"/>
    <w:rsid w:val="0059460F"/>
    <w:rsid w:val="005B2AED"/>
    <w:rsid w:val="005B3357"/>
    <w:rsid w:val="005B70B3"/>
    <w:rsid w:val="005C0CBF"/>
    <w:rsid w:val="005C49B9"/>
    <w:rsid w:val="005C5FEB"/>
    <w:rsid w:val="005D5623"/>
    <w:rsid w:val="005E547F"/>
    <w:rsid w:val="005F4EB6"/>
    <w:rsid w:val="00604EA0"/>
    <w:rsid w:val="00606B62"/>
    <w:rsid w:val="00607B4C"/>
    <w:rsid w:val="00613F6D"/>
    <w:rsid w:val="00620364"/>
    <w:rsid w:val="00642D68"/>
    <w:rsid w:val="00673602"/>
    <w:rsid w:val="006807A4"/>
    <w:rsid w:val="00681909"/>
    <w:rsid w:val="00682D93"/>
    <w:rsid w:val="006929DF"/>
    <w:rsid w:val="00694CF9"/>
    <w:rsid w:val="006A2AEB"/>
    <w:rsid w:val="006A5E9D"/>
    <w:rsid w:val="006C2DB4"/>
    <w:rsid w:val="006C5078"/>
    <w:rsid w:val="00716122"/>
    <w:rsid w:val="00717500"/>
    <w:rsid w:val="00720634"/>
    <w:rsid w:val="00721B07"/>
    <w:rsid w:val="00734718"/>
    <w:rsid w:val="00740029"/>
    <w:rsid w:val="00744E8B"/>
    <w:rsid w:val="00744EAC"/>
    <w:rsid w:val="0076386F"/>
    <w:rsid w:val="007666FD"/>
    <w:rsid w:val="00782617"/>
    <w:rsid w:val="007A33D9"/>
    <w:rsid w:val="007B5171"/>
    <w:rsid w:val="007B7614"/>
    <w:rsid w:val="007C46B7"/>
    <w:rsid w:val="007C7575"/>
    <w:rsid w:val="007D0D87"/>
    <w:rsid w:val="007D29A3"/>
    <w:rsid w:val="008160FC"/>
    <w:rsid w:val="0083210C"/>
    <w:rsid w:val="00835A95"/>
    <w:rsid w:val="00837A3F"/>
    <w:rsid w:val="0084662A"/>
    <w:rsid w:val="00854129"/>
    <w:rsid w:val="008618E4"/>
    <w:rsid w:val="00881231"/>
    <w:rsid w:val="0088213B"/>
    <w:rsid w:val="00885C6D"/>
    <w:rsid w:val="008B1F1B"/>
    <w:rsid w:val="008B5494"/>
    <w:rsid w:val="008C0534"/>
    <w:rsid w:val="008D3B20"/>
    <w:rsid w:val="008D478D"/>
    <w:rsid w:val="008E6A66"/>
    <w:rsid w:val="00900CB8"/>
    <w:rsid w:val="00905662"/>
    <w:rsid w:val="009057E2"/>
    <w:rsid w:val="009147F5"/>
    <w:rsid w:val="009262B7"/>
    <w:rsid w:val="00937AEB"/>
    <w:rsid w:val="00943EAB"/>
    <w:rsid w:val="009662DD"/>
    <w:rsid w:val="009752EE"/>
    <w:rsid w:val="0097614E"/>
    <w:rsid w:val="00994004"/>
    <w:rsid w:val="009A0032"/>
    <w:rsid w:val="009C2FB8"/>
    <w:rsid w:val="009F7EB9"/>
    <w:rsid w:val="00A12CB1"/>
    <w:rsid w:val="00A22B9E"/>
    <w:rsid w:val="00A329E6"/>
    <w:rsid w:val="00A34A18"/>
    <w:rsid w:val="00A35779"/>
    <w:rsid w:val="00A369C6"/>
    <w:rsid w:val="00A45878"/>
    <w:rsid w:val="00A50DF2"/>
    <w:rsid w:val="00A64289"/>
    <w:rsid w:val="00A65B8A"/>
    <w:rsid w:val="00A80F1B"/>
    <w:rsid w:val="00A83FC4"/>
    <w:rsid w:val="00A91324"/>
    <w:rsid w:val="00A931F3"/>
    <w:rsid w:val="00A937DF"/>
    <w:rsid w:val="00AB2D50"/>
    <w:rsid w:val="00AD0B9E"/>
    <w:rsid w:val="00AE6290"/>
    <w:rsid w:val="00AF32E7"/>
    <w:rsid w:val="00AF5A0C"/>
    <w:rsid w:val="00B03F8B"/>
    <w:rsid w:val="00B05AF7"/>
    <w:rsid w:val="00B14B78"/>
    <w:rsid w:val="00B2200C"/>
    <w:rsid w:val="00B322D9"/>
    <w:rsid w:val="00B32364"/>
    <w:rsid w:val="00B40506"/>
    <w:rsid w:val="00B43ECE"/>
    <w:rsid w:val="00B45CCA"/>
    <w:rsid w:val="00B4781F"/>
    <w:rsid w:val="00B76D57"/>
    <w:rsid w:val="00B80E04"/>
    <w:rsid w:val="00B869B0"/>
    <w:rsid w:val="00B96549"/>
    <w:rsid w:val="00BA2610"/>
    <w:rsid w:val="00BA3D00"/>
    <w:rsid w:val="00BB050F"/>
    <w:rsid w:val="00BC0C79"/>
    <w:rsid w:val="00BD2EF7"/>
    <w:rsid w:val="00BD6496"/>
    <w:rsid w:val="00BE52A9"/>
    <w:rsid w:val="00BE733F"/>
    <w:rsid w:val="00C0637C"/>
    <w:rsid w:val="00C220F3"/>
    <w:rsid w:val="00C241A5"/>
    <w:rsid w:val="00C37668"/>
    <w:rsid w:val="00C4330D"/>
    <w:rsid w:val="00C44C05"/>
    <w:rsid w:val="00C5008A"/>
    <w:rsid w:val="00C66225"/>
    <w:rsid w:val="00C84258"/>
    <w:rsid w:val="00C94ADF"/>
    <w:rsid w:val="00CA6EBB"/>
    <w:rsid w:val="00CA7500"/>
    <w:rsid w:val="00CB4790"/>
    <w:rsid w:val="00CC602D"/>
    <w:rsid w:val="00CC78C2"/>
    <w:rsid w:val="00CE072D"/>
    <w:rsid w:val="00CF2876"/>
    <w:rsid w:val="00CF3F1B"/>
    <w:rsid w:val="00D01EE1"/>
    <w:rsid w:val="00D0268A"/>
    <w:rsid w:val="00D14842"/>
    <w:rsid w:val="00D176E1"/>
    <w:rsid w:val="00D2053A"/>
    <w:rsid w:val="00D21EA1"/>
    <w:rsid w:val="00D3285A"/>
    <w:rsid w:val="00D419E8"/>
    <w:rsid w:val="00D47687"/>
    <w:rsid w:val="00D53D75"/>
    <w:rsid w:val="00D74F09"/>
    <w:rsid w:val="00DC0305"/>
    <w:rsid w:val="00DC2B2E"/>
    <w:rsid w:val="00DC4DC9"/>
    <w:rsid w:val="00DF15FF"/>
    <w:rsid w:val="00DF4E2A"/>
    <w:rsid w:val="00E0525D"/>
    <w:rsid w:val="00E12F2C"/>
    <w:rsid w:val="00E302FA"/>
    <w:rsid w:val="00E620F3"/>
    <w:rsid w:val="00E650C8"/>
    <w:rsid w:val="00E71C7A"/>
    <w:rsid w:val="00E744DD"/>
    <w:rsid w:val="00E80CB6"/>
    <w:rsid w:val="00E87C42"/>
    <w:rsid w:val="00E90386"/>
    <w:rsid w:val="00E97308"/>
    <w:rsid w:val="00E97BDD"/>
    <w:rsid w:val="00EA40FD"/>
    <w:rsid w:val="00EA55E9"/>
    <w:rsid w:val="00ED5564"/>
    <w:rsid w:val="00EE4843"/>
    <w:rsid w:val="00EF3833"/>
    <w:rsid w:val="00F0442B"/>
    <w:rsid w:val="00F055DB"/>
    <w:rsid w:val="00F14BC6"/>
    <w:rsid w:val="00F46302"/>
    <w:rsid w:val="00F51F5A"/>
    <w:rsid w:val="00F530CE"/>
    <w:rsid w:val="00F65E4F"/>
    <w:rsid w:val="00F71E31"/>
    <w:rsid w:val="00F7637F"/>
    <w:rsid w:val="00F93CB6"/>
    <w:rsid w:val="00FA39BB"/>
    <w:rsid w:val="00FC5214"/>
    <w:rsid w:val="00FD4DA4"/>
    <w:rsid w:val="00FE00F7"/>
    <w:rsid w:val="00FE05D9"/>
    <w:rsid w:val="00FE2A62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6A"/>
  </w:style>
  <w:style w:type="paragraph" w:styleId="Heading1">
    <w:name w:val="heading 1"/>
    <w:basedOn w:val="Normal"/>
    <w:next w:val="Normal"/>
    <w:link w:val="Heading1Char"/>
    <w:qFormat/>
    <w:rsid w:val="00CC60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C60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B869B0"/>
    <w:pPr>
      <w:keepNext/>
      <w:keepLines/>
      <w:spacing w:line="220" w:lineRule="exact"/>
      <w:jc w:val="both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869B0"/>
    <w:pPr>
      <w:keepNext/>
      <w:keepLines/>
      <w:spacing w:line="220" w:lineRule="exact"/>
      <w:jc w:val="both"/>
    </w:pPr>
  </w:style>
  <w:style w:type="paragraph" w:styleId="Footer">
    <w:name w:val="footer"/>
    <w:basedOn w:val="Normal"/>
    <w:rsid w:val="005B70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70B3"/>
  </w:style>
  <w:style w:type="paragraph" w:styleId="BalloonText">
    <w:name w:val="Balloon Text"/>
    <w:basedOn w:val="Normal"/>
    <w:semiHidden/>
    <w:rsid w:val="00717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C6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CC60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rsid w:val="00CC602D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CC602D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A36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6A"/>
  </w:style>
  <w:style w:type="paragraph" w:styleId="Heading1">
    <w:name w:val="heading 1"/>
    <w:basedOn w:val="Normal"/>
    <w:next w:val="Normal"/>
    <w:link w:val="Heading1Char"/>
    <w:qFormat/>
    <w:rsid w:val="00CC60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C60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B869B0"/>
    <w:pPr>
      <w:keepNext/>
      <w:keepLines/>
      <w:spacing w:line="220" w:lineRule="exact"/>
      <w:jc w:val="both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869B0"/>
    <w:pPr>
      <w:keepNext/>
      <w:keepLines/>
      <w:spacing w:line="220" w:lineRule="exact"/>
      <w:jc w:val="both"/>
    </w:pPr>
  </w:style>
  <w:style w:type="paragraph" w:styleId="Footer">
    <w:name w:val="footer"/>
    <w:basedOn w:val="Normal"/>
    <w:rsid w:val="005B70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70B3"/>
  </w:style>
  <w:style w:type="paragraph" w:styleId="BalloonText">
    <w:name w:val="Balloon Text"/>
    <w:basedOn w:val="Normal"/>
    <w:semiHidden/>
    <w:rsid w:val="00717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C6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CC60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rsid w:val="00CC602D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CC602D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A36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Heights Foundation</vt:lpstr>
    </vt:vector>
  </TitlesOfParts>
  <Company>Wachovia Securities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Heights Foundation</dc:title>
  <dc:creator>Wachovia</dc:creator>
  <cp:lastModifiedBy>Smith, Donald</cp:lastModifiedBy>
  <cp:revision>4</cp:revision>
  <cp:lastPrinted>2016-09-21T19:27:00Z</cp:lastPrinted>
  <dcterms:created xsi:type="dcterms:W3CDTF">2016-09-26T14:59:00Z</dcterms:created>
  <dcterms:modified xsi:type="dcterms:W3CDTF">2016-11-04T03:24:00Z</dcterms:modified>
</cp:coreProperties>
</file>