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C602D" w:rsidRPr="00AE50A1" w:rsidRDefault="00F816E6" w:rsidP="00CC602D">
      <w:pPr>
        <w:pStyle w:val="Heading1"/>
        <w:jc w:val="right"/>
        <w:rPr>
          <w:rFonts w:ascii="Times New Roman" w:hAnsi="Times New Roman" w:cs="Times New Roman"/>
          <w:b w:val="0"/>
          <w:color w:val="auto"/>
          <w:sz w:val="24"/>
          <w:szCs w:val="24"/>
        </w:rPr>
      </w:pPr>
      <w:r w:rsidRPr="002212E4">
        <w:rPr>
          <w:rFonts w:ascii="Times New Roman" w:hAnsi="Times New Roman" w:cs="Times New Roman"/>
          <w:b w:val="0"/>
          <w:noProof/>
          <w:color w:val="auto"/>
          <w:sz w:val="24"/>
          <w:szCs w:val="24"/>
        </w:rPr>
        <mc:AlternateContent>
          <mc:Choice Requires="wps">
            <w:drawing>
              <wp:anchor distT="0" distB="0" distL="114300" distR="114300" simplePos="0" relativeHeight="251659264" behindDoc="0" locked="0" layoutInCell="1" allowOverlap="1" wp14:anchorId="0508A7E5" wp14:editId="381DC1CD">
                <wp:simplePos x="0" y="0"/>
                <wp:positionH relativeFrom="column">
                  <wp:posOffset>-161925</wp:posOffset>
                </wp:positionH>
                <wp:positionV relativeFrom="paragraph">
                  <wp:posOffset>-120015</wp:posOffset>
                </wp:positionV>
                <wp:extent cx="1628775" cy="146240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462405"/>
                        </a:xfrm>
                        <a:prstGeom prst="rect">
                          <a:avLst/>
                        </a:prstGeom>
                        <a:noFill/>
                        <a:ln w="9525">
                          <a:noFill/>
                          <a:miter lim="800000"/>
                          <a:headEnd/>
                          <a:tailEnd/>
                        </a:ln>
                      </wps:spPr>
                      <wps:txbx>
                        <w:txbxContent>
                          <w:p w:rsidR="00F816E6" w:rsidRPr="00592A6C" w:rsidRDefault="00C14405" w:rsidP="00F816E6">
                            <w:pPr>
                              <w:jc w:val="center"/>
                            </w:pPr>
                            <w:r>
                              <w:rPr>
                                <w:noProof/>
                              </w:rPr>
                              <w:drawing>
                                <wp:inline distT="0" distB="0" distL="0" distR="0">
                                  <wp:extent cx="1234440" cy="1596066"/>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F Color Seal Scanned Small.jpg"/>
                                          <pic:cNvPicPr/>
                                        </pic:nvPicPr>
                                        <pic:blipFill>
                                          <a:blip r:embed="rId9">
                                            <a:extLst>
                                              <a:ext uri="{28A0092B-C50C-407E-A947-70E740481C1C}">
                                                <a14:useLocalDpi xmlns:a14="http://schemas.microsoft.com/office/drawing/2010/main" val="0"/>
                                              </a:ext>
                                            </a:extLst>
                                          </a:blip>
                                          <a:stretch>
                                            <a:fillRect/>
                                          </a:stretch>
                                        </pic:blipFill>
                                        <pic:spPr>
                                          <a:xfrm>
                                            <a:off x="0" y="0"/>
                                            <a:ext cx="1234440" cy="159606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508A7E5" id="_x0000_t202" coordsize="21600,21600" o:spt="202" path="m,l,21600r21600,l21600,xe">
                <v:stroke joinstyle="miter"/>
                <v:path gradientshapeok="t" o:connecttype="rect"/>
              </v:shapetype>
              <v:shape id="Text Box 2" o:spid="_x0000_s1026" type="#_x0000_t202" style="position:absolute;left:0;text-align:left;margin-left:-12.75pt;margin-top:-9.45pt;width:128.25pt;height:1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" filled="f" stroked="f">
                <v:textbox>
                  <w:txbxContent>
                    <w:p w:rsidR="00F816E6" w:rsidRPr="00592A6C" w:rsidRDefault="00C14405" w:rsidP="00F816E6">
                      <w:pPr>
                        <w:jc w:val="center"/>
                      </w:pPr>
                      <w:r>
                        <w:rPr>
                          <w:noProof/>
                        </w:rPr>
                        <w:drawing>
                          <wp:inline distT="0" distB="0" distL="0" distR="0">
                            <wp:extent cx="1234440" cy="1596066"/>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F Color Seal Scanned Small.jpg"/>
                                    <pic:cNvPicPr/>
                                  </pic:nvPicPr>
                                  <pic:blipFill>
                                    <a:blip r:embed="rId10">
                                      <a:extLst>
                                        <a:ext uri="{28A0092B-C50C-407E-A947-70E740481C1C}">
                                          <a14:useLocalDpi xmlns:a14="http://schemas.microsoft.com/office/drawing/2010/main" val="0"/>
                                        </a:ext>
                                      </a:extLst>
                                    </a:blip>
                                    <a:stretch>
                                      <a:fillRect/>
                                    </a:stretch>
                                  </pic:blipFill>
                                  <pic:spPr>
                                    <a:xfrm>
                                      <a:off x="0" y="0"/>
                                      <a:ext cx="1234440" cy="1596066"/>
                                    </a:xfrm>
                                    <a:prstGeom prst="rect">
                                      <a:avLst/>
                                    </a:prstGeom>
                                  </pic:spPr>
                                </pic:pic>
                              </a:graphicData>
                            </a:graphic>
                          </wp:inline>
                        </w:drawing>
                      </w:r>
                    </w:p>
                  </w:txbxContent>
                </v:textbox>
              </v:shape>
            </w:pict>
          </mc:Fallback>
        </mc:AlternateContent>
      </w:r>
      <w:r w:rsidR="00CC602D">
        <w:rPr>
          <w:rFonts w:ascii="Times New Roman" w:hAnsi="Times New Roman" w:cs="Times New Roman"/>
          <w:b w:val="0"/>
          <w:color w:val="auto"/>
          <w:sz w:val="24"/>
          <w:szCs w:val="24"/>
        </w:rPr>
        <w:t>Policy No:  400.</w:t>
      </w:r>
      <w:r w:rsidR="000A702D">
        <w:rPr>
          <w:rFonts w:ascii="Times New Roman" w:hAnsi="Times New Roman" w:cs="Times New Roman"/>
          <w:b w:val="0"/>
          <w:color w:val="auto"/>
          <w:sz w:val="24"/>
          <w:szCs w:val="24"/>
        </w:rPr>
        <w:t>3</w:t>
      </w:r>
    </w:p>
    <w:p w:rsidR="00CC602D" w:rsidRDefault="00CC602D" w:rsidP="00CC602D">
      <w:pPr>
        <w:ind w:left="5760"/>
        <w:jc w:val="right"/>
        <w:rPr>
          <w:sz w:val="24"/>
          <w:szCs w:val="24"/>
        </w:rPr>
      </w:pPr>
      <w:r>
        <w:rPr>
          <w:sz w:val="24"/>
          <w:szCs w:val="24"/>
        </w:rPr>
        <w:t>Date of Origin:  November 7, 2013</w:t>
      </w:r>
    </w:p>
    <w:p w:rsidR="00CC602D" w:rsidRPr="00A97A17" w:rsidRDefault="00CC602D" w:rsidP="00CC602D">
      <w:pPr>
        <w:ind w:left="5760"/>
        <w:jc w:val="right"/>
        <w:rPr>
          <w:sz w:val="24"/>
          <w:szCs w:val="24"/>
        </w:rPr>
      </w:pPr>
      <w:r>
        <w:rPr>
          <w:sz w:val="24"/>
          <w:szCs w:val="24"/>
        </w:rPr>
        <w:t>Last Update:</w:t>
      </w:r>
      <w:r>
        <w:rPr>
          <w:sz w:val="24"/>
          <w:szCs w:val="24"/>
        </w:rPr>
        <w:tab/>
      </w:r>
      <w:r w:rsidR="001A71A1">
        <w:rPr>
          <w:sz w:val="24"/>
          <w:szCs w:val="24"/>
        </w:rPr>
        <w:t>May 7, 2015</w:t>
      </w:r>
    </w:p>
    <w:p w:rsidR="00CC602D" w:rsidRDefault="00CC602D" w:rsidP="00CC602D">
      <w:pPr>
        <w:jc w:val="center"/>
        <w:rPr>
          <w:b/>
          <w:sz w:val="24"/>
          <w:szCs w:val="24"/>
        </w:rPr>
      </w:pPr>
      <w:r w:rsidRPr="00A97A17">
        <w:rPr>
          <w:b/>
          <w:sz w:val="24"/>
          <w:szCs w:val="24"/>
        </w:rPr>
        <w:tab/>
      </w:r>
    </w:p>
    <w:p w:rsidR="00CC602D" w:rsidRDefault="00CC602D" w:rsidP="00CC602D">
      <w:pPr>
        <w:jc w:val="center"/>
        <w:rPr>
          <w:b/>
          <w:sz w:val="24"/>
          <w:szCs w:val="24"/>
        </w:rPr>
      </w:pPr>
      <w:r w:rsidRPr="00A97A17">
        <w:rPr>
          <w:b/>
          <w:sz w:val="24"/>
          <w:szCs w:val="24"/>
        </w:rPr>
        <w:tab/>
      </w:r>
    </w:p>
    <w:p w:rsidR="00CC602D" w:rsidRPr="00A97A17" w:rsidRDefault="00CC602D" w:rsidP="00CC602D">
      <w:pPr>
        <w:jc w:val="center"/>
        <w:rPr>
          <w:b/>
          <w:sz w:val="24"/>
          <w:szCs w:val="24"/>
        </w:rPr>
      </w:pPr>
    </w:p>
    <w:p w:rsidR="00CC602D" w:rsidRPr="00A97A17" w:rsidRDefault="00CC602D" w:rsidP="00CC602D">
      <w:pPr>
        <w:jc w:val="center"/>
        <w:rPr>
          <w:sz w:val="24"/>
          <w:szCs w:val="24"/>
        </w:rPr>
      </w:pPr>
      <w:r>
        <w:rPr>
          <w:sz w:val="24"/>
          <w:szCs w:val="24"/>
        </w:rPr>
        <w:t>COLLEGE HEIGHTS FOUNDATION</w:t>
      </w:r>
    </w:p>
    <w:p w:rsidR="00CC602D" w:rsidRPr="00A97A17" w:rsidRDefault="00CC602D" w:rsidP="00CC602D">
      <w:pPr>
        <w:pStyle w:val="Header"/>
        <w:tabs>
          <w:tab w:val="clear" w:pos="4320"/>
          <w:tab w:val="clear" w:pos="8640"/>
        </w:tabs>
        <w:rPr>
          <w:szCs w:val="24"/>
        </w:rPr>
      </w:pPr>
    </w:p>
    <w:p w:rsidR="00CC602D" w:rsidRPr="00A97A17" w:rsidRDefault="00CC602D" w:rsidP="00CC602D">
      <w:pPr>
        <w:pStyle w:val="Header"/>
        <w:tabs>
          <w:tab w:val="clear" w:pos="4320"/>
          <w:tab w:val="clear" w:pos="8640"/>
        </w:tabs>
        <w:rPr>
          <w:szCs w:val="24"/>
        </w:rPr>
      </w:pPr>
      <w:r w:rsidRPr="00A97A17">
        <w:rPr>
          <w:szCs w:val="24"/>
        </w:rPr>
        <w:t>SECTION:</w:t>
      </w:r>
      <w:r w:rsidRPr="00A97A17">
        <w:rPr>
          <w:szCs w:val="24"/>
        </w:rPr>
        <w:tab/>
      </w:r>
      <w:r>
        <w:rPr>
          <w:szCs w:val="24"/>
        </w:rPr>
        <w:t>Treasury</w:t>
      </w:r>
    </w:p>
    <w:p w:rsidR="00CC602D" w:rsidRPr="00A97A17" w:rsidRDefault="00CC602D" w:rsidP="00CC602D">
      <w:pPr>
        <w:rPr>
          <w:b/>
          <w:sz w:val="24"/>
          <w:szCs w:val="24"/>
        </w:rPr>
      </w:pPr>
    </w:p>
    <w:p w:rsidR="00CC602D" w:rsidRPr="00AE50A1" w:rsidRDefault="00CC602D" w:rsidP="00CC602D">
      <w:pPr>
        <w:pStyle w:val="Heading3"/>
        <w:rPr>
          <w:rFonts w:ascii="Times New Roman" w:hAnsi="Times New Roman" w:cs="Times New Roman"/>
          <w:color w:val="auto"/>
          <w:sz w:val="24"/>
          <w:szCs w:val="24"/>
        </w:rPr>
      </w:pPr>
      <w:r>
        <w:rPr>
          <w:rFonts w:ascii="Times New Roman" w:hAnsi="Times New Roman" w:cs="Times New Roman"/>
          <w:color w:val="auto"/>
          <w:sz w:val="24"/>
          <w:szCs w:val="24"/>
        </w:rPr>
        <w:t>SUBJECT:</w:t>
      </w:r>
      <w:r>
        <w:rPr>
          <w:rFonts w:ascii="Times New Roman" w:hAnsi="Times New Roman" w:cs="Times New Roman"/>
          <w:color w:val="auto"/>
          <w:sz w:val="24"/>
          <w:szCs w:val="24"/>
        </w:rPr>
        <w:tab/>
      </w:r>
      <w:r w:rsidR="008E418D">
        <w:rPr>
          <w:rFonts w:ascii="Times New Roman" w:hAnsi="Times New Roman" w:cs="Times New Roman"/>
          <w:color w:val="auto"/>
          <w:sz w:val="24"/>
          <w:szCs w:val="24"/>
        </w:rPr>
        <w:t>Administrative</w:t>
      </w:r>
      <w:r w:rsidR="000A702D">
        <w:rPr>
          <w:rFonts w:ascii="Times New Roman" w:hAnsi="Times New Roman" w:cs="Times New Roman"/>
          <w:color w:val="auto"/>
          <w:sz w:val="24"/>
          <w:szCs w:val="24"/>
        </w:rPr>
        <w:t xml:space="preserve"> Fee </w:t>
      </w:r>
      <w:r>
        <w:rPr>
          <w:rFonts w:ascii="Times New Roman" w:hAnsi="Times New Roman" w:cs="Times New Roman"/>
          <w:color w:val="auto"/>
          <w:sz w:val="24"/>
          <w:szCs w:val="24"/>
        </w:rPr>
        <w:t>Policy</w:t>
      </w:r>
    </w:p>
    <w:p w:rsidR="00CC602D" w:rsidRDefault="00CC602D" w:rsidP="003F266A">
      <w:pPr>
        <w:rPr>
          <w:b/>
          <w:sz w:val="24"/>
          <w:u w:val="single"/>
        </w:rPr>
      </w:pPr>
    </w:p>
    <w:p w:rsidR="00CC602D" w:rsidRDefault="00CC602D" w:rsidP="003F266A">
      <w:pPr>
        <w:rPr>
          <w:b/>
          <w:sz w:val="24"/>
          <w:u w:val="single"/>
        </w:rPr>
      </w:pPr>
    </w:p>
    <w:p w:rsidR="003F266A" w:rsidRPr="00A34A18" w:rsidRDefault="00CC602D" w:rsidP="003F266A">
      <w:pPr>
        <w:rPr>
          <w:b/>
          <w:sz w:val="24"/>
          <w:u w:val="single"/>
        </w:rPr>
      </w:pPr>
      <w:r>
        <w:rPr>
          <w:b/>
          <w:sz w:val="24"/>
          <w:u w:val="single"/>
        </w:rPr>
        <w:t>PURP</w:t>
      </w:r>
      <w:r w:rsidR="00450E28" w:rsidRPr="00A34A18">
        <w:rPr>
          <w:b/>
          <w:sz w:val="24"/>
          <w:u w:val="single"/>
        </w:rPr>
        <w:t xml:space="preserve">OSE </w:t>
      </w:r>
    </w:p>
    <w:p w:rsidR="00450E28" w:rsidRPr="00A34A18" w:rsidRDefault="00450E28" w:rsidP="003F266A">
      <w:pPr>
        <w:rPr>
          <w:b/>
          <w:sz w:val="24"/>
          <w:u w:val="single"/>
        </w:rPr>
      </w:pPr>
    </w:p>
    <w:p w:rsidR="003F266A" w:rsidRPr="00AB2DD2" w:rsidRDefault="00E87C42" w:rsidP="00AB2DD2">
      <w:pPr>
        <w:ind w:right="-720"/>
        <w:rPr>
          <w:sz w:val="24"/>
          <w:szCs w:val="24"/>
        </w:rPr>
      </w:pPr>
      <w:r>
        <w:rPr>
          <w:sz w:val="24"/>
        </w:rPr>
        <w:t>The purpose of this p</w:t>
      </w:r>
      <w:r w:rsidR="00D525BD">
        <w:rPr>
          <w:sz w:val="24"/>
        </w:rPr>
        <w:t xml:space="preserve">olicy is to define the administrative fee </w:t>
      </w:r>
      <w:r w:rsidR="003F266A" w:rsidRPr="00A34A18">
        <w:rPr>
          <w:sz w:val="24"/>
        </w:rPr>
        <w:t xml:space="preserve">policy for the </w:t>
      </w:r>
      <w:r w:rsidR="00CC602D">
        <w:rPr>
          <w:sz w:val="24"/>
        </w:rPr>
        <w:t>f</w:t>
      </w:r>
      <w:r w:rsidR="004D7FE5" w:rsidRPr="00A34A18">
        <w:rPr>
          <w:sz w:val="24"/>
        </w:rPr>
        <w:t>unds of the College Heights Foundation</w:t>
      </w:r>
      <w:r w:rsidR="00EF3833" w:rsidRPr="00A34A18">
        <w:rPr>
          <w:sz w:val="24"/>
        </w:rPr>
        <w:t xml:space="preserve">.  As such, this will serve as the baseline policy for </w:t>
      </w:r>
      <w:r w:rsidR="00D525BD">
        <w:rPr>
          <w:sz w:val="24"/>
        </w:rPr>
        <w:t xml:space="preserve">the administrative fee assessed for the services rendered and the expenditures required for the effective operations of the Foundation.  </w:t>
      </w:r>
      <w:r w:rsidR="000F2390" w:rsidRPr="00A34A18">
        <w:rPr>
          <w:sz w:val="24"/>
        </w:rPr>
        <w:t xml:space="preserve">The Foundation recognizes that as a perpetual entity, </w:t>
      </w:r>
      <w:r w:rsidR="00D525BD">
        <w:rPr>
          <w:sz w:val="24"/>
        </w:rPr>
        <w:t xml:space="preserve">the framework of its fee </w:t>
      </w:r>
      <w:r w:rsidR="00AB2DD2">
        <w:rPr>
          <w:sz w:val="24"/>
        </w:rPr>
        <w:t xml:space="preserve">decisions should be </w:t>
      </w:r>
      <w:r w:rsidR="003F266A" w:rsidRPr="00A34A18">
        <w:rPr>
          <w:sz w:val="24"/>
        </w:rPr>
        <w:t>created in response to:</w:t>
      </w:r>
    </w:p>
    <w:p w:rsidR="003F266A" w:rsidRPr="00A34A18" w:rsidRDefault="003F266A" w:rsidP="003F266A">
      <w:pPr>
        <w:rPr>
          <w:sz w:val="24"/>
        </w:rPr>
      </w:pPr>
    </w:p>
    <w:p w:rsidR="003F266A" w:rsidRPr="00A34A18" w:rsidRDefault="003F266A" w:rsidP="003F266A">
      <w:pPr>
        <w:numPr>
          <w:ilvl w:val="0"/>
          <w:numId w:val="1"/>
        </w:numPr>
        <w:rPr>
          <w:sz w:val="24"/>
        </w:rPr>
      </w:pPr>
      <w:r w:rsidRPr="00A34A18">
        <w:rPr>
          <w:sz w:val="24"/>
        </w:rPr>
        <w:t>the anticipated financial needs of the organization</w:t>
      </w:r>
    </w:p>
    <w:p w:rsidR="003F266A" w:rsidRPr="00A34A18" w:rsidRDefault="003F266A" w:rsidP="003F266A">
      <w:pPr>
        <w:numPr>
          <w:ilvl w:val="0"/>
          <w:numId w:val="1"/>
        </w:numPr>
        <w:rPr>
          <w:sz w:val="24"/>
        </w:rPr>
      </w:pPr>
      <w:r w:rsidRPr="00A34A18">
        <w:rPr>
          <w:sz w:val="24"/>
        </w:rPr>
        <w:t xml:space="preserve">the organization’s </w:t>
      </w:r>
      <w:r w:rsidR="00E87C42">
        <w:rPr>
          <w:sz w:val="24"/>
        </w:rPr>
        <w:t>investment policy and anticipated market returns</w:t>
      </w:r>
      <w:r w:rsidRPr="00A34A18">
        <w:rPr>
          <w:sz w:val="24"/>
        </w:rPr>
        <w:t>; and</w:t>
      </w:r>
    </w:p>
    <w:p w:rsidR="003F266A" w:rsidRPr="00A34A18" w:rsidRDefault="00E87C42" w:rsidP="003F266A">
      <w:pPr>
        <w:numPr>
          <w:ilvl w:val="0"/>
          <w:numId w:val="1"/>
        </w:numPr>
        <w:rPr>
          <w:sz w:val="24"/>
        </w:rPr>
      </w:pPr>
      <w:proofErr w:type="gramStart"/>
      <w:r>
        <w:rPr>
          <w:sz w:val="24"/>
        </w:rPr>
        <w:t>the</w:t>
      </w:r>
      <w:proofErr w:type="gramEnd"/>
      <w:r>
        <w:rPr>
          <w:sz w:val="24"/>
        </w:rPr>
        <w:t xml:space="preserve"> need to adequately pla</w:t>
      </w:r>
      <w:r w:rsidR="00D525BD">
        <w:rPr>
          <w:sz w:val="24"/>
        </w:rPr>
        <w:t xml:space="preserve">n </w:t>
      </w:r>
      <w:r w:rsidR="00AB2DD2">
        <w:rPr>
          <w:sz w:val="24"/>
        </w:rPr>
        <w:t>operations for the current year and strategically plan for the future of the Foundation.</w:t>
      </w:r>
    </w:p>
    <w:p w:rsidR="003F266A" w:rsidRPr="00A34A18" w:rsidRDefault="003F266A" w:rsidP="003F266A">
      <w:pPr>
        <w:numPr>
          <w:ilvl w:val="12"/>
          <w:numId w:val="0"/>
        </w:numPr>
        <w:ind w:left="360" w:hanging="360"/>
        <w:rPr>
          <w:sz w:val="24"/>
        </w:rPr>
      </w:pPr>
    </w:p>
    <w:p w:rsidR="00450E28" w:rsidRPr="00A34A18" w:rsidRDefault="00AB2DD2" w:rsidP="00FC5BC6">
      <w:pPr>
        <w:rPr>
          <w:sz w:val="24"/>
        </w:rPr>
      </w:pPr>
      <w:r>
        <w:rPr>
          <w:sz w:val="24"/>
        </w:rPr>
        <w:t xml:space="preserve">The fee is to </w:t>
      </w:r>
      <w:r w:rsidR="00C917DA">
        <w:rPr>
          <w:sz w:val="24"/>
        </w:rPr>
        <w:t xml:space="preserve">be assessed for the </w:t>
      </w:r>
      <w:r>
        <w:rPr>
          <w:sz w:val="24"/>
        </w:rPr>
        <w:t>administrative servi</w:t>
      </w:r>
      <w:r w:rsidR="00C917DA">
        <w:rPr>
          <w:sz w:val="24"/>
        </w:rPr>
        <w:t xml:space="preserve">ces provided by the Foundation including the salaries and benefits of the Foundation staff, gift receipting and donor acknowledgement, accounting and treasury services, investment oversight, scholarship processing and guideline administration, endowment fund reporting, postage and printing, as well </w:t>
      </w:r>
      <w:r w:rsidR="00E14F5A">
        <w:rPr>
          <w:sz w:val="24"/>
        </w:rPr>
        <w:t>as other administrative expenses</w:t>
      </w:r>
      <w:r w:rsidR="00C917DA">
        <w:rPr>
          <w:sz w:val="24"/>
        </w:rPr>
        <w:t xml:space="preserve"> </w:t>
      </w:r>
      <w:r w:rsidR="008E418D">
        <w:rPr>
          <w:sz w:val="24"/>
        </w:rPr>
        <w:t>required for</w:t>
      </w:r>
      <w:r w:rsidR="00E14F5A">
        <w:rPr>
          <w:sz w:val="24"/>
        </w:rPr>
        <w:t xml:space="preserve"> the annual operations </w:t>
      </w:r>
      <w:r w:rsidR="00C917DA">
        <w:rPr>
          <w:sz w:val="24"/>
        </w:rPr>
        <w:t>of the Foundation.  The administrative fee should be no more than 2% or less than 1</w:t>
      </w:r>
      <w:r w:rsidR="003950C2">
        <w:rPr>
          <w:sz w:val="24"/>
        </w:rPr>
        <w:t>% of the moving average market value</w:t>
      </w:r>
      <w:r w:rsidR="008E418D">
        <w:rPr>
          <w:sz w:val="24"/>
        </w:rPr>
        <w:t xml:space="preserve"> of the endowment</w:t>
      </w:r>
      <w:r w:rsidR="003950C2">
        <w:rPr>
          <w:sz w:val="24"/>
        </w:rPr>
        <w:t>.  The</w:t>
      </w:r>
      <w:r w:rsidR="003F266A" w:rsidRPr="00A34A18">
        <w:rPr>
          <w:sz w:val="24"/>
        </w:rPr>
        <w:t xml:space="preserve"> </w:t>
      </w:r>
      <w:r w:rsidR="008E418D">
        <w:rPr>
          <w:sz w:val="24"/>
        </w:rPr>
        <w:t>administrative fee</w:t>
      </w:r>
      <w:r w:rsidR="003950C2">
        <w:rPr>
          <w:sz w:val="24"/>
        </w:rPr>
        <w:t xml:space="preserve"> </w:t>
      </w:r>
      <w:r w:rsidR="003F266A" w:rsidRPr="00A34A18">
        <w:rPr>
          <w:sz w:val="24"/>
        </w:rPr>
        <w:t>policy</w:t>
      </w:r>
      <w:r w:rsidR="008E418D">
        <w:rPr>
          <w:sz w:val="24"/>
        </w:rPr>
        <w:t xml:space="preserve"> rate </w:t>
      </w:r>
      <w:r w:rsidR="003F266A" w:rsidRPr="00A34A18">
        <w:rPr>
          <w:sz w:val="24"/>
        </w:rPr>
        <w:t>will be reviewed by the Executive Committee on an annual basis.</w:t>
      </w:r>
    </w:p>
    <w:p w:rsidR="00D525BD" w:rsidRPr="00D525BD" w:rsidRDefault="00D525BD" w:rsidP="00D525BD">
      <w:pPr>
        <w:autoSpaceDE w:val="0"/>
        <w:autoSpaceDN w:val="0"/>
        <w:adjustRightInd w:val="0"/>
        <w:rPr>
          <w:sz w:val="24"/>
          <w:szCs w:val="24"/>
        </w:rPr>
      </w:pPr>
    </w:p>
    <w:p w:rsidR="00450E28" w:rsidRDefault="003D40E6" w:rsidP="00EF3833">
      <w:pPr>
        <w:ind w:right="-720"/>
        <w:rPr>
          <w:sz w:val="24"/>
        </w:rPr>
      </w:pPr>
      <w:r>
        <w:rPr>
          <w:b/>
          <w:sz w:val="24"/>
          <w:u w:val="single"/>
        </w:rPr>
        <w:t>ADMINISTRATIVE FEE</w:t>
      </w:r>
      <w:r w:rsidR="000F2390">
        <w:rPr>
          <w:b/>
          <w:sz w:val="24"/>
          <w:u w:val="single"/>
        </w:rPr>
        <w:t xml:space="preserve"> POLICY</w:t>
      </w:r>
    </w:p>
    <w:p w:rsidR="00835A95" w:rsidRPr="00A34A18" w:rsidRDefault="00835A95" w:rsidP="006A2AEB">
      <w:pPr>
        <w:jc w:val="center"/>
        <w:rPr>
          <w:sz w:val="24"/>
          <w:szCs w:val="24"/>
        </w:rPr>
      </w:pPr>
    </w:p>
    <w:p w:rsidR="001A71A1" w:rsidRDefault="001A71A1" w:rsidP="00FC5BC6">
      <w:pPr>
        <w:rPr>
          <w:rFonts w:eastAsia="Calibri"/>
          <w:sz w:val="24"/>
          <w:szCs w:val="24"/>
        </w:rPr>
      </w:pPr>
      <w:r w:rsidRPr="00FC5BC6">
        <w:rPr>
          <w:rFonts w:eastAsia="Calibri"/>
          <w:sz w:val="24"/>
          <w:szCs w:val="24"/>
        </w:rPr>
        <w:t>The annual administrative fee on endowed funds shall be calculated on the calendar year end balance of each individual endowed fund.  The administrative fee shall be 1.5% for all endowed funds with a total fund balance less than $2 million and 1% for all endowed funds with a balance that exceeds $2 million.</w:t>
      </w:r>
    </w:p>
    <w:p w:rsidR="00FC5BC6" w:rsidRPr="001A71A1" w:rsidRDefault="00FC5BC6" w:rsidP="00FC5BC6">
      <w:pPr>
        <w:rPr>
          <w:rFonts w:eastAsia="Calibri"/>
          <w:sz w:val="24"/>
          <w:szCs w:val="24"/>
        </w:rPr>
      </w:pPr>
    </w:p>
    <w:p w:rsidR="00F14BC6" w:rsidRPr="00F14BC6" w:rsidRDefault="001A71A1" w:rsidP="00FC5BC6">
      <w:pPr>
        <w:spacing w:after="200" w:line="276" w:lineRule="auto"/>
        <w:contextualSpacing/>
        <w:rPr>
          <w:b/>
          <w:sz w:val="24"/>
          <w:szCs w:val="24"/>
        </w:rPr>
      </w:pPr>
      <w:r w:rsidRPr="001A71A1">
        <w:rPr>
          <w:rFonts w:eastAsia="Calibri"/>
          <w:sz w:val="24"/>
          <w:szCs w:val="24"/>
        </w:rPr>
        <w:t>The administrative fee will be assessed on the fund total and posted to the CHF operating account from the calendar year end interest income and market appreciation net return. The remaining growth or loss will be posted to the earnings account of each individual fund accordingly.</w:t>
      </w:r>
    </w:p>
    <w:sectPr w:rsidR="00F14BC6" w:rsidRPr="00F14BC6" w:rsidSect="00AB2D50">
      <w:headerReference w:type="default" r:id="rId11"/>
      <w:footerReference w:type="even" r:id="rId12"/>
      <w:footerReference w:type="default" r:id="rId13"/>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245" w:rsidRDefault="00E82245">
      <w:r>
        <w:separator/>
      </w:r>
    </w:p>
  </w:endnote>
  <w:endnote w:type="continuationSeparator" w:id="0">
    <w:p w:rsidR="00E82245" w:rsidRDefault="00E82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51C" w:rsidRDefault="0052051C" w:rsidP="00E973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051C" w:rsidRDefault="0052051C" w:rsidP="005B70B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51C" w:rsidRDefault="0052051C" w:rsidP="005B70B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245" w:rsidRDefault="00E82245">
      <w:r>
        <w:separator/>
      </w:r>
    </w:p>
  </w:footnote>
  <w:footnote w:type="continuationSeparator" w:id="0">
    <w:p w:rsidR="00E82245" w:rsidRDefault="00E82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6E6" w:rsidRPr="00F816E6" w:rsidRDefault="00F816E6" w:rsidP="00F816E6">
    <w:pPr>
      <w:pStyle w:val="Header"/>
      <w:jc w:val="right"/>
      <w:rPr>
        <w:rFonts w:ascii="Arial" w:hAnsi="Arial" w:cs="Arial"/>
        <w:b/>
      </w:rPr>
    </w:pPr>
  </w:p>
  <w:p w:rsidR="00F816E6" w:rsidRDefault="00F8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31293EC5"/>
    <w:multiLevelType w:val="singleLevel"/>
    <w:tmpl w:val="8AA6A4A6"/>
    <w:lvl w:ilvl="0">
      <w:start w:val="5"/>
      <w:numFmt w:val="decimal"/>
      <w:lvlText w:val="%1."/>
      <w:lvlJc w:val="left"/>
      <w:pPr>
        <w:tabs>
          <w:tab w:val="num" w:pos="720"/>
        </w:tabs>
        <w:ind w:left="720" w:hanging="504"/>
      </w:pPr>
      <w:rPr>
        <w:rFonts w:hint="default"/>
      </w:rPr>
    </w:lvl>
  </w:abstractNum>
  <w:abstractNum w:abstractNumId="2">
    <w:nsid w:val="3A2D1D28"/>
    <w:multiLevelType w:val="hybridMultilevel"/>
    <w:tmpl w:val="5538CB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97561E"/>
    <w:multiLevelType w:val="hybridMultilevel"/>
    <w:tmpl w:val="F93642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9916AE"/>
    <w:multiLevelType w:val="singleLevel"/>
    <w:tmpl w:val="88B87BCA"/>
    <w:lvl w:ilvl="0">
      <w:start w:val="2"/>
      <w:numFmt w:val="decimal"/>
      <w:lvlText w:val="%1."/>
      <w:lvlJc w:val="left"/>
      <w:pPr>
        <w:tabs>
          <w:tab w:val="num" w:pos="726"/>
        </w:tabs>
        <w:ind w:left="726" w:hanging="510"/>
      </w:pPr>
      <w:rPr>
        <w:rFonts w:hint="default"/>
      </w:rPr>
    </w:lvl>
  </w:abstractNum>
  <w:abstractNum w:abstractNumId="5">
    <w:nsid w:val="5BB611A4"/>
    <w:multiLevelType w:val="singleLevel"/>
    <w:tmpl w:val="F03A82C0"/>
    <w:lvl w:ilvl="0">
      <w:start w:val="1"/>
      <w:numFmt w:val="decimal"/>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66A"/>
    <w:rsid w:val="0001126A"/>
    <w:rsid w:val="00014E9F"/>
    <w:rsid w:val="000317C9"/>
    <w:rsid w:val="00041CDD"/>
    <w:rsid w:val="0004476C"/>
    <w:rsid w:val="00085B12"/>
    <w:rsid w:val="00097146"/>
    <w:rsid w:val="000A702D"/>
    <w:rsid w:val="000B6D4E"/>
    <w:rsid w:val="000D45A9"/>
    <w:rsid w:val="000F2390"/>
    <w:rsid w:val="00102500"/>
    <w:rsid w:val="0011248A"/>
    <w:rsid w:val="001151CB"/>
    <w:rsid w:val="00126337"/>
    <w:rsid w:val="0013036D"/>
    <w:rsid w:val="00160247"/>
    <w:rsid w:val="001703FC"/>
    <w:rsid w:val="00175AF3"/>
    <w:rsid w:val="00197BB4"/>
    <w:rsid w:val="001A241F"/>
    <w:rsid w:val="001A6395"/>
    <w:rsid w:val="001A71A1"/>
    <w:rsid w:val="001B277D"/>
    <w:rsid w:val="001C1922"/>
    <w:rsid w:val="001C2939"/>
    <w:rsid w:val="001F0C2F"/>
    <w:rsid w:val="001F2FA0"/>
    <w:rsid w:val="0020529E"/>
    <w:rsid w:val="002055CE"/>
    <w:rsid w:val="0022126D"/>
    <w:rsid w:val="002352F2"/>
    <w:rsid w:val="00240BE9"/>
    <w:rsid w:val="002510E1"/>
    <w:rsid w:val="002550E2"/>
    <w:rsid w:val="0026387E"/>
    <w:rsid w:val="002764FA"/>
    <w:rsid w:val="00293115"/>
    <w:rsid w:val="002960FE"/>
    <w:rsid w:val="002A1647"/>
    <w:rsid w:val="002A4320"/>
    <w:rsid w:val="002A79F0"/>
    <w:rsid w:val="002C093A"/>
    <w:rsid w:val="002D296C"/>
    <w:rsid w:val="002E2188"/>
    <w:rsid w:val="002E3E43"/>
    <w:rsid w:val="002E6A46"/>
    <w:rsid w:val="002E7DDA"/>
    <w:rsid w:val="002F4D78"/>
    <w:rsid w:val="003350A8"/>
    <w:rsid w:val="00336530"/>
    <w:rsid w:val="00346936"/>
    <w:rsid w:val="003618CA"/>
    <w:rsid w:val="00362956"/>
    <w:rsid w:val="00374E25"/>
    <w:rsid w:val="003801F5"/>
    <w:rsid w:val="003854B7"/>
    <w:rsid w:val="003873EB"/>
    <w:rsid w:val="00393499"/>
    <w:rsid w:val="003950C2"/>
    <w:rsid w:val="00395E06"/>
    <w:rsid w:val="003B2097"/>
    <w:rsid w:val="003B51DF"/>
    <w:rsid w:val="003D40E6"/>
    <w:rsid w:val="003F266A"/>
    <w:rsid w:val="0040349C"/>
    <w:rsid w:val="00410641"/>
    <w:rsid w:val="0042359B"/>
    <w:rsid w:val="004409DE"/>
    <w:rsid w:val="0044471F"/>
    <w:rsid w:val="00450E28"/>
    <w:rsid w:val="00472EB4"/>
    <w:rsid w:val="004749D1"/>
    <w:rsid w:val="004804F6"/>
    <w:rsid w:val="004835B8"/>
    <w:rsid w:val="0049694B"/>
    <w:rsid w:val="004A43A2"/>
    <w:rsid w:val="004D1B8B"/>
    <w:rsid w:val="004D4615"/>
    <w:rsid w:val="004D7FE5"/>
    <w:rsid w:val="004F1153"/>
    <w:rsid w:val="004F1A5A"/>
    <w:rsid w:val="0052051C"/>
    <w:rsid w:val="005209D4"/>
    <w:rsid w:val="00534670"/>
    <w:rsid w:val="0057040B"/>
    <w:rsid w:val="00575C87"/>
    <w:rsid w:val="0059460F"/>
    <w:rsid w:val="005B2AED"/>
    <w:rsid w:val="005B70B3"/>
    <w:rsid w:val="005C0CBF"/>
    <w:rsid w:val="005C49B9"/>
    <w:rsid w:val="005C5FEB"/>
    <w:rsid w:val="005E547F"/>
    <w:rsid w:val="005F4EB6"/>
    <w:rsid w:val="00604EA0"/>
    <w:rsid w:val="00606B62"/>
    <w:rsid w:val="00607B4C"/>
    <w:rsid w:val="00620364"/>
    <w:rsid w:val="00642D68"/>
    <w:rsid w:val="00673602"/>
    <w:rsid w:val="006807A4"/>
    <w:rsid w:val="00681909"/>
    <w:rsid w:val="00682D93"/>
    <w:rsid w:val="006929DF"/>
    <w:rsid w:val="00694CF9"/>
    <w:rsid w:val="006A2AEB"/>
    <w:rsid w:val="006A5E9D"/>
    <w:rsid w:val="006C2DB4"/>
    <w:rsid w:val="006C5078"/>
    <w:rsid w:val="00716122"/>
    <w:rsid w:val="00717500"/>
    <w:rsid w:val="00720634"/>
    <w:rsid w:val="00721B07"/>
    <w:rsid w:val="00734718"/>
    <w:rsid w:val="00740029"/>
    <w:rsid w:val="00744BF4"/>
    <w:rsid w:val="00744E8B"/>
    <w:rsid w:val="00744EAC"/>
    <w:rsid w:val="00750425"/>
    <w:rsid w:val="0076386F"/>
    <w:rsid w:val="00782617"/>
    <w:rsid w:val="007A33D9"/>
    <w:rsid w:val="007B5171"/>
    <w:rsid w:val="007B7614"/>
    <w:rsid w:val="007C0261"/>
    <w:rsid w:val="007C7575"/>
    <w:rsid w:val="007D0D87"/>
    <w:rsid w:val="007D29A3"/>
    <w:rsid w:val="008160FC"/>
    <w:rsid w:val="0083210C"/>
    <w:rsid w:val="00835A95"/>
    <w:rsid w:val="00837A3F"/>
    <w:rsid w:val="0084662A"/>
    <w:rsid w:val="00854129"/>
    <w:rsid w:val="008618E4"/>
    <w:rsid w:val="0088213B"/>
    <w:rsid w:val="008B1F1B"/>
    <w:rsid w:val="008B5494"/>
    <w:rsid w:val="008C0534"/>
    <w:rsid w:val="008D3B20"/>
    <w:rsid w:val="008E418D"/>
    <w:rsid w:val="00900CB8"/>
    <w:rsid w:val="00905662"/>
    <w:rsid w:val="009057E2"/>
    <w:rsid w:val="009147F5"/>
    <w:rsid w:val="009262B7"/>
    <w:rsid w:val="00937AEB"/>
    <w:rsid w:val="00943EAB"/>
    <w:rsid w:val="00947DEC"/>
    <w:rsid w:val="009662DD"/>
    <w:rsid w:val="009752EE"/>
    <w:rsid w:val="0097614E"/>
    <w:rsid w:val="00994004"/>
    <w:rsid w:val="009A0032"/>
    <w:rsid w:val="009C2FB8"/>
    <w:rsid w:val="009F7EB9"/>
    <w:rsid w:val="00A12CB1"/>
    <w:rsid w:val="00A22B9E"/>
    <w:rsid w:val="00A329E6"/>
    <w:rsid w:val="00A34A18"/>
    <w:rsid w:val="00A35779"/>
    <w:rsid w:val="00A45878"/>
    <w:rsid w:val="00A50DF2"/>
    <w:rsid w:val="00A64289"/>
    <w:rsid w:val="00A65B8A"/>
    <w:rsid w:val="00A80F1B"/>
    <w:rsid w:val="00A83FC4"/>
    <w:rsid w:val="00A937DF"/>
    <w:rsid w:val="00AB2D50"/>
    <w:rsid w:val="00AB2DD2"/>
    <w:rsid w:val="00AD0B9E"/>
    <w:rsid w:val="00AE6290"/>
    <w:rsid w:val="00AF32E7"/>
    <w:rsid w:val="00AF5A0C"/>
    <w:rsid w:val="00B03F8B"/>
    <w:rsid w:val="00B05AF7"/>
    <w:rsid w:val="00B14B78"/>
    <w:rsid w:val="00B2200C"/>
    <w:rsid w:val="00B322D9"/>
    <w:rsid w:val="00B32364"/>
    <w:rsid w:val="00B43ECE"/>
    <w:rsid w:val="00B45CCA"/>
    <w:rsid w:val="00B4781F"/>
    <w:rsid w:val="00B76D57"/>
    <w:rsid w:val="00B80E04"/>
    <w:rsid w:val="00B869B0"/>
    <w:rsid w:val="00B96549"/>
    <w:rsid w:val="00BA2610"/>
    <w:rsid w:val="00BB050F"/>
    <w:rsid w:val="00BC56C2"/>
    <w:rsid w:val="00BD6496"/>
    <w:rsid w:val="00BE52A9"/>
    <w:rsid w:val="00BE733F"/>
    <w:rsid w:val="00C0637C"/>
    <w:rsid w:val="00C14405"/>
    <w:rsid w:val="00C220F3"/>
    <w:rsid w:val="00C241A5"/>
    <w:rsid w:val="00C37668"/>
    <w:rsid w:val="00C4330D"/>
    <w:rsid w:val="00C5008A"/>
    <w:rsid w:val="00C84258"/>
    <w:rsid w:val="00C917DA"/>
    <w:rsid w:val="00C94ADF"/>
    <w:rsid w:val="00CA6EBB"/>
    <w:rsid w:val="00CA7500"/>
    <w:rsid w:val="00CB4790"/>
    <w:rsid w:val="00CC602D"/>
    <w:rsid w:val="00CC78C2"/>
    <w:rsid w:val="00CE072D"/>
    <w:rsid w:val="00CF2876"/>
    <w:rsid w:val="00D01EE1"/>
    <w:rsid w:val="00D0268A"/>
    <w:rsid w:val="00D14842"/>
    <w:rsid w:val="00D176E1"/>
    <w:rsid w:val="00D2053A"/>
    <w:rsid w:val="00D21EA1"/>
    <w:rsid w:val="00D3285A"/>
    <w:rsid w:val="00D47687"/>
    <w:rsid w:val="00D525BD"/>
    <w:rsid w:val="00D53D75"/>
    <w:rsid w:val="00D74F09"/>
    <w:rsid w:val="00DC0305"/>
    <w:rsid w:val="00DC2B2E"/>
    <w:rsid w:val="00DC4DC9"/>
    <w:rsid w:val="00DF15FF"/>
    <w:rsid w:val="00E0525D"/>
    <w:rsid w:val="00E14F5A"/>
    <w:rsid w:val="00E302FA"/>
    <w:rsid w:val="00E620F3"/>
    <w:rsid w:val="00E71C7A"/>
    <w:rsid w:val="00E744DD"/>
    <w:rsid w:val="00E80CB6"/>
    <w:rsid w:val="00E82245"/>
    <w:rsid w:val="00E87C42"/>
    <w:rsid w:val="00E90386"/>
    <w:rsid w:val="00E97308"/>
    <w:rsid w:val="00EA40FD"/>
    <w:rsid w:val="00EA55E9"/>
    <w:rsid w:val="00ED5564"/>
    <w:rsid w:val="00EE4843"/>
    <w:rsid w:val="00EF3833"/>
    <w:rsid w:val="00F055DB"/>
    <w:rsid w:val="00F14BC6"/>
    <w:rsid w:val="00F46302"/>
    <w:rsid w:val="00F51F5A"/>
    <w:rsid w:val="00F530CE"/>
    <w:rsid w:val="00F71E31"/>
    <w:rsid w:val="00F7637F"/>
    <w:rsid w:val="00F816E6"/>
    <w:rsid w:val="00F93CB6"/>
    <w:rsid w:val="00FC5214"/>
    <w:rsid w:val="00FC5BC6"/>
    <w:rsid w:val="00FD4DA4"/>
    <w:rsid w:val="00FE00F7"/>
    <w:rsid w:val="00FE05D9"/>
    <w:rsid w:val="00FE2A62"/>
    <w:rsid w:val="00FE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66A"/>
  </w:style>
  <w:style w:type="paragraph" w:styleId="Heading1">
    <w:name w:val="heading 1"/>
    <w:basedOn w:val="Normal"/>
    <w:next w:val="Normal"/>
    <w:link w:val="Heading1Char"/>
    <w:qFormat/>
    <w:rsid w:val="00CC60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CC602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B869B0"/>
    <w:pPr>
      <w:keepNext/>
      <w:keepLines/>
      <w:spacing w:line="220" w:lineRule="exact"/>
      <w:jc w:val="both"/>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869B0"/>
    <w:pPr>
      <w:keepNext/>
      <w:keepLines/>
      <w:spacing w:line="220" w:lineRule="exact"/>
      <w:jc w:val="both"/>
    </w:pPr>
  </w:style>
  <w:style w:type="paragraph" w:styleId="Footer">
    <w:name w:val="footer"/>
    <w:basedOn w:val="Normal"/>
    <w:rsid w:val="005B70B3"/>
    <w:pPr>
      <w:tabs>
        <w:tab w:val="center" w:pos="4320"/>
        <w:tab w:val="right" w:pos="8640"/>
      </w:tabs>
    </w:pPr>
  </w:style>
  <w:style w:type="character" w:styleId="PageNumber">
    <w:name w:val="page number"/>
    <w:basedOn w:val="DefaultParagraphFont"/>
    <w:rsid w:val="005B70B3"/>
  </w:style>
  <w:style w:type="paragraph" w:styleId="BalloonText">
    <w:name w:val="Balloon Text"/>
    <w:basedOn w:val="Normal"/>
    <w:semiHidden/>
    <w:rsid w:val="00717500"/>
    <w:rPr>
      <w:rFonts w:ascii="Tahoma" w:hAnsi="Tahoma" w:cs="Tahoma"/>
      <w:sz w:val="16"/>
      <w:szCs w:val="16"/>
    </w:rPr>
  </w:style>
  <w:style w:type="character" w:customStyle="1" w:styleId="Heading1Char">
    <w:name w:val="Heading 1 Char"/>
    <w:basedOn w:val="DefaultParagraphFont"/>
    <w:link w:val="Heading1"/>
    <w:rsid w:val="00CC602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CC602D"/>
    <w:rPr>
      <w:rFonts w:asciiTheme="majorHAnsi" w:eastAsiaTheme="majorEastAsia" w:hAnsiTheme="majorHAnsi" w:cstheme="majorBidi"/>
      <w:b/>
      <w:bCs/>
      <w:color w:val="4F81BD" w:themeColor="accent1"/>
    </w:rPr>
  </w:style>
  <w:style w:type="paragraph" w:styleId="Header">
    <w:name w:val="header"/>
    <w:basedOn w:val="Normal"/>
    <w:link w:val="HeaderChar"/>
    <w:uiPriority w:val="99"/>
    <w:rsid w:val="00CC602D"/>
    <w:pPr>
      <w:widowControl w:val="0"/>
      <w:tabs>
        <w:tab w:val="center" w:pos="4320"/>
        <w:tab w:val="right" w:pos="8640"/>
      </w:tabs>
    </w:pPr>
    <w:rPr>
      <w:snapToGrid w:val="0"/>
      <w:sz w:val="24"/>
    </w:rPr>
  </w:style>
  <w:style w:type="character" w:customStyle="1" w:styleId="HeaderChar">
    <w:name w:val="Header Char"/>
    <w:basedOn w:val="DefaultParagraphFont"/>
    <w:link w:val="Header"/>
    <w:uiPriority w:val="99"/>
    <w:rsid w:val="00CC602D"/>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66A"/>
  </w:style>
  <w:style w:type="paragraph" w:styleId="Heading1">
    <w:name w:val="heading 1"/>
    <w:basedOn w:val="Normal"/>
    <w:next w:val="Normal"/>
    <w:link w:val="Heading1Char"/>
    <w:qFormat/>
    <w:rsid w:val="00CC60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CC602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B869B0"/>
    <w:pPr>
      <w:keepNext/>
      <w:keepLines/>
      <w:spacing w:line="220" w:lineRule="exact"/>
      <w:jc w:val="both"/>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869B0"/>
    <w:pPr>
      <w:keepNext/>
      <w:keepLines/>
      <w:spacing w:line="220" w:lineRule="exact"/>
      <w:jc w:val="both"/>
    </w:pPr>
  </w:style>
  <w:style w:type="paragraph" w:styleId="Footer">
    <w:name w:val="footer"/>
    <w:basedOn w:val="Normal"/>
    <w:rsid w:val="005B70B3"/>
    <w:pPr>
      <w:tabs>
        <w:tab w:val="center" w:pos="4320"/>
        <w:tab w:val="right" w:pos="8640"/>
      </w:tabs>
    </w:pPr>
  </w:style>
  <w:style w:type="character" w:styleId="PageNumber">
    <w:name w:val="page number"/>
    <w:basedOn w:val="DefaultParagraphFont"/>
    <w:rsid w:val="005B70B3"/>
  </w:style>
  <w:style w:type="paragraph" w:styleId="BalloonText">
    <w:name w:val="Balloon Text"/>
    <w:basedOn w:val="Normal"/>
    <w:semiHidden/>
    <w:rsid w:val="00717500"/>
    <w:rPr>
      <w:rFonts w:ascii="Tahoma" w:hAnsi="Tahoma" w:cs="Tahoma"/>
      <w:sz w:val="16"/>
      <w:szCs w:val="16"/>
    </w:rPr>
  </w:style>
  <w:style w:type="character" w:customStyle="1" w:styleId="Heading1Char">
    <w:name w:val="Heading 1 Char"/>
    <w:basedOn w:val="DefaultParagraphFont"/>
    <w:link w:val="Heading1"/>
    <w:rsid w:val="00CC602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CC602D"/>
    <w:rPr>
      <w:rFonts w:asciiTheme="majorHAnsi" w:eastAsiaTheme="majorEastAsia" w:hAnsiTheme="majorHAnsi" w:cstheme="majorBidi"/>
      <w:b/>
      <w:bCs/>
      <w:color w:val="4F81BD" w:themeColor="accent1"/>
    </w:rPr>
  </w:style>
  <w:style w:type="paragraph" w:styleId="Header">
    <w:name w:val="header"/>
    <w:basedOn w:val="Normal"/>
    <w:link w:val="HeaderChar"/>
    <w:uiPriority w:val="99"/>
    <w:rsid w:val="00CC602D"/>
    <w:pPr>
      <w:widowControl w:val="0"/>
      <w:tabs>
        <w:tab w:val="center" w:pos="4320"/>
        <w:tab w:val="right" w:pos="8640"/>
      </w:tabs>
    </w:pPr>
    <w:rPr>
      <w:snapToGrid w:val="0"/>
      <w:sz w:val="24"/>
    </w:rPr>
  </w:style>
  <w:style w:type="character" w:customStyle="1" w:styleId="HeaderChar">
    <w:name w:val="Header Char"/>
    <w:basedOn w:val="DefaultParagraphFont"/>
    <w:link w:val="Header"/>
    <w:uiPriority w:val="99"/>
    <w:rsid w:val="00CC602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3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72163-A025-4B67-94D1-EB9DD00B8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College Heights Foundation</vt:lpstr>
    </vt:vector>
  </TitlesOfParts>
  <Company>Wachovia Securities</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Heights Foundation</dc:title>
  <dc:creator>Wachovia</dc:creator>
  <cp:lastModifiedBy>Sample, Mary</cp:lastModifiedBy>
  <cp:revision>2</cp:revision>
  <cp:lastPrinted>2015-06-17T18:17:00Z</cp:lastPrinted>
  <dcterms:created xsi:type="dcterms:W3CDTF">2015-06-18T15:06:00Z</dcterms:created>
  <dcterms:modified xsi:type="dcterms:W3CDTF">2015-06-18T15:06:00Z</dcterms:modified>
</cp:coreProperties>
</file>