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538"/>
        <w:gridCol w:w="4117"/>
        <w:gridCol w:w="1890"/>
        <w:gridCol w:w="1785"/>
      </w:tblGrid>
      <w:tr w:rsidR="00726E60" w:rsidRPr="000E2B5D" w14:paraId="7B74C669" w14:textId="77777777" w:rsidTr="00404E21">
        <w:tc>
          <w:tcPr>
            <w:tcW w:w="1538" w:type="dxa"/>
            <w:tcBorders>
              <w:bottom w:val="single" w:sz="12" w:space="0" w:color="C00000"/>
            </w:tcBorders>
          </w:tcPr>
          <w:p w14:paraId="0B96D4A3" w14:textId="77777777" w:rsidR="00726E60" w:rsidRPr="00FD2362" w:rsidRDefault="00726E60" w:rsidP="00404E21">
            <w:pPr>
              <w:rPr>
                <w:b/>
                <w:bCs/>
              </w:rPr>
            </w:pPr>
            <w:r w:rsidRPr="00FD2362">
              <w:rPr>
                <w:b/>
                <w:bCs/>
              </w:rPr>
              <w:t>Name</w:t>
            </w:r>
          </w:p>
        </w:tc>
        <w:tc>
          <w:tcPr>
            <w:tcW w:w="4117" w:type="dxa"/>
            <w:tcBorders>
              <w:bottom w:val="single" w:sz="12" w:space="0" w:color="C00000"/>
            </w:tcBorders>
          </w:tcPr>
          <w:p w14:paraId="346828E3" w14:textId="77777777" w:rsidR="00726E60" w:rsidRPr="000E2B5D" w:rsidRDefault="00726E60" w:rsidP="00404E21"/>
        </w:tc>
        <w:tc>
          <w:tcPr>
            <w:tcW w:w="1890" w:type="dxa"/>
            <w:tcBorders>
              <w:bottom w:val="single" w:sz="12" w:space="0" w:color="C00000"/>
            </w:tcBorders>
          </w:tcPr>
          <w:p w14:paraId="1AF564BC" w14:textId="77777777" w:rsidR="00726E60" w:rsidRPr="00FD2362" w:rsidRDefault="00726E60" w:rsidP="00404E21">
            <w:pPr>
              <w:rPr>
                <w:b/>
                <w:bCs/>
              </w:rPr>
            </w:pPr>
            <w:r w:rsidRPr="00FD2362">
              <w:rPr>
                <w:b/>
                <w:bCs/>
              </w:rPr>
              <w:t>800#</w:t>
            </w:r>
          </w:p>
        </w:tc>
        <w:tc>
          <w:tcPr>
            <w:tcW w:w="1785" w:type="dxa"/>
            <w:tcBorders>
              <w:bottom w:val="single" w:sz="12" w:space="0" w:color="C00000"/>
            </w:tcBorders>
          </w:tcPr>
          <w:p w14:paraId="532632B9" w14:textId="77777777" w:rsidR="00726E60" w:rsidRPr="000E2B5D" w:rsidRDefault="00726E60" w:rsidP="00404E21"/>
        </w:tc>
      </w:tr>
      <w:tr w:rsidR="00726E60" w14:paraId="4AA6C4B2" w14:textId="77777777" w:rsidTr="00404E21">
        <w:trPr>
          <w:trHeight w:val="303"/>
        </w:trPr>
        <w:tc>
          <w:tcPr>
            <w:tcW w:w="1538" w:type="dxa"/>
          </w:tcPr>
          <w:p w14:paraId="49EC96DD" w14:textId="77777777" w:rsidR="00726E60" w:rsidRPr="00FD2362" w:rsidRDefault="00726E60" w:rsidP="00404E21">
            <w:pPr>
              <w:rPr>
                <w:b/>
                <w:bCs/>
              </w:rPr>
            </w:pPr>
            <w:r w:rsidRPr="00FD2362">
              <w:rPr>
                <w:b/>
                <w:bCs/>
              </w:rPr>
              <w:t xml:space="preserve">Department </w:t>
            </w:r>
          </w:p>
        </w:tc>
        <w:tc>
          <w:tcPr>
            <w:tcW w:w="4117" w:type="dxa"/>
          </w:tcPr>
          <w:p w14:paraId="14648BB5" w14:textId="77777777" w:rsidR="00726E60" w:rsidRPr="006802B2" w:rsidRDefault="00726E60" w:rsidP="00404E21"/>
        </w:tc>
        <w:tc>
          <w:tcPr>
            <w:tcW w:w="1890" w:type="dxa"/>
          </w:tcPr>
          <w:p w14:paraId="7050560C" w14:textId="77777777" w:rsidR="00726E60" w:rsidRPr="00FD2362" w:rsidRDefault="00726E60" w:rsidP="00404E21">
            <w:pPr>
              <w:rPr>
                <w:b/>
                <w:bCs/>
              </w:rPr>
            </w:pPr>
            <w:r w:rsidRPr="00FD2362">
              <w:rPr>
                <w:b/>
                <w:bCs/>
              </w:rPr>
              <w:t>Review Period</w:t>
            </w:r>
          </w:p>
        </w:tc>
        <w:tc>
          <w:tcPr>
            <w:tcW w:w="1785" w:type="dxa"/>
          </w:tcPr>
          <w:p w14:paraId="55020C82" w14:textId="77777777" w:rsidR="00726E60" w:rsidRPr="006802B2" w:rsidRDefault="00726E60" w:rsidP="00404E21"/>
        </w:tc>
      </w:tr>
    </w:tbl>
    <w:p w14:paraId="7AD4C8F6" w14:textId="77777777" w:rsidR="00726E60" w:rsidRDefault="00726E60" w:rsidP="00726E60"/>
    <w:p w14:paraId="502E7F93" w14:textId="77777777" w:rsidR="00726E60" w:rsidRPr="009D5F0E" w:rsidRDefault="00726E60" w:rsidP="00726E60">
      <w:pPr>
        <w:rPr>
          <w:i/>
          <w:iCs/>
          <w:sz w:val="22"/>
          <w:szCs w:val="22"/>
        </w:rPr>
      </w:pPr>
      <w:r w:rsidRPr="009D5F0E">
        <w:rPr>
          <w:i/>
          <w:iCs/>
          <w:sz w:val="22"/>
          <w:szCs w:val="22"/>
        </w:rPr>
        <w:t>Faculty Evaluation - Each faculty member in the traditional, pedagogical, clinical and instructor tracks is evaluated by the department chair/director on the bases of effectiveness as a teacher; research/creative activities (traditional track faculty only); University and public service; and professionalism according to the standards and guidelines established by WKU, each college, and department. (II.X. Faculty Evaluation, 30</w:t>
      </w:r>
      <w:r w:rsidRPr="009D5F0E">
        <w:rPr>
          <w:i/>
          <w:iCs/>
          <w:sz w:val="22"/>
          <w:szCs w:val="22"/>
          <w:vertAlign w:val="superscript"/>
        </w:rPr>
        <w:t>th</w:t>
      </w:r>
      <w:r w:rsidRPr="009D5F0E">
        <w:rPr>
          <w:i/>
          <w:iCs/>
          <w:sz w:val="22"/>
          <w:szCs w:val="22"/>
        </w:rPr>
        <w:t xml:space="preserve"> Edition)</w:t>
      </w:r>
    </w:p>
    <w:p w14:paraId="22E10E22" w14:textId="77777777" w:rsidR="00726E60" w:rsidRPr="009D5F0E" w:rsidRDefault="00726E60" w:rsidP="00726E60">
      <w:pPr>
        <w:rPr>
          <w:i/>
          <w:iCs/>
        </w:rPr>
      </w:pPr>
    </w:p>
    <w:p w14:paraId="2EE7FF20" w14:textId="77777777" w:rsidR="00726E60" w:rsidRPr="009D5F0E" w:rsidRDefault="00726E60" w:rsidP="00726E60">
      <w:pPr>
        <w:rPr>
          <w:i/>
          <w:iCs/>
          <w:sz w:val="22"/>
          <w:szCs w:val="22"/>
        </w:rPr>
      </w:pPr>
      <w:r w:rsidRPr="009D5F0E">
        <w:rPr>
          <w:i/>
          <w:iCs/>
          <w:sz w:val="22"/>
          <w:szCs w:val="22"/>
        </w:rPr>
        <w:t>To evaluate teaching, research/creative activity, and service, WKU uses the following labels, defined more specifically by the colleges and department.</w:t>
      </w:r>
    </w:p>
    <w:p w14:paraId="15334120" w14:textId="77777777" w:rsidR="00726E60" w:rsidRPr="009D5F0E" w:rsidRDefault="00726E60" w:rsidP="00726E60">
      <w:pPr>
        <w:pStyle w:val="ListParagraph"/>
        <w:numPr>
          <w:ilvl w:val="0"/>
          <w:numId w:val="2"/>
        </w:numPr>
        <w:rPr>
          <w:i/>
          <w:iCs/>
          <w:sz w:val="22"/>
          <w:szCs w:val="22"/>
        </w:rPr>
      </w:pPr>
      <w:r w:rsidRPr="009D5F0E">
        <w:rPr>
          <w:b/>
          <w:bCs/>
          <w:i/>
          <w:iCs/>
          <w:sz w:val="22"/>
          <w:szCs w:val="22"/>
        </w:rPr>
        <w:t>Distinguished</w:t>
      </w:r>
      <w:r w:rsidRPr="009D5F0E">
        <w:rPr>
          <w:i/>
          <w:iCs/>
          <w:sz w:val="22"/>
          <w:szCs w:val="22"/>
        </w:rPr>
        <w:t>: indicates a truly exceptional level of performance</w:t>
      </w:r>
    </w:p>
    <w:p w14:paraId="6A561B93" w14:textId="77777777" w:rsidR="00726E60" w:rsidRPr="009D5F0E" w:rsidRDefault="00726E60" w:rsidP="00726E60">
      <w:pPr>
        <w:pStyle w:val="ListParagraph"/>
        <w:numPr>
          <w:ilvl w:val="0"/>
          <w:numId w:val="2"/>
        </w:numPr>
        <w:rPr>
          <w:i/>
          <w:iCs/>
          <w:sz w:val="22"/>
          <w:szCs w:val="22"/>
        </w:rPr>
      </w:pPr>
      <w:r w:rsidRPr="009D5F0E">
        <w:rPr>
          <w:b/>
          <w:bCs/>
          <w:i/>
          <w:iCs/>
          <w:sz w:val="22"/>
          <w:szCs w:val="22"/>
        </w:rPr>
        <w:t>Skilled</w:t>
      </w:r>
      <w:r w:rsidRPr="009D5F0E">
        <w:rPr>
          <w:i/>
          <w:iCs/>
          <w:sz w:val="22"/>
          <w:szCs w:val="22"/>
        </w:rPr>
        <w:t>: indicates a level of strong performance</w:t>
      </w:r>
    </w:p>
    <w:p w14:paraId="046CC407" w14:textId="77777777" w:rsidR="00726E60" w:rsidRPr="009D5F0E" w:rsidRDefault="00726E60" w:rsidP="00726E60">
      <w:pPr>
        <w:pStyle w:val="ListParagraph"/>
        <w:numPr>
          <w:ilvl w:val="0"/>
          <w:numId w:val="2"/>
        </w:numPr>
        <w:rPr>
          <w:i/>
          <w:iCs/>
          <w:sz w:val="22"/>
          <w:szCs w:val="22"/>
        </w:rPr>
      </w:pPr>
      <w:r w:rsidRPr="009D5F0E">
        <w:rPr>
          <w:b/>
          <w:bCs/>
          <w:i/>
          <w:iCs/>
          <w:sz w:val="22"/>
          <w:szCs w:val="22"/>
        </w:rPr>
        <w:t>Baseline</w:t>
      </w:r>
      <w:r w:rsidRPr="009D5F0E">
        <w:rPr>
          <w:i/>
          <w:iCs/>
          <w:sz w:val="22"/>
          <w:szCs w:val="22"/>
        </w:rPr>
        <w:t>: indicates a level of meeting minimum expectations</w:t>
      </w:r>
    </w:p>
    <w:p w14:paraId="5BA8EA0D" w14:textId="77777777" w:rsidR="00726E60" w:rsidRPr="009D5F0E" w:rsidRDefault="00726E60" w:rsidP="00726E60">
      <w:pPr>
        <w:pStyle w:val="ListParagraph"/>
        <w:numPr>
          <w:ilvl w:val="0"/>
          <w:numId w:val="2"/>
        </w:numPr>
        <w:rPr>
          <w:i/>
          <w:iCs/>
          <w:sz w:val="22"/>
          <w:szCs w:val="22"/>
        </w:rPr>
      </w:pPr>
      <w:r w:rsidRPr="009D5F0E">
        <w:rPr>
          <w:b/>
          <w:bCs/>
          <w:i/>
          <w:iCs/>
          <w:sz w:val="22"/>
          <w:szCs w:val="22"/>
        </w:rPr>
        <w:t>Unsatisfactory</w:t>
      </w:r>
      <w:r w:rsidRPr="009D5F0E">
        <w:rPr>
          <w:i/>
          <w:iCs/>
          <w:sz w:val="22"/>
          <w:szCs w:val="22"/>
        </w:rPr>
        <w:t>: indicates a level of not meeting minimum expectations</w:t>
      </w:r>
    </w:p>
    <w:p w14:paraId="7A27E6AF" w14:textId="77777777" w:rsidR="00726E60" w:rsidRPr="009D5F0E" w:rsidRDefault="00726E60" w:rsidP="00726E60"/>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6"/>
        <w:gridCol w:w="1857"/>
        <w:gridCol w:w="1857"/>
        <w:gridCol w:w="1867"/>
        <w:gridCol w:w="1883"/>
      </w:tblGrid>
      <w:tr w:rsidR="00726E60" w:rsidRPr="00F05315" w14:paraId="44973CBB" w14:textId="77777777" w:rsidTr="00404E21">
        <w:tc>
          <w:tcPr>
            <w:tcW w:w="9330" w:type="dxa"/>
            <w:gridSpan w:val="5"/>
          </w:tcPr>
          <w:p w14:paraId="67C9D257" w14:textId="77777777" w:rsidR="00726E60" w:rsidRPr="00F05315" w:rsidRDefault="00726E60" w:rsidP="00404E21">
            <w:pPr>
              <w:jc w:val="center"/>
              <w:rPr>
                <w:b/>
                <w:bCs/>
              </w:rPr>
            </w:pPr>
            <w:r>
              <w:rPr>
                <w:b/>
                <w:bCs/>
              </w:rPr>
              <w:t>TEACHING</w:t>
            </w:r>
          </w:p>
        </w:tc>
      </w:tr>
      <w:tr w:rsidR="00726E60" w:rsidRPr="00F05315" w14:paraId="3F928817" w14:textId="77777777" w:rsidTr="00404E21">
        <w:tc>
          <w:tcPr>
            <w:tcW w:w="9330" w:type="dxa"/>
            <w:gridSpan w:val="5"/>
          </w:tcPr>
          <w:p w14:paraId="7901A5B3" w14:textId="77777777" w:rsidR="00726E60" w:rsidRPr="002F4EC6" w:rsidRDefault="00726E60" w:rsidP="00404E21">
            <w:pPr>
              <w:rPr>
                <w:sz w:val="22"/>
                <w:szCs w:val="22"/>
              </w:rPr>
            </w:pPr>
            <w:r w:rsidRPr="002F4EC6">
              <w:rPr>
                <w:sz w:val="22"/>
                <w:szCs w:val="22"/>
              </w:rPr>
              <w:t xml:space="preserve">Teaching should be fundamentally grounded in demonstrable learning outcomes supported through delivery, planning, and assessment. Each candidate must present a record of effectiveness in teaching as specified by set departmental guidelines and reflected in field-appropriate learning outcomes. Specified departmental guidelines are found on the College of Education &amp; Behavioral Sciences website. </w:t>
            </w:r>
          </w:p>
          <w:p w14:paraId="4F3EC714" w14:textId="77777777" w:rsidR="00726E60" w:rsidRPr="002F4EC6" w:rsidRDefault="00726E60" w:rsidP="00726E60">
            <w:pPr>
              <w:pStyle w:val="ListParagraph"/>
              <w:numPr>
                <w:ilvl w:val="0"/>
                <w:numId w:val="1"/>
              </w:numPr>
              <w:spacing w:after="160" w:line="259" w:lineRule="auto"/>
              <w:rPr>
                <w:sz w:val="22"/>
                <w:szCs w:val="22"/>
              </w:rPr>
            </w:pPr>
            <w:r w:rsidRPr="002F4EC6">
              <w:rPr>
                <w:sz w:val="22"/>
                <w:szCs w:val="22"/>
              </w:rPr>
              <w:t>Distinguished rating indicates the candidate functions consistently and over time, above the expected standard of performance.</w:t>
            </w:r>
          </w:p>
          <w:p w14:paraId="36681844" w14:textId="77777777" w:rsidR="00726E60" w:rsidRPr="002F4EC6" w:rsidRDefault="00726E60" w:rsidP="00726E60">
            <w:pPr>
              <w:pStyle w:val="ListParagraph"/>
              <w:numPr>
                <w:ilvl w:val="0"/>
                <w:numId w:val="1"/>
              </w:numPr>
              <w:spacing w:after="160" w:line="259" w:lineRule="auto"/>
              <w:rPr>
                <w:sz w:val="22"/>
                <w:szCs w:val="22"/>
              </w:rPr>
            </w:pPr>
            <w:r w:rsidRPr="002F4EC6">
              <w:rPr>
                <w:sz w:val="22"/>
                <w:szCs w:val="22"/>
              </w:rPr>
              <w:t xml:space="preserve">Skilled rating indicates the candidate functions consistently at the expected standard of performance established for faculty. </w:t>
            </w:r>
          </w:p>
          <w:p w14:paraId="5277C5EA" w14:textId="77777777" w:rsidR="00726E60" w:rsidRPr="002F4EC6" w:rsidRDefault="00726E60" w:rsidP="00726E60">
            <w:pPr>
              <w:pStyle w:val="ListParagraph"/>
              <w:numPr>
                <w:ilvl w:val="0"/>
                <w:numId w:val="1"/>
              </w:numPr>
              <w:spacing w:after="160" w:line="259" w:lineRule="auto"/>
              <w:rPr>
                <w:sz w:val="22"/>
                <w:szCs w:val="22"/>
              </w:rPr>
            </w:pPr>
            <w:r w:rsidRPr="002F4EC6">
              <w:rPr>
                <w:sz w:val="22"/>
                <w:szCs w:val="22"/>
              </w:rPr>
              <w:t>Baseline rating indicates that the candidate functions inconsistently at or below the expected standard of performance established for faculty.</w:t>
            </w:r>
          </w:p>
          <w:p w14:paraId="57F07A59" w14:textId="77777777" w:rsidR="00726E60" w:rsidRPr="00F05315" w:rsidRDefault="00726E60" w:rsidP="00726E60">
            <w:pPr>
              <w:pStyle w:val="ListParagraph"/>
              <w:numPr>
                <w:ilvl w:val="0"/>
                <w:numId w:val="1"/>
              </w:numPr>
              <w:spacing w:after="160" w:line="259" w:lineRule="auto"/>
            </w:pPr>
            <w:r w:rsidRPr="002F4EC6">
              <w:rPr>
                <w:sz w:val="22"/>
                <w:szCs w:val="22"/>
              </w:rPr>
              <w:t>Unsatisfactory rating indicates that the candidate provides no evidence and/or functions consistently below the expected standard of performance established for faculty.</w:t>
            </w:r>
          </w:p>
        </w:tc>
      </w:tr>
      <w:tr w:rsidR="00726E60" w:rsidRPr="00F05315" w14:paraId="6C85EAC8" w14:textId="77777777" w:rsidTr="00404E21">
        <w:tc>
          <w:tcPr>
            <w:tcW w:w="9330" w:type="dxa"/>
            <w:gridSpan w:val="5"/>
            <w:shd w:val="clear" w:color="auto" w:fill="auto"/>
          </w:tcPr>
          <w:p w14:paraId="737BB970" w14:textId="77777777" w:rsidR="00726E60" w:rsidRPr="00F05315" w:rsidRDefault="00726E60" w:rsidP="00404E21">
            <w:pPr>
              <w:jc w:val="center"/>
              <w:rPr>
                <w:b/>
                <w:bCs/>
              </w:rPr>
            </w:pPr>
            <w:r w:rsidRPr="00FD2362">
              <w:rPr>
                <w:b/>
                <w:bCs/>
              </w:rPr>
              <w:t>Chair</w:t>
            </w:r>
            <w:r>
              <w:rPr>
                <w:b/>
                <w:bCs/>
              </w:rPr>
              <w:t>/Director</w:t>
            </w:r>
            <w:r w:rsidRPr="00FD2362">
              <w:rPr>
                <w:b/>
                <w:bCs/>
              </w:rPr>
              <w:t xml:space="preserve"> Comment/Evaluation/Suggestions</w:t>
            </w:r>
          </w:p>
        </w:tc>
      </w:tr>
      <w:tr w:rsidR="00726E60" w:rsidRPr="00F05315" w14:paraId="4D104D38" w14:textId="77777777" w:rsidTr="00404E21">
        <w:tc>
          <w:tcPr>
            <w:tcW w:w="9330" w:type="dxa"/>
            <w:gridSpan w:val="5"/>
          </w:tcPr>
          <w:p w14:paraId="688CE67A" w14:textId="77777777" w:rsidR="00726E60" w:rsidRDefault="00726E60" w:rsidP="00404E21"/>
          <w:p w14:paraId="0072BED9" w14:textId="77777777" w:rsidR="00726E60" w:rsidRPr="002F4EC6" w:rsidRDefault="00726E60" w:rsidP="00404E21"/>
        </w:tc>
      </w:tr>
      <w:tr w:rsidR="00726E60" w:rsidRPr="00B0004F" w14:paraId="5B56644D" w14:textId="77777777" w:rsidTr="00404E21">
        <w:trPr>
          <w:trHeight w:val="339"/>
        </w:trPr>
        <w:tc>
          <w:tcPr>
            <w:tcW w:w="1866" w:type="dxa"/>
          </w:tcPr>
          <w:p w14:paraId="056F34A4" w14:textId="77777777" w:rsidR="00726E60" w:rsidRPr="00B0004F" w:rsidRDefault="00726E60" w:rsidP="00404E21">
            <w:pPr>
              <w:jc w:val="center"/>
            </w:pPr>
            <w:r w:rsidRPr="00F05315">
              <w:t>Distinguished</w:t>
            </w:r>
          </w:p>
        </w:tc>
        <w:tc>
          <w:tcPr>
            <w:tcW w:w="1857" w:type="dxa"/>
          </w:tcPr>
          <w:p w14:paraId="1643279C" w14:textId="77777777" w:rsidR="00726E60" w:rsidRPr="00B0004F" w:rsidRDefault="00726E60" w:rsidP="00404E21">
            <w:pPr>
              <w:jc w:val="center"/>
            </w:pPr>
            <w:r w:rsidRPr="00F05315">
              <w:t>Skilled</w:t>
            </w:r>
          </w:p>
        </w:tc>
        <w:tc>
          <w:tcPr>
            <w:tcW w:w="1857" w:type="dxa"/>
          </w:tcPr>
          <w:p w14:paraId="29534FB5" w14:textId="77777777" w:rsidR="00726E60" w:rsidRPr="00B0004F" w:rsidRDefault="00726E60" w:rsidP="00404E21">
            <w:pPr>
              <w:jc w:val="center"/>
            </w:pPr>
            <w:r w:rsidRPr="00F05315">
              <w:t>Baseline</w:t>
            </w:r>
          </w:p>
        </w:tc>
        <w:tc>
          <w:tcPr>
            <w:tcW w:w="1867" w:type="dxa"/>
          </w:tcPr>
          <w:p w14:paraId="7C25A9E4" w14:textId="77777777" w:rsidR="00726E60" w:rsidRPr="00B0004F" w:rsidRDefault="00726E60" w:rsidP="00404E21">
            <w:pPr>
              <w:jc w:val="center"/>
            </w:pPr>
            <w:r w:rsidRPr="00F05315">
              <w:t>Unsatisfactory</w:t>
            </w:r>
          </w:p>
        </w:tc>
        <w:tc>
          <w:tcPr>
            <w:tcW w:w="1883" w:type="dxa"/>
          </w:tcPr>
          <w:p w14:paraId="4BF3998C" w14:textId="77777777" w:rsidR="00726E60" w:rsidRPr="00B0004F" w:rsidRDefault="00726E60" w:rsidP="00404E21">
            <w:pPr>
              <w:jc w:val="center"/>
            </w:pPr>
            <w:r w:rsidRPr="00F05315">
              <w:t>Not Applicable</w:t>
            </w:r>
          </w:p>
        </w:tc>
      </w:tr>
    </w:tbl>
    <w:p w14:paraId="1C52D303" w14:textId="77777777" w:rsidR="00726E60" w:rsidRDefault="00726E60" w:rsidP="00726E60"/>
    <w:p w14:paraId="297C99B5" w14:textId="24E16C90" w:rsidR="004002A2" w:rsidRDefault="004002A2"/>
    <w:tbl>
      <w:tblPr>
        <w:tblStyle w:val="TableGrid"/>
        <w:tblW w:w="0" w:type="auto"/>
        <w:tblInd w:w="10"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680" w:firstRow="0" w:lastRow="0" w:firstColumn="1" w:lastColumn="0" w:noHBand="1" w:noVBand="1"/>
      </w:tblPr>
      <w:tblGrid>
        <w:gridCol w:w="1865"/>
        <w:gridCol w:w="1855"/>
        <w:gridCol w:w="1855"/>
        <w:gridCol w:w="1865"/>
        <w:gridCol w:w="1880"/>
      </w:tblGrid>
      <w:tr w:rsidR="00726E60" w:rsidRPr="00F05315" w14:paraId="4AD8D022" w14:textId="77777777" w:rsidTr="00726E60">
        <w:trPr>
          <w:cantSplit/>
        </w:trPr>
        <w:tc>
          <w:tcPr>
            <w:tcW w:w="9330" w:type="dxa"/>
            <w:gridSpan w:val="5"/>
          </w:tcPr>
          <w:p w14:paraId="05669117" w14:textId="77777777" w:rsidR="00726E60" w:rsidRPr="00F05315" w:rsidRDefault="00726E60" w:rsidP="00404E21">
            <w:pPr>
              <w:tabs>
                <w:tab w:val="left" w:pos="520"/>
                <w:tab w:val="center" w:pos="4552"/>
              </w:tabs>
              <w:jc w:val="center"/>
              <w:rPr>
                <w:b/>
                <w:bCs/>
              </w:rPr>
            </w:pPr>
            <w:r w:rsidRPr="00737215">
              <w:rPr>
                <w:b/>
                <w:bCs/>
              </w:rPr>
              <w:t>SCHOLARSHIP/CREATIVE ACTIVITY</w:t>
            </w:r>
          </w:p>
        </w:tc>
      </w:tr>
      <w:tr w:rsidR="00726E60" w:rsidRPr="00F05315" w14:paraId="1F56F9B1" w14:textId="77777777" w:rsidTr="00726E60">
        <w:trPr>
          <w:trHeight w:val="1770"/>
        </w:trPr>
        <w:tc>
          <w:tcPr>
            <w:tcW w:w="9330" w:type="dxa"/>
            <w:gridSpan w:val="5"/>
            <w:noWrap/>
          </w:tcPr>
          <w:p w14:paraId="7AB58BB4" w14:textId="77777777" w:rsidR="00726E60" w:rsidRPr="007D07B9" w:rsidRDefault="00726E60" w:rsidP="00404E21">
            <w:pPr>
              <w:rPr>
                <w:sz w:val="22"/>
                <w:szCs w:val="22"/>
              </w:rPr>
            </w:pPr>
            <w:r w:rsidRPr="007D07B9">
              <w:rPr>
                <w:sz w:val="22"/>
                <w:szCs w:val="22"/>
              </w:rPr>
              <w:t>Scholarship and creative activity are evaluated on the performance dimensions which may include publications, presentations, research activity, grant activity and/or creative activities. Each candidate must present a record of activity as specified by departmental guidelines.</w:t>
            </w:r>
            <w:r w:rsidRPr="007D07B9">
              <w:rPr>
                <w:i/>
                <w:iCs/>
                <w:sz w:val="22"/>
                <w:szCs w:val="22"/>
              </w:rPr>
              <w:t xml:space="preserve"> </w:t>
            </w:r>
            <w:r w:rsidRPr="007D07B9">
              <w:rPr>
                <w:sz w:val="22"/>
                <w:szCs w:val="22"/>
              </w:rPr>
              <w:t xml:space="preserve">Specified departmental guidelines are found on the College of Education &amp; Behavioral Sciences website. </w:t>
            </w:r>
          </w:p>
          <w:p w14:paraId="21BD730D" w14:textId="77777777" w:rsidR="00726E60" w:rsidRPr="007D07B9" w:rsidRDefault="00726E60" w:rsidP="00726E60">
            <w:pPr>
              <w:pStyle w:val="ListParagraph"/>
              <w:numPr>
                <w:ilvl w:val="0"/>
                <w:numId w:val="1"/>
              </w:numPr>
              <w:spacing w:after="160" w:line="259" w:lineRule="auto"/>
              <w:rPr>
                <w:sz w:val="22"/>
                <w:szCs w:val="22"/>
              </w:rPr>
            </w:pPr>
            <w:r w:rsidRPr="007D07B9">
              <w:rPr>
                <w:sz w:val="22"/>
                <w:szCs w:val="22"/>
              </w:rPr>
              <w:t>Distinguished rating indicates the candidate functions consistently and over time, above the expected standard of performance.</w:t>
            </w:r>
          </w:p>
          <w:p w14:paraId="7BF37A88" w14:textId="77777777" w:rsidR="00726E60" w:rsidRPr="007D07B9" w:rsidRDefault="00726E60" w:rsidP="00726E60">
            <w:pPr>
              <w:pStyle w:val="ListParagraph"/>
              <w:numPr>
                <w:ilvl w:val="0"/>
                <w:numId w:val="1"/>
              </w:numPr>
              <w:spacing w:after="160" w:line="259" w:lineRule="auto"/>
              <w:rPr>
                <w:sz w:val="22"/>
                <w:szCs w:val="22"/>
              </w:rPr>
            </w:pPr>
            <w:r w:rsidRPr="007D07B9">
              <w:rPr>
                <w:sz w:val="22"/>
                <w:szCs w:val="22"/>
              </w:rPr>
              <w:lastRenderedPageBreak/>
              <w:t xml:space="preserve">Skilled rating indicates the candidate functions consistently at the expected standard of performance established for faculty. </w:t>
            </w:r>
          </w:p>
          <w:p w14:paraId="46B0B82E" w14:textId="77777777" w:rsidR="00726E60" w:rsidRPr="007D07B9" w:rsidRDefault="00726E60" w:rsidP="00726E60">
            <w:pPr>
              <w:pStyle w:val="ListParagraph"/>
              <w:numPr>
                <w:ilvl w:val="0"/>
                <w:numId w:val="1"/>
              </w:numPr>
              <w:spacing w:after="160" w:line="259" w:lineRule="auto"/>
              <w:rPr>
                <w:sz w:val="22"/>
                <w:szCs w:val="22"/>
              </w:rPr>
            </w:pPr>
            <w:r w:rsidRPr="007D07B9">
              <w:rPr>
                <w:sz w:val="22"/>
                <w:szCs w:val="22"/>
              </w:rPr>
              <w:t>Baseline rating indicates that the candidate functions inconsistently at or below the expected standard of performance established for faculty.</w:t>
            </w:r>
          </w:p>
          <w:p w14:paraId="04969175" w14:textId="77777777" w:rsidR="00726E60" w:rsidRPr="007D07B9" w:rsidRDefault="00726E60" w:rsidP="00726E60">
            <w:pPr>
              <w:pStyle w:val="ListParagraph"/>
              <w:numPr>
                <w:ilvl w:val="0"/>
                <w:numId w:val="1"/>
              </w:numPr>
              <w:spacing w:after="160" w:line="259" w:lineRule="auto"/>
            </w:pPr>
            <w:r w:rsidRPr="007D07B9">
              <w:rPr>
                <w:sz w:val="22"/>
                <w:szCs w:val="22"/>
              </w:rPr>
              <w:t>Unsatisfactory rating indicates that the candidate provides no evidence and/or functions consistently below the expected standard of performance established for faculty.</w:t>
            </w:r>
          </w:p>
        </w:tc>
      </w:tr>
      <w:tr w:rsidR="00726E60" w:rsidRPr="00F05315" w14:paraId="64AE0690" w14:textId="77777777" w:rsidTr="00726E60">
        <w:tc>
          <w:tcPr>
            <w:tcW w:w="9330" w:type="dxa"/>
            <w:gridSpan w:val="5"/>
            <w:shd w:val="clear" w:color="auto" w:fill="auto"/>
          </w:tcPr>
          <w:p w14:paraId="66B5BA04" w14:textId="7061F987" w:rsidR="00726E60" w:rsidRPr="00F05315" w:rsidRDefault="00726E60" w:rsidP="00404E21">
            <w:pPr>
              <w:jc w:val="center"/>
              <w:rPr>
                <w:b/>
                <w:bCs/>
              </w:rPr>
            </w:pPr>
            <w:r w:rsidRPr="00F05315">
              <w:rPr>
                <w:b/>
                <w:bCs/>
              </w:rPr>
              <w:lastRenderedPageBreak/>
              <w:t>Chair/Director Comment/Evaluation/Suggestions</w:t>
            </w:r>
          </w:p>
        </w:tc>
      </w:tr>
      <w:tr w:rsidR="00726E60" w:rsidRPr="00F05315" w14:paraId="5A984183" w14:textId="77777777" w:rsidTr="00726E60">
        <w:tc>
          <w:tcPr>
            <w:tcW w:w="9330" w:type="dxa"/>
            <w:gridSpan w:val="5"/>
          </w:tcPr>
          <w:p w14:paraId="033EBDB9" w14:textId="77777777" w:rsidR="00726E60" w:rsidRDefault="00726E60" w:rsidP="00404E21"/>
          <w:p w14:paraId="19011BE8" w14:textId="77777777" w:rsidR="00726E60" w:rsidRPr="002F4EC6" w:rsidRDefault="00726E60" w:rsidP="00404E21"/>
        </w:tc>
      </w:tr>
      <w:tr w:rsidR="00726E60" w:rsidRPr="000E2B5D" w14:paraId="43EF42A8" w14:textId="77777777" w:rsidTr="00726E60">
        <w:tc>
          <w:tcPr>
            <w:tcW w:w="1867" w:type="dxa"/>
          </w:tcPr>
          <w:p w14:paraId="1E163235" w14:textId="77777777" w:rsidR="00726E60" w:rsidRPr="000E2B5D" w:rsidRDefault="00726E60" w:rsidP="00404E21">
            <w:pPr>
              <w:jc w:val="center"/>
            </w:pPr>
            <w:r w:rsidRPr="00F05315">
              <w:t>Distinguished</w:t>
            </w:r>
          </w:p>
        </w:tc>
        <w:tc>
          <w:tcPr>
            <w:tcW w:w="1857" w:type="dxa"/>
          </w:tcPr>
          <w:p w14:paraId="5490D925" w14:textId="77777777" w:rsidR="00726E60" w:rsidRPr="000E2B5D" w:rsidRDefault="00726E60" w:rsidP="00404E21">
            <w:pPr>
              <w:jc w:val="center"/>
            </w:pPr>
            <w:r w:rsidRPr="00F05315">
              <w:t>Skilled</w:t>
            </w:r>
          </w:p>
        </w:tc>
        <w:tc>
          <w:tcPr>
            <w:tcW w:w="1857" w:type="dxa"/>
          </w:tcPr>
          <w:p w14:paraId="53E73BA1" w14:textId="77777777" w:rsidR="00726E60" w:rsidRPr="000E2B5D" w:rsidRDefault="00726E60" w:rsidP="00404E21">
            <w:pPr>
              <w:jc w:val="center"/>
            </w:pPr>
            <w:r w:rsidRPr="00F05315">
              <w:t>Baseline</w:t>
            </w:r>
          </w:p>
        </w:tc>
        <w:tc>
          <w:tcPr>
            <w:tcW w:w="1867" w:type="dxa"/>
          </w:tcPr>
          <w:p w14:paraId="68E76B80" w14:textId="77777777" w:rsidR="00726E60" w:rsidRPr="000E2B5D" w:rsidRDefault="00726E60" w:rsidP="00404E21">
            <w:pPr>
              <w:jc w:val="center"/>
            </w:pPr>
            <w:r w:rsidRPr="00F05315">
              <w:t>Unsatisfactory</w:t>
            </w:r>
          </w:p>
        </w:tc>
        <w:tc>
          <w:tcPr>
            <w:tcW w:w="1882" w:type="dxa"/>
          </w:tcPr>
          <w:p w14:paraId="1113E971" w14:textId="77777777" w:rsidR="00726E60" w:rsidRPr="000E2B5D" w:rsidRDefault="00726E60" w:rsidP="00404E21">
            <w:pPr>
              <w:jc w:val="center"/>
            </w:pPr>
            <w:r w:rsidRPr="00F05315">
              <w:t>Not Applicable</w:t>
            </w:r>
          </w:p>
        </w:tc>
      </w:tr>
    </w:tbl>
    <w:p w14:paraId="4CDD001F" w14:textId="77777777" w:rsidR="00726E60" w:rsidRPr="00F05315" w:rsidRDefault="00726E60" w:rsidP="00726E60"/>
    <w:p w14:paraId="6B18F2B7" w14:textId="77777777" w:rsidR="00726E60" w:rsidRPr="00F05315" w:rsidRDefault="00726E60" w:rsidP="00726E60"/>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67"/>
        <w:gridCol w:w="1857"/>
        <w:gridCol w:w="1857"/>
        <w:gridCol w:w="1867"/>
        <w:gridCol w:w="1882"/>
      </w:tblGrid>
      <w:tr w:rsidR="00726E60" w:rsidRPr="00F05315" w14:paraId="02E88555" w14:textId="77777777" w:rsidTr="00404E21">
        <w:tc>
          <w:tcPr>
            <w:tcW w:w="9330" w:type="dxa"/>
            <w:gridSpan w:val="5"/>
          </w:tcPr>
          <w:p w14:paraId="372433EB" w14:textId="77777777" w:rsidR="00726E60" w:rsidRPr="00F05315" w:rsidRDefault="00726E60" w:rsidP="00404E21">
            <w:pPr>
              <w:jc w:val="center"/>
              <w:rPr>
                <w:b/>
                <w:bCs/>
              </w:rPr>
            </w:pPr>
            <w:r w:rsidRPr="00F05315">
              <w:rPr>
                <w:b/>
                <w:bCs/>
              </w:rPr>
              <w:t>SERVICE</w:t>
            </w:r>
          </w:p>
        </w:tc>
      </w:tr>
      <w:tr w:rsidR="00726E60" w:rsidRPr="00F05315" w14:paraId="02F3A703" w14:textId="77777777" w:rsidTr="00404E21">
        <w:tc>
          <w:tcPr>
            <w:tcW w:w="9330" w:type="dxa"/>
            <w:gridSpan w:val="5"/>
          </w:tcPr>
          <w:p w14:paraId="2D4FC1E1" w14:textId="77777777" w:rsidR="00726E60" w:rsidRPr="007D07B9" w:rsidRDefault="00726E60" w:rsidP="00404E21">
            <w:pPr>
              <w:rPr>
                <w:sz w:val="22"/>
                <w:szCs w:val="22"/>
              </w:rPr>
            </w:pPr>
            <w:r w:rsidRPr="007D07B9">
              <w:rPr>
                <w:sz w:val="22"/>
                <w:szCs w:val="22"/>
              </w:rPr>
              <w:t>Service is defined as the extent of involvement and responsibility to the department, college, university, and professional community that supports and maintains the effective functioning of the department, college, university, and profession. Each candidate must present a record of activity as specified by departmental guidelines.</w:t>
            </w:r>
            <w:r w:rsidRPr="007D07B9">
              <w:rPr>
                <w:i/>
                <w:iCs/>
                <w:sz w:val="22"/>
                <w:szCs w:val="22"/>
              </w:rPr>
              <w:t xml:space="preserve"> </w:t>
            </w:r>
            <w:r w:rsidRPr="007D07B9">
              <w:rPr>
                <w:sz w:val="22"/>
                <w:szCs w:val="22"/>
              </w:rPr>
              <w:t xml:space="preserve">Specified departmental guidelines are found on the College of Education &amp; Behavioral Sciences website. </w:t>
            </w:r>
          </w:p>
          <w:p w14:paraId="67CDB0D3" w14:textId="77777777" w:rsidR="00726E60" w:rsidRPr="007D07B9" w:rsidRDefault="00726E60" w:rsidP="00726E60">
            <w:pPr>
              <w:pStyle w:val="ListParagraph"/>
              <w:numPr>
                <w:ilvl w:val="0"/>
                <w:numId w:val="1"/>
              </w:numPr>
              <w:spacing w:after="160" w:line="259" w:lineRule="auto"/>
              <w:rPr>
                <w:sz w:val="22"/>
                <w:szCs w:val="22"/>
              </w:rPr>
            </w:pPr>
            <w:r w:rsidRPr="007D07B9">
              <w:rPr>
                <w:sz w:val="22"/>
                <w:szCs w:val="22"/>
              </w:rPr>
              <w:t>Distinguished rating indicates the candidate functions consistently and over time, above the expected standard of performance.</w:t>
            </w:r>
          </w:p>
          <w:p w14:paraId="5905888F" w14:textId="77777777" w:rsidR="00726E60" w:rsidRPr="007D07B9" w:rsidRDefault="00726E60" w:rsidP="00726E60">
            <w:pPr>
              <w:pStyle w:val="ListParagraph"/>
              <w:numPr>
                <w:ilvl w:val="0"/>
                <w:numId w:val="1"/>
              </w:numPr>
              <w:spacing w:after="160" w:line="259" w:lineRule="auto"/>
              <w:rPr>
                <w:sz w:val="22"/>
                <w:szCs w:val="22"/>
              </w:rPr>
            </w:pPr>
            <w:r w:rsidRPr="007D07B9">
              <w:rPr>
                <w:sz w:val="22"/>
                <w:szCs w:val="22"/>
              </w:rPr>
              <w:t xml:space="preserve">Skilled rating indicates the candidate functions consistently at the expected standard of performance established for faculty. </w:t>
            </w:r>
          </w:p>
          <w:p w14:paraId="4454C418" w14:textId="77777777" w:rsidR="00726E60" w:rsidRPr="00F05315" w:rsidRDefault="00726E60" w:rsidP="00726E60">
            <w:pPr>
              <w:pStyle w:val="ListParagraph"/>
              <w:numPr>
                <w:ilvl w:val="0"/>
                <w:numId w:val="1"/>
              </w:numPr>
              <w:spacing w:after="160" w:line="259" w:lineRule="auto"/>
            </w:pPr>
            <w:r w:rsidRPr="007D07B9">
              <w:rPr>
                <w:sz w:val="22"/>
                <w:szCs w:val="22"/>
              </w:rPr>
              <w:t>Baseline rating indicates that the candidate functions inconsistently at or below the expected standard of performance established for faculty. Unsatisfactory rating indicates that the candidate provides no evidence and/or functions consistently below the expected standard of performance established for faculty.</w:t>
            </w:r>
          </w:p>
        </w:tc>
      </w:tr>
      <w:tr w:rsidR="00726E60" w:rsidRPr="00F05315" w14:paraId="2E716180" w14:textId="77777777" w:rsidTr="00404E21">
        <w:tc>
          <w:tcPr>
            <w:tcW w:w="9330" w:type="dxa"/>
            <w:gridSpan w:val="5"/>
          </w:tcPr>
          <w:p w14:paraId="585ACCD8" w14:textId="79AEA6E0" w:rsidR="00726E60" w:rsidRPr="00F05315" w:rsidRDefault="00726E60" w:rsidP="00404E21">
            <w:pPr>
              <w:jc w:val="center"/>
              <w:rPr>
                <w:b/>
                <w:bCs/>
              </w:rPr>
            </w:pPr>
            <w:r w:rsidRPr="00F05315">
              <w:rPr>
                <w:b/>
                <w:bCs/>
              </w:rPr>
              <w:t>Chair/Director Comment/Evaluation/Suggestions</w:t>
            </w:r>
          </w:p>
        </w:tc>
      </w:tr>
      <w:tr w:rsidR="00726E60" w:rsidRPr="00F05315" w14:paraId="7C46B943" w14:textId="77777777" w:rsidTr="00404E21">
        <w:tc>
          <w:tcPr>
            <w:tcW w:w="9330" w:type="dxa"/>
            <w:gridSpan w:val="5"/>
          </w:tcPr>
          <w:p w14:paraId="4EB62C9D" w14:textId="77777777" w:rsidR="00726E60" w:rsidRDefault="00726E60" w:rsidP="00404E21"/>
          <w:p w14:paraId="3DDA56F5" w14:textId="77777777" w:rsidR="00726E60" w:rsidRPr="002F4EC6" w:rsidRDefault="00726E60" w:rsidP="00404E21"/>
        </w:tc>
      </w:tr>
      <w:tr w:rsidR="00726E60" w:rsidRPr="000E2B5D" w14:paraId="02F11D79" w14:textId="77777777" w:rsidTr="00404E21">
        <w:tc>
          <w:tcPr>
            <w:tcW w:w="1867" w:type="dxa"/>
          </w:tcPr>
          <w:p w14:paraId="403E2B63" w14:textId="77777777" w:rsidR="00726E60" w:rsidRPr="000E2B5D" w:rsidRDefault="00726E60" w:rsidP="00404E21">
            <w:pPr>
              <w:jc w:val="center"/>
            </w:pPr>
            <w:r w:rsidRPr="00F05315">
              <w:t>Distinguished</w:t>
            </w:r>
          </w:p>
        </w:tc>
        <w:tc>
          <w:tcPr>
            <w:tcW w:w="1857" w:type="dxa"/>
          </w:tcPr>
          <w:p w14:paraId="2C134C1C" w14:textId="77777777" w:rsidR="00726E60" w:rsidRPr="000E2B5D" w:rsidRDefault="00726E60" w:rsidP="00404E21">
            <w:pPr>
              <w:jc w:val="center"/>
            </w:pPr>
            <w:r w:rsidRPr="00F05315">
              <w:t>Skilled</w:t>
            </w:r>
          </w:p>
        </w:tc>
        <w:tc>
          <w:tcPr>
            <w:tcW w:w="1857" w:type="dxa"/>
          </w:tcPr>
          <w:p w14:paraId="7B5B8B29" w14:textId="77777777" w:rsidR="00726E60" w:rsidRPr="000E2B5D" w:rsidRDefault="00726E60" w:rsidP="00404E21">
            <w:pPr>
              <w:jc w:val="center"/>
            </w:pPr>
            <w:r w:rsidRPr="00F05315">
              <w:t>Baseline</w:t>
            </w:r>
          </w:p>
        </w:tc>
        <w:tc>
          <w:tcPr>
            <w:tcW w:w="1867" w:type="dxa"/>
          </w:tcPr>
          <w:p w14:paraId="01F69E8E" w14:textId="77777777" w:rsidR="00726E60" w:rsidRPr="000E2B5D" w:rsidRDefault="00726E60" w:rsidP="00404E21">
            <w:pPr>
              <w:jc w:val="center"/>
            </w:pPr>
            <w:r w:rsidRPr="00F05315">
              <w:t>Unsatisfactory</w:t>
            </w:r>
          </w:p>
        </w:tc>
        <w:tc>
          <w:tcPr>
            <w:tcW w:w="1882" w:type="dxa"/>
          </w:tcPr>
          <w:p w14:paraId="6D2D6E65" w14:textId="77777777" w:rsidR="00726E60" w:rsidRPr="000E2B5D" w:rsidRDefault="00726E60" w:rsidP="00404E21">
            <w:pPr>
              <w:jc w:val="center"/>
            </w:pPr>
            <w:r w:rsidRPr="00F05315">
              <w:t>Not Applicable</w:t>
            </w:r>
          </w:p>
        </w:tc>
      </w:tr>
    </w:tbl>
    <w:p w14:paraId="77044A0D" w14:textId="77777777" w:rsidR="00726E60" w:rsidRDefault="00726E60" w:rsidP="00726E60"/>
    <w:p w14:paraId="7A99BD2C" w14:textId="77777777" w:rsidR="00726E60" w:rsidRPr="00F05315" w:rsidRDefault="00726E60" w:rsidP="00726E60"/>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0"/>
        <w:gridCol w:w="1870"/>
        <w:gridCol w:w="5590"/>
      </w:tblGrid>
      <w:tr w:rsidR="00726E60" w:rsidRPr="00F05315" w14:paraId="1EE6ECDC" w14:textId="77777777" w:rsidTr="00404E21">
        <w:tc>
          <w:tcPr>
            <w:tcW w:w="9330" w:type="dxa"/>
            <w:gridSpan w:val="3"/>
          </w:tcPr>
          <w:p w14:paraId="76FB39D7" w14:textId="77777777" w:rsidR="00726E60" w:rsidRPr="00F05315" w:rsidRDefault="00726E60" w:rsidP="00404E21">
            <w:pPr>
              <w:jc w:val="center"/>
              <w:rPr>
                <w:b/>
                <w:bCs/>
              </w:rPr>
            </w:pPr>
            <w:r w:rsidRPr="00F05315">
              <w:rPr>
                <w:b/>
                <w:bCs/>
              </w:rPr>
              <w:t>PROFESSIONALISM</w:t>
            </w:r>
          </w:p>
        </w:tc>
      </w:tr>
      <w:tr w:rsidR="00726E60" w:rsidRPr="00F05315" w14:paraId="67EF3E83" w14:textId="77777777" w:rsidTr="00404E21">
        <w:tc>
          <w:tcPr>
            <w:tcW w:w="9330" w:type="dxa"/>
            <w:gridSpan w:val="3"/>
          </w:tcPr>
          <w:p w14:paraId="1C198239" w14:textId="77777777" w:rsidR="00726E60" w:rsidRPr="004D6934" w:rsidRDefault="00726E60" w:rsidP="00404E21">
            <w:pPr>
              <w:pStyle w:val="elementtoproof"/>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A faculty member behaves professionally by adhering to department, college, </w:t>
            </w:r>
            <w:proofErr w:type="gramStart"/>
            <w:r w:rsidRPr="004D6934">
              <w:rPr>
                <w:rFonts w:ascii="Aptos" w:hAnsi="Aptos" w:cs="Calibri"/>
                <w:color w:val="000000"/>
                <w:sz w:val="22"/>
                <w:szCs w:val="22"/>
              </w:rPr>
              <w:t>University</w:t>
            </w:r>
            <w:proofErr w:type="gramEnd"/>
            <w:r w:rsidRPr="004D6934">
              <w:rPr>
                <w:rFonts w:ascii="Aptos" w:hAnsi="Aptos" w:cs="Calibri"/>
                <w:color w:val="000000"/>
                <w:sz w:val="22"/>
                <w:szCs w:val="22"/>
              </w:rPr>
              <w:t xml:space="preserve"> and professional organization standards. Professional behavior includes timely completion of departmental, college and University tasks; ethical conduct in matters of instruction, </w:t>
            </w:r>
            <w:proofErr w:type="gramStart"/>
            <w:r w:rsidRPr="004D6934">
              <w:rPr>
                <w:rFonts w:ascii="Aptos" w:hAnsi="Aptos" w:cs="Calibri"/>
                <w:color w:val="000000"/>
                <w:sz w:val="22"/>
                <w:szCs w:val="22"/>
              </w:rPr>
              <w:t>research</w:t>
            </w:r>
            <w:proofErr w:type="gramEnd"/>
            <w:r w:rsidRPr="004D6934">
              <w:rPr>
                <w:rFonts w:ascii="Aptos" w:hAnsi="Aptos" w:cs="Calibri"/>
                <w:color w:val="000000"/>
                <w:sz w:val="22"/>
                <w:szCs w:val="22"/>
              </w:rPr>
              <w:t xml:space="preserve"> and finances; and the maintenance of civil and respectful relationships with students and colleagues.</w:t>
            </w:r>
          </w:p>
          <w:p w14:paraId="19A5976E" w14:textId="77777777" w:rsidR="00726E60" w:rsidRPr="004D6934" w:rsidRDefault="00726E60" w:rsidP="00404E21">
            <w:pPr>
              <w:pStyle w:val="elementtoproof"/>
              <w:spacing w:before="0" w:beforeAutospacing="0" w:after="0" w:afterAutospacing="0"/>
              <w:rPr>
                <w:rFonts w:ascii="Calibri" w:hAnsi="Calibri" w:cs="Calibri"/>
                <w:color w:val="000000"/>
                <w:sz w:val="21"/>
                <w:szCs w:val="21"/>
              </w:rPr>
            </w:pPr>
          </w:p>
          <w:p w14:paraId="00AF1ED2" w14:textId="77777777" w:rsidR="00726E60" w:rsidRPr="004D6934" w:rsidRDefault="00726E60" w:rsidP="00404E21">
            <w:pPr>
              <w:pStyle w:val="NormalWeb"/>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Standards to which faculty are expected to adhere are more specifically identified here:</w:t>
            </w:r>
          </w:p>
          <w:p w14:paraId="593E192E" w14:textId="77777777" w:rsidR="00726E60" w:rsidRPr="004D6934" w:rsidRDefault="00726E60" w:rsidP="00726E60">
            <w:pPr>
              <w:pStyle w:val="NormalWeb"/>
              <w:numPr>
                <w:ilvl w:val="0"/>
                <w:numId w:val="3"/>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Faculty Handbook Section II.D., Professional </w:t>
            </w:r>
            <w:proofErr w:type="gramStart"/>
            <w:r w:rsidRPr="004D6934">
              <w:rPr>
                <w:rFonts w:ascii="Aptos" w:hAnsi="Aptos" w:cs="Calibri"/>
                <w:color w:val="000000"/>
                <w:sz w:val="22"/>
                <w:szCs w:val="22"/>
              </w:rPr>
              <w:t>Conduct;</w:t>
            </w:r>
            <w:proofErr w:type="gramEnd"/>
          </w:p>
          <w:p w14:paraId="3E58F113" w14:textId="77777777" w:rsidR="00726E60" w:rsidRPr="004D6934" w:rsidRDefault="00726E60" w:rsidP="00726E60">
            <w:pPr>
              <w:pStyle w:val="NormalWeb"/>
              <w:numPr>
                <w:ilvl w:val="0"/>
                <w:numId w:val="3"/>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 xml:space="preserve">WKU Standards of Conduct, Policy </w:t>
            </w:r>
            <w:proofErr w:type="gramStart"/>
            <w:r w:rsidRPr="004D6934">
              <w:rPr>
                <w:rFonts w:ascii="Aptos" w:hAnsi="Aptos" w:cs="Calibri"/>
                <w:color w:val="000000"/>
                <w:sz w:val="22"/>
                <w:szCs w:val="22"/>
              </w:rPr>
              <w:t>4.8;</w:t>
            </w:r>
            <w:proofErr w:type="gramEnd"/>
            <w:r w:rsidRPr="004D6934">
              <w:rPr>
                <w:rFonts w:ascii="Aptos" w:hAnsi="Aptos" w:cs="Calibri"/>
                <w:color w:val="000000"/>
                <w:sz w:val="22"/>
                <w:szCs w:val="22"/>
              </w:rPr>
              <w:t> </w:t>
            </w:r>
          </w:p>
          <w:p w14:paraId="75253267" w14:textId="77777777" w:rsidR="00726E60" w:rsidRPr="004D6934" w:rsidRDefault="00726E60" w:rsidP="00726E60">
            <w:pPr>
              <w:pStyle w:val="NormalWeb"/>
              <w:numPr>
                <w:ilvl w:val="0"/>
                <w:numId w:val="3"/>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lastRenderedPageBreak/>
              <w:t>WKU departmental/college standards, as adopted through shared governance; and</w:t>
            </w:r>
          </w:p>
          <w:p w14:paraId="2F0B84B7" w14:textId="77777777" w:rsidR="00726E60" w:rsidRPr="00F05315" w:rsidRDefault="00726E60" w:rsidP="00726E60">
            <w:pPr>
              <w:pStyle w:val="elementtoproof"/>
              <w:numPr>
                <w:ilvl w:val="0"/>
                <w:numId w:val="3"/>
              </w:numPr>
              <w:spacing w:before="0" w:beforeAutospacing="0" w:after="0" w:afterAutospacing="0"/>
              <w:rPr>
                <w:rFonts w:ascii="Calibri" w:hAnsi="Calibri" w:cs="Calibri"/>
                <w:color w:val="000000"/>
                <w:sz w:val="21"/>
                <w:szCs w:val="21"/>
              </w:rPr>
            </w:pPr>
            <w:r w:rsidRPr="004D6934">
              <w:rPr>
                <w:rFonts w:ascii="Aptos" w:hAnsi="Aptos" w:cs="Calibri"/>
                <w:color w:val="000000"/>
                <w:sz w:val="22"/>
                <w:szCs w:val="22"/>
              </w:rPr>
              <w:t>Professional organization standards, if applicable.</w:t>
            </w:r>
          </w:p>
        </w:tc>
      </w:tr>
      <w:tr w:rsidR="00726E60" w:rsidRPr="00F05315" w14:paraId="4B4D0B22" w14:textId="77777777" w:rsidTr="00404E21">
        <w:tc>
          <w:tcPr>
            <w:tcW w:w="9330" w:type="dxa"/>
            <w:gridSpan w:val="3"/>
          </w:tcPr>
          <w:p w14:paraId="603E2638" w14:textId="3C44E2E0" w:rsidR="00726E60" w:rsidRPr="00F05315" w:rsidRDefault="00726E60" w:rsidP="00404E21">
            <w:pPr>
              <w:jc w:val="center"/>
              <w:rPr>
                <w:b/>
                <w:bCs/>
              </w:rPr>
            </w:pPr>
            <w:r w:rsidRPr="00F05315">
              <w:rPr>
                <w:b/>
                <w:bCs/>
              </w:rPr>
              <w:lastRenderedPageBreak/>
              <w:t>Chair/Director Comment/Evaluation/Suggestions</w:t>
            </w:r>
          </w:p>
        </w:tc>
      </w:tr>
      <w:tr w:rsidR="00726E60" w:rsidRPr="00F05315" w14:paraId="10C3CDAF" w14:textId="77777777" w:rsidTr="00404E21">
        <w:tc>
          <w:tcPr>
            <w:tcW w:w="9330" w:type="dxa"/>
            <w:gridSpan w:val="3"/>
          </w:tcPr>
          <w:p w14:paraId="65B0FA8E" w14:textId="77777777" w:rsidR="00726E60" w:rsidRDefault="00726E60" w:rsidP="00404E21"/>
          <w:p w14:paraId="5189064E" w14:textId="77777777" w:rsidR="00726E60" w:rsidRPr="007D07B9" w:rsidRDefault="00726E60" w:rsidP="00404E21"/>
        </w:tc>
      </w:tr>
      <w:tr w:rsidR="00726E60" w:rsidRPr="00B0004F" w14:paraId="2D87E6AD" w14:textId="77777777" w:rsidTr="00404E21">
        <w:trPr>
          <w:gridAfter w:val="1"/>
          <w:wAfter w:w="5590" w:type="dxa"/>
        </w:trPr>
        <w:tc>
          <w:tcPr>
            <w:tcW w:w="1870" w:type="dxa"/>
            <w:vAlign w:val="center"/>
          </w:tcPr>
          <w:p w14:paraId="42B662E7" w14:textId="77777777" w:rsidR="00726E60" w:rsidRPr="00B0004F" w:rsidRDefault="00726E60" w:rsidP="00404E21">
            <w:pPr>
              <w:jc w:val="center"/>
            </w:pPr>
            <w:r>
              <w:t>Satisfactory</w:t>
            </w:r>
          </w:p>
        </w:tc>
        <w:tc>
          <w:tcPr>
            <w:tcW w:w="1870" w:type="dxa"/>
            <w:vAlign w:val="center"/>
          </w:tcPr>
          <w:p w14:paraId="69FD17D3" w14:textId="77777777" w:rsidR="00726E60" w:rsidRPr="00B0004F" w:rsidRDefault="00726E60" w:rsidP="00404E21">
            <w:pPr>
              <w:jc w:val="center"/>
            </w:pPr>
            <w:r>
              <w:t>Uns</w:t>
            </w:r>
            <w:r w:rsidRPr="00B0004F">
              <w:t>atisfactory</w:t>
            </w:r>
          </w:p>
        </w:tc>
      </w:tr>
    </w:tbl>
    <w:p w14:paraId="51A93956" w14:textId="77777777" w:rsidR="00726E60" w:rsidRDefault="00726E60" w:rsidP="00726E60"/>
    <w:p w14:paraId="640984D0" w14:textId="77777777" w:rsidR="00726E60" w:rsidRPr="00F05315" w:rsidRDefault="00726E60" w:rsidP="00726E60"/>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330"/>
      </w:tblGrid>
      <w:tr w:rsidR="00726E60" w:rsidRPr="00F05315" w14:paraId="675230B3" w14:textId="77777777" w:rsidTr="00404E21">
        <w:tc>
          <w:tcPr>
            <w:tcW w:w="9330" w:type="dxa"/>
          </w:tcPr>
          <w:p w14:paraId="5C3900F8" w14:textId="77777777" w:rsidR="00726E60" w:rsidRDefault="00726E60" w:rsidP="00404E21">
            <w:pPr>
              <w:jc w:val="center"/>
              <w:rPr>
                <w:b/>
                <w:bCs/>
              </w:rPr>
            </w:pPr>
            <w:r w:rsidRPr="00F05315">
              <w:rPr>
                <w:b/>
                <w:bCs/>
              </w:rPr>
              <w:t xml:space="preserve">OTHER COMMENTS </w:t>
            </w:r>
          </w:p>
          <w:p w14:paraId="11E70908" w14:textId="77777777" w:rsidR="00726E60" w:rsidRPr="00F05315" w:rsidRDefault="00726E60" w:rsidP="00404E21">
            <w:pPr>
              <w:jc w:val="center"/>
              <w:rPr>
                <w:b/>
                <w:bCs/>
              </w:rPr>
            </w:pPr>
            <w:r w:rsidRPr="00F05315">
              <w:rPr>
                <w:b/>
                <w:bCs/>
              </w:rPr>
              <w:t xml:space="preserve">Including Continuing Professional Development </w:t>
            </w:r>
            <w:r>
              <w:rPr>
                <w:b/>
                <w:bCs/>
              </w:rPr>
              <w:t>&amp;</w:t>
            </w:r>
            <w:r w:rsidRPr="00F05315">
              <w:rPr>
                <w:b/>
                <w:bCs/>
              </w:rPr>
              <w:t xml:space="preserve"> Individual Goals</w:t>
            </w:r>
          </w:p>
        </w:tc>
      </w:tr>
      <w:tr w:rsidR="00726E60" w:rsidRPr="00F05315" w14:paraId="509CE2E9" w14:textId="77777777" w:rsidTr="00404E21">
        <w:tc>
          <w:tcPr>
            <w:tcW w:w="9330" w:type="dxa"/>
          </w:tcPr>
          <w:p w14:paraId="57233717" w14:textId="77777777" w:rsidR="00726E60" w:rsidRDefault="00726E60" w:rsidP="00404E21"/>
          <w:p w14:paraId="7D05550E" w14:textId="77777777" w:rsidR="00726E60" w:rsidRPr="002F4EC6" w:rsidRDefault="00726E60" w:rsidP="00404E21"/>
        </w:tc>
      </w:tr>
    </w:tbl>
    <w:p w14:paraId="2DB9E2FB" w14:textId="77777777" w:rsidR="00726E60" w:rsidRDefault="00726E60" w:rsidP="00726E60"/>
    <w:p w14:paraId="4F4584F5" w14:textId="77777777" w:rsidR="00726E60" w:rsidRPr="00F05315" w:rsidRDefault="00726E60" w:rsidP="00726E60"/>
    <w:tbl>
      <w:tblPr>
        <w:tblStyle w:val="TableGrid"/>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872"/>
        <w:gridCol w:w="1869"/>
        <w:gridCol w:w="1867"/>
        <w:gridCol w:w="3722"/>
      </w:tblGrid>
      <w:tr w:rsidR="00726E60" w:rsidRPr="00F05315" w14:paraId="66B64030" w14:textId="77777777" w:rsidTr="00404E21">
        <w:tc>
          <w:tcPr>
            <w:tcW w:w="9330" w:type="dxa"/>
            <w:gridSpan w:val="4"/>
          </w:tcPr>
          <w:p w14:paraId="390A99AC" w14:textId="77777777" w:rsidR="00726E60" w:rsidRPr="00F05315" w:rsidRDefault="00726E60" w:rsidP="00404E21">
            <w:pPr>
              <w:jc w:val="center"/>
              <w:rPr>
                <w:b/>
                <w:bCs/>
              </w:rPr>
            </w:pPr>
            <w:r w:rsidRPr="00F05315">
              <w:rPr>
                <w:b/>
                <w:bCs/>
              </w:rPr>
              <w:t>POST-TENURE REVIEW</w:t>
            </w:r>
          </w:p>
        </w:tc>
      </w:tr>
      <w:tr w:rsidR="00726E60" w:rsidRPr="00F05315" w14:paraId="67078BC5" w14:textId="77777777" w:rsidTr="00404E21">
        <w:tc>
          <w:tcPr>
            <w:tcW w:w="9330" w:type="dxa"/>
            <w:gridSpan w:val="4"/>
          </w:tcPr>
          <w:p w14:paraId="78C95012" w14:textId="77777777" w:rsidR="00726E60" w:rsidRPr="007D07B9" w:rsidRDefault="00726E60" w:rsidP="00404E21">
            <w:pPr>
              <w:rPr>
                <w:sz w:val="22"/>
                <w:szCs w:val="22"/>
              </w:rPr>
            </w:pPr>
            <w:r w:rsidRPr="007D07B9">
              <w:rPr>
                <w:sz w:val="22"/>
                <w:szCs w:val="22"/>
              </w:rPr>
              <w:t xml:space="preserve">The post-tenure review process at WKU is built upon the annual evaluation process. </w:t>
            </w:r>
          </w:p>
          <w:p w14:paraId="5E11AC30" w14:textId="77777777" w:rsidR="00726E60" w:rsidRPr="00F05315" w:rsidRDefault="00726E60" w:rsidP="00404E21">
            <w:pPr>
              <w:rPr>
                <w:i/>
                <w:iCs/>
              </w:rPr>
            </w:pPr>
            <w:r w:rsidRPr="007D07B9">
              <w:rPr>
                <w:sz w:val="22"/>
                <w:szCs w:val="22"/>
              </w:rPr>
              <w:t xml:space="preserve">The department chair/director should explicitly address the post-tenure review goals of commending and recognizing superior performance, encouraging, and facilitating improvement whenever necessary, maximizing opportunities for continuing professional development, and advancing attainment of institutional goals. </w:t>
            </w:r>
            <w:r>
              <w:rPr>
                <w:sz w:val="22"/>
                <w:szCs w:val="22"/>
              </w:rPr>
              <w:t xml:space="preserve">(See </w:t>
            </w:r>
            <w:r w:rsidRPr="007F0993">
              <w:rPr>
                <w:i/>
                <w:iCs/>
                <w:sz w:val="22"/>
                <w:szCs w:val="22"/>
              </w:rPr>
              <w:t>Faculty Handbook</w:t>
            </w:r>
            <w:r>
              <w:rPr>
                <w:sz w:val="22"/>
                <w:szCs w:val="22"/>
              </w:rPr>
              <w:t>, Section VI)</w:t>
            </w:r>
          </w:p>
        </w:tc>
      </w:tr>
      <w:tr w:rsidR="00726E60" w:rsidRPr="00F05315" w14:paraId="7317000F" w14:textId="77777777" w:rsidTr="00404E21">
        <w:tc>
          <w:tcPr>
            <w:tcW w:w="9330" w:type="dxa"/>
            <w:gridSpan w:val="4"/>
          </w:tcPr>
          <w:p w14:paraId="2789F8B5" w14:textId="6526C9B0" w:rsidR="00726E60" w:rsidRPr="00F05315" w:rsidRDefault="00726E60" w:rsidP="00404E21">
            <w:pPr>
              <w:jc w:val="center"/>
              <w:rPr>
                <w:b/>
                <w:bCs/>
              </w:rPr>
            </w:pPr>
            <w:r w:rsidRPr="00F05315">
              <w:rPr>
                <w:b/>
                <w:bCs/>
              </w:rPr>
              <w:t xml:space="preserve">Chair/Director Comment/Evaluation/Plans for </w:t>
            </w:r>
            <w:r w:rsidR="00411440">
              <w:rPr>
                <w:b/>
                <w:bCs/>
              </w:rPr>
              <w:t>I</w:t>
            </w:r>
            <w:r w:rsidRPr="00F05315">
              <w:rPr>
                <w:b/>
                <w:bCs/>
              </w:rPr>
              <w:t>mprovement</w:t>
            </w:r>
          </w:p>
        </w:tc>
      </w:tr>
      <w:tr w:rsidR="00726E60" w:rsidRPr="00F05315" w14:paraId="37E6041F" w14:textId="77777777" w:rsidTr="00404E21">
        <w:tc>
          <w:tcPr>
            <w:tcW w:w="9330" w:type="dxa"/>
            <w:gridSpan w:val="4"/>
          </w:tcPr>
          <w:p w14:paraId="546A2427" w14:textId="77777777" w:rsidR="00726E60" w:rsidRDefault="00726E60" w:rsidP="00404E21"/>
          <w:p w14:paraId="06F9CACE" w14:textId="77777777" w:rsidR="00726E60" w:rsidRPr="002F4EC6" w:rsidRDefault="00726E60" w:rsidP="00404E21"/>
        </w:tc>
      </w:tr>
      <w:tr w:rsidR="00726E60" w:rsidRPr="00B0004F" w14:paraId="70EE76DE" w14:textId="77777777" w:rsidTr="00411440">
        <w:trPr>
          <w:gridAfter w:val="1"/>
          <w:wAfter w:w="3722" w:type="dxa"/>
          <w:trHeight w:val="375"/>
        </w:trPr>
        <w:tc>
          <w:tcPr>
            <w:tcW w:w="1872" w:type="dxa"/>
            <w:vAlign w:val="center"/>
          </w:tcPr>
          <w:p w14:paraId="0E38F773" w14:textId="77777777" w:rsidR="00726E60" w:rsidRPr="00B0004F" w:rsidRDefault="00726E60" w:rsidP="00411440">
            <w:pPr>
              <w:jc w:val="center"/>
            </w:pPr>
            <w:r>
              <w:t>S</w:t>
            </w:r>
            <w:r w:rsidRPr="00B0004F">
              <w:t>atisfactory</w:t>
            </w:r>
          </w:p>
        </w:tc>
        <w:tc>
          <w:tcPr>
            <w:tcW w:w="1869" w:type="dxa"/>
            <w:vAlign w:val="center"/>
          </w:tcPr>
          <w:p w14:paraId="3A79B69E" w14:textId="77777777" w:rsidR="00726E60" w:rsidRPr="00B65B34" w:rsidRDefault="00726E60" w:rsidP="00411440">
            <w:pPr>
              <w:jc w:val="center"/>
            </w:pPr>
            <w:r w:rsidRPr="00B65B34">
              <w:t>Unsatisfactory</w:t>
            </w:r>
          </w:p>
        </w:tc>
        <w:tc>
          <w:tcPr>
            <w:tcW w:w="1867" w:type="dxa"/>
            <w:vAlign w:val="center"/>
          </w:tcPr>
          <w:p w14:paraId="6A5F9BF2" w14:textId="77777777" w:rsidR="00726E60" w:rsidRPr="00B0004F" w:rsidRDefault="00726E60" w:rsidP="00411440">
            <w:pPr>
              <w:jc w:val="center"/>
            </w:pPr>
            <w:r>
              <w:t>N/A Untenured</w:t>
            </w:r>
          </w:p>
        </w:tc>
      </w:tr>
    </w:tbl>
    <w:p w14:paraId="777C0000" w14:textId="77777777" w:rsidR="00726E60" w:rsidRDefault="00726E60"/>
    <w:sectPr w:rsidR="00726E60" w:rsidSect="00726E60">
      <w:headerReference w:type="default" r:id="rId7"/>
      <w:footerReference w:type="even" r:id="rId8"/>
      <w:footerReference w:type="default" r:id="rId9"/>
      <w:pgSz w:w="12240" w:h="15840"/>
      <w:pgMar w:top="149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43D6" w14:textId="77777777" w:rsidR="00676F65" w:rsidRDefault="00676F65" w:rsidP="00726E60">
      <w:r>
        <w:separator/>
      </w:r>
    </w:p>
  </w:endnote>
  <w:endnote w:type="continuationSeparator" w:id="0">
    <w:p w14:paraId="2C005194" w14:textId="77777777" w:rsidR="00676F65" w:rsidRDefault="00676F65" w:rsidP="0072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984981"/>
      <w:docPartObj>
        <w:docPartGallery w:val="Page Numbers (Bottom of Page)"/>
        <w:docPartUnique/>
      </w:docPartObj>
    </w:sdtPr>
    <w:sdtContent>
      <w:p w14:paraId="09139BFC" w14:textId="3934021A" w:rsidR="00CB3A44" w:rsidRDefault="00CB3A44" w:rsidP="006E6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50C147" w14:textId="77777777" w:rsidR="00CB3A44" w:rsidRDefault="00CB3A44" w:rsidP="00CB3A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809851"/>
      <w:docPartObj>
        <w:docPartGallery w:val="Page Numbers (Bottom of Page)"/>
        <w:docPartUnique/>
      </w:docPartObj>
    </w:sdtPr>
    <w:sdtContent>
      <w:p w14:paraId="15A3CADB" w14:textId="09B45D4C" w:rsidR="00CB3A44" w:rsidRDefault="00CB3A44" w:rsidP="006E60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7B20BD" w14:textId="54C8F9FB" w:rsidR="00CB3A44" w:rsidRDefault="00CB3A44" w:rsidP="00CB3A44">
    <w:pPr>
      <w:pStyle w:val="Footer"/>
      <w:ind w:right="360"/>
      <w:jc w:val="right"/>
    </w:pPr>
    <w:r>
      <w:t>CEBS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67FB" w14:textId="77777777" w:rsidR="00676F65" w:rsidRDefault="00676F65" w:rsidP="00726E60">
      <w:r>
        <w:separator/>
      </w:r>
    </w:p>
  </w:footnote>
  <w:footnote w:type="continuationSeparator" w:id="0">
    <w:p w14:paraId="467FB1AA" w14:textId="77777777" w:rsidR="00676F65" w:rsidRDefault="00676F65" w:rsidP="0072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3E4B" w14:textId="7F35A221" w:rsidR="00726E60" w:rsidRDefault="00726E60">
    <w:pPr>
      <w:pStyle w:val="Header"/>
    </w:pPr>
    <w:r>
      <w:rPr>
        <w:noProof/>
      </w:rPr>
      <w:drawing>
        <wp:inline distT="0" distB="0" distL="0" distR="0" wp14:anchorId="69F8880D" wp14:editId="7E8857C6">
          <wp:extent cx="2526883" cy="370390"/>
          <wp:effectExtent l="0" t="0" r="635" b="0"/>
          <wp:docPr id="420760259"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26883" cy="370390"/>
                  </a:xfrm>
                  <a:prstGeom prst="rect">
                    <a:avLst/>
                  </a:prstGeom>
                </pic:spPr>
              </pic:pic>
            </a:graphicData>
          </a:graphic>
        </wp:inline>
      </w:drawing>
    </w:r>
    <w:r>
      <w:tab/>
    </w:r>
    <w:sdt>
      <w:sdtPr>
        <w:id w:val="-1023089623"/>
        <w:docPartObj>
          <w:docPartGallery w:val="Page Numbers (Top of Page)"/>
          <w:docPartUnique/>
        </w:docPartObj>
      </w:sdtPr>
      <w:sdtContent>
        <w:r w:rsidR="003371DE">
          <w:t xml:space="preserve">    </w:t>
        </w:r>
        <w:r w:rsidRPr="005F321E">
          <w:rPr>
            <w:b/>
            <w:bCs/>
            <w:sz w:val="42"/>
            <w:szCs w:val="42"/>
          </w:rPr>
          <w:t>Annual Evaluation of Faculty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0E3E"/>
    <w:multiLevelType w:val="hybridMultilevel"/>
    <w:tmpl w:val="3AF8C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84484"/>
    <w:multiLevelType w:val="hybridMultilevel"/>
    <w:tmpl w:val="C9C66056"/>
    <w:lvl w:ilvl="0" w:tplc="04090001">
      <w:start w:val="1"/>
      <w:numFmt w:val="bullet"/>
      <w:lvlText w:val=""/>
      <w:lvlJc w:val="left"/>
      <w:pPr>
        <w:ind w:left="36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5B3B38"/>
    <w:multiLevelType w:val="hybridMultilevel"/>
    <w:tmpl w:val="3A621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2988035">
    <w:abstractNumId w:val="0"/>
  </w:num>
  <w:num w:numId="2" w16cid:durableId="1896501217">
    <w:abstractNumId w:val="2"/>
  </w:num>
  <w:num w:numId="3" w16cid:durableId="100043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60"/>
    <w:rsid w:val="001F315D"/>
    <w:rsid w:val="002D05B6"/>
    <w:rsid w:val="003371DE"/>
    <w:rsid w:val="00396DD6"/>
    <w:rsid w:val="003E032C"/>
    <w:rsid w:val="004002A2"/>
    <w:rsid w:val="00411440"/>
    <w:rsid w:val="00436278"/>
    <w:rsid w:val="00471CAE"/>
    <w:rsid w:val="005F321E"/>
    <w:rsid w:val="00676F65"/>
    <w:rsid w:val="00726E60"/>
    <w:rsid w:val="00737215"/>
    <w:rsid w:val="00B8484C"/>
    <w:rsid w:val="00CB3A44"/>
    <w:rsid w:val="00E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FDBE6"/>
  <w15:chartTrackingRefBased/>
  <w15:docId w15:val="{AA366D0A-A4D2-8247-9DFF-A9C2A421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6E60"/>
    <w:pPr>
      <w:ind w:left="720"/>
      <w:contextualSpacing/>
    </w:pPr>
  </w:style>
  <w:style w:type="table" w:styleId="TableGrid">
    <w:name w:val="Table Grid"/>
    <w:basedOn w:val="TableNormal"/>
    <w:uiPriority w:val="39"/>
    <w:rsid w:val="00726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726E60"/>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726E6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26E60"/>
    <w:pPr>
      <w:tabs>
        <w:tab w:val="center" w:pos="4680"/>
        <w:tab w:val="right" w:pos="9360"/>
      </w:tabs>
    </w:pPr>
  </w:style>
  <w:style w:type="character" w:customStyle="1" w:styleId="HeaderChar">
    <w:name w:val="Header Char"/>
    <w:basedOn w:val="DefaultParagraphFont"/>
    <w:link w:val="Header"/>
    <w:uiPriority w:val="99"/>
    <w:rsid w:val="00726E60"/>
  </w:style>
  <w:style w:type="paragraph" w:styleId="Footer">
    <w:name w:val="footer"/>
    <w:basedOn w:val="Normal"/>
    <w:link w:val="FooterChar"/>
    <w:uiPriority w:val="99"/>
    <w:unhideWhenUsed/>
    <w:rsid w:val="00726E60"/>
    <w:pPr>
      <w:tabs>
        <w:tab w:val="center" w:pos="4680"/>
        <w:tab w:val="right" w:pos="9360"/>
      </w:tabs>
    </w:pPr>
  </w:style>
  <w:style w:type="character" w:customStyle="1" w:styleId="FooterChar">
    <w:name w:val="Footer Char"/>
    <w:basedOn w:val="DefaultParagraphFont"/>
    <w:link w:val="Footer"/>
    <w:uiPriority w:val="99"/>
    <w:rsid w:val="00726E60"/>
  </w:style>
  <w:style w:type="character" w:styleId="PageNumber">
    <w:name w:val="page number"/>
    <w:basedOn w:val="DefaultParagraphFont"/>
    <w:uiPriority w:val="99"/>
    <w:semiHidden/>
    <w:unhideWhenUsed/>
    <w:rsid w:val="00CB3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842</Words>
  <Characters>4800</Characters>
  <Application>Microsoft Office Word</Application>
  <DocSecurity>0</DocSecurity>
  <Lines>40</Lines>
  <Paragraphs>11</Paragraphs>
  <ScaleCrop>false</ScaleCrop>
  <Company>WKU</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Rob</dc:creator>
  <cp:keywords/>
  <dc:description/>
  <cp:lastModifiedBy>Hale, Rob</cp:lastModifiedBy>
  <cp:revision>7</cp:revision>
  <dcterms:created xsi:type="dcterms:W3CDTF">2024-06-13T16:24:00Z</dcterms:created>
  <dcterms:modified xsi:type="dcterms:W3CDTF">2024-06-18T16:29:00Z</dcterms:modified>
</cp:coreProperties>
</file>