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9C" w:rsidRDefault="0065229C">
      <w:pPr>
        <w:pStyle w:val="Title"/>
        <w:tabs>
          <w:tab w:val="clear" w:pos="540"/>
          <w:tab w:val="left" w:pos="360"/>
        </w:tabs>
        <w:rPr>
          <w:sz w:val="24"/>
        </w:rPr>
      </w:pPr>
      <w:r>
        <w:rPr>
          <w:sz w:val="24"/>
        </w:rPr>
        <w:t>EXECUTIVE SUMMARY</w:t>
      </w:r>
    </w:p>
    <w:p w:rsidR="0065229C" w:rsidRDefault="0065229C">
      <w:pPr>
        <w:pStyle w:val="Title"/>
        <w:tabs>
          <w:tab w:val="clear" w:pos="540"/>
          <w:tab w:val="left" w:pos="360"/>
        </w:tabs>
        <w:rPr>
          <w:sz w:val="24"/>
        </w:rPr>
      </w:pPr>
    </w:p>
    <w:p w:rsidR="00A17B01" w:rsidRDefault="00A17B01">
      <w:pPr>
        <w:pStyle w:val="Title"/>
        <w:tabs>
          <w:tab w:val="clear" w:pos="540"/>
          <w:tab w:val="left" w:pos="360"/>
        </w:tabs>
        <w:rPr>
          <w:sz w:val="24"/>
        </w:rPr>
      </w:pPr>
    </w:p>
    <w:p w:rsidR="00A17B01" w:rsidRDefault="00A17B01" w:rsidP="00A17B01">
      <w:pPr>
        <w:ind w:left="1008" w:right="864"/>
        <w:jc w:val="both"/>
        <w:rPr>
          <w:color w:val="000000"/>
          <w:sz w:val="22"/>
          <w:szCs w:val="22"/>
        </w:rPr>
      </w:pPr>
      <w:r>
        <w:rPr>
          <w:color w:val="000000"/>
          <w:sz w:val="22"/>
          <w:szCs w:val="22"/>
        </w:rPr>
        <w:t>Economic development and higher education cannot be mutually exclusive terms, particularly at a time when the world and the nation are slowly moving from the wreckage of a deep recession.  If history has taught us anything, higher education can provide the means for a community, a region or a country to reinvent, re-tool or re-think its prime industries and economy.  Talented human capital in the form of a college-educated community population can provide the impetus for writing a new chapter in the success of a community’s economic viability, and, ultimately its economic vitality.</w:t>
      </w:r>
    </w:p>
    <w:p w:rsidR="00A17B01" w:rsidRPr="00F13D1F" w:rsidRDefault="00A17B01" w:rsidP="00A17B01">
      <w:pPr>
        <w:ind w:left="1440"/>
        <w:jc w:val="both"/>
        <w:rPr>
          <w:color w:val="000000"/>
          <w:sz w:val="22"/>
          <w:szCs w:val="22"/>
        </w:rPr>
      </w:pPr>
    </w:p>
    <w:p w:rsidR="00A17B01" w:rsidRDefault="00A17B01" w:rsidP="00A17B01">
      <w:pPr>
        <w:jc w:val="both"/>
        <w:rPr>
          <w:color w:val="000000"/>
          <w:sz w:val="22"/>
        </w:rPr>
      </w:pPr>
      <w:r>
        <w:rPr>
          <w:color w:val="000000"/>
          <w:sz w:val="22"/>
        </w:rPr>
        <w:tab/>
      </w:r>
      <w:r>
        <w:rPr>
          <w:color w:val="000000"/>
          <w:sz w:val="22"/>
        </w:rPr>
        <w:tab/>
      </w:r>
      <w:r>
        <w:rPr>
          <w:color w:val="000000"/>
          <w:sz w:val="22"/>
        </w:rPr>
        <w:tab/>
        <w:t xml:space="preserve">           </w:t>
      </w:r>
      <w:r>
        <w:rPr>
          <w:color w:val="000000"/>
          <w:sz w:val="22"/>
        </w:rPr>
        <w:tab/>
        <w:t>Dr. Milton D. Glick, President, University of Nevada, Reno</w:t>
      </w:r>
    </w:p>
    <w:p w:rsidR="00A17B01" w:rsidRDefault="00A17B01" w:rsidP="00A17B01">
      <w:pPr>
        <w:jc w:val="both"/>
        <w:rPr>
          <w:color w:val="000000"/>
          <w:sz w:val="22"/>
        </w:rPr>
      </w:pPr>
      <w:r>
        <w:rPr>
          <w:color w:val="000000"/>
          <w:sz w:val="22"/>
        </w:rPr>
        <w:tab/>
      </w:r>
      <w:r>
        <w:rPr>
          <w:color w:val="000000"/>
          <w:sz w:val="22"/>
        </w:rPr>
        <w:tab/>
      </w:r>
      <w:r>
        <w:rPr>
          <w:color w:val="000000"/>
          <w:sz w:val="22"/>
        </w:rPr>
        <w:tab/>
      </w:r>
      <w:r>
        <w:rPr>
          <w:color w:val="000000"/>
          <w:sz w:val="22"/>
        </w:rPr>
        <w:tab/>
        <w:t>October 2009</w:t>
      </w:r>
    </w:p>
    <w:p w:rsidR="00A17B01" w:rsidRDefault="00A17B01" w:rsidP="00A17B01">
      <w:pPr>
        <w:pStyle w:val="Title"/>
        <w:tabs>
          <w:tab w:val="clear" w:pos="540"/>
          <w:tab w:val="left" w:pos="360"/>
        </w:tabs>
        <w:jc w:val="left"/>
        <w:rPr>
          <w:sz w:val="24"/>
        </w:rPr>
      </w:pPr>
    </w:p>
    <w:p w:rsidR="00A17B01" w:rsidRDefault="00A17B01" w:rsidP="004350B9">
      <w:pPr>
        <w:pStyle w:val="Title"/>
        <w:tabs>
          <w:tab w:val="clear" w:pos="540"/>
          <w:tab w:val="left" w:pos="360"/>
        </w:tabs>
        <w:jc w:val="left"/>
        <w:rPr>
          <w:i/>
          <w:sz w:val="24"/>
        </w:rPr>
      </w:pPr>
    </w:p>
    <w:p w:rsidR="004350B9" w:rsidRDefault="00A9376A" w:rsidP="004350B9">
      <w:pPr>
        <w:pStyle w:val="Title"/>
        <w:tabs>
          <w:tab w:val="clear" w:pos="540"/>
          <w:tab w:val="left" w:pos="360"/>
        </w:tabs>
        <w:jc w:val="left"/>
        <w:rPr>
          <w:i/>
          <w:sz w:val="24"/>
        </w:rPr>
      </w:pPr>
      <w:r>
        <w:rPr>
          <w:i/>
          <w:sz w:val="24"/>
        </w:rPr>
        <w:t>2010 Extraordinary Session</w:t>
      </w:r>
    </w:p>
    <w:p w:rsidR="00A9376A" w:rsidRDefault="00A9376A" w:rsidP="004350B9">
      <w:pPr>
        <w:pStyle w:val="Title"/>
        <w:tabs>
          <w:tab w:val="clear" w:pos="540"/>
          <w:tab w:val="left" w:pos="360"/>
        </w:tabs>
        <w:jc w:val="left"/>
        <w:rPr>
          <w:i/>
          <w:sz w:val="24"/>
        </w:rPr>
      </w:pPr>
    </w:p>
    <w:p w:rsidR="00A9376A" w:rsidRPr="00C75EDE" w:rsidRDefault="00A9376A" w:rsidP="000B562D">
      <w:pPr>
        <w:pStyle w:val="Title"/>
        <w:tabs>
          <w:tab w:val="clear" w:pos="540"/>
          <w:tab w:val="left" w:pos="360"/>
        </w:tabs>
        <w:jc w:val="both"/>
        <w:rPr>
          <w:b w:val="0"/>
          <w:sz w:val="23"/>
          <w:szCs w:val="23"/>
        </w:rPr>
      </w:pPr>
      <w:r w:rsidRPr="00C75EDE">
        <w:rPr>
          <w:b w:val="0"/>
          <w:sz w:val="23"/>
          <w:szCs w:val="23"/>
        </w:rPr>
        <w:t xml:space="preserve">Governor Steven L. Beshear called a Special Session of the General Assembly to include, among a short list of priorities, the approval of an Executive Budget for 2010-12.  Through the 2010 Regular Session, there was an expectation that </w:t>
      </w:r>
      <w:r w:rsidR="003C421F" w:rsidRPr="00C75EDE">
        <w:rPr>
          <w:b w:val="0"/>
          <w:sz w:val="23"/>
          <w:szCs w:val="23"/>
        </w:rPr>
        <w:t>the biennial</w:t>
      </w:r>
      <w:r w:rsidRPr="00C75EDE">
        <w:rPr>
          <w:b w:val="0"/>
          <w:sz w:val="23"/>
          <w:szCs w:val="23"/>
        </w:rPr>
        <w:t xml:space="preserve"> budget would include state funding reductions across </w:t>
      </w:r>
      <w:r w:rsidR="003C421F" w:rsidRPr="00C75EDE">
        <w:rPr>
          <w:b w:val="0"/>
          <w:sz w:val="23"/>
          <w:szCs w:val="23"/>
        </w:rPr>
        <w:t>most</w:t>
      </w:r>
      <w:r w:rsidRPr="00C75EDE">
        <w:rPr>
          <w:b w:val="0"/>
          <w:sz w:val="23"/>
          <w:szCs w:val="23"/>
        </w:rPr>
        <w:t xml:space="preserve"> of state government. </w:t>
      </w:r>
      <w:r w:rsidR="00E54271" w:rsidRPr="00C75EDE">
        <w:rPr>
          <w:b w:val="0"/>
          <w:sz w:val="23"/>
          <w:szCs w:val="23"/>
        </w:rPr>
        <w:t xml:space="preserve">It was anticipated that the </w:t>
      </w:r>
      <w:r w:rsidRPr="00C75EDE">
        <w:rPr>
          <w:b w:val="0"/>
          <w:sz w:val="23"/>
          <w:szCs w:val="23"/>
        </w:rPr>
        <w:t xml:space="preserve">budget </w:t>
      </w:r>
      <w:r w:rsidR="003C421F" w:rsidRPr="00C75EDE">
        <w:rPr>
          <w:b w:val="0"/>
          <w:sz w:val="23"/>
          <w:szCs w:val="23"/>
        </w:rPr>
        <w:t>had to</w:t>
      </w:r>
      <w:r w:rsidRPr="00C75EDE">
        <w:rPr>
          <w:b w:val="0"/>
          <w:sz w:val="23"/>
          <w:szCs w:val="23"/>
        </w:rPr>
        <w:t xml:space="preserve"> address a nearly $1.5 billion </w:t>
      </w:r>
      <w:r w:rsidR="003C421F" w:rsidRPr="00C75EDE">
        <w:rPr>
          <w:b w:val="0"/>
          <w:sz w:val="23"/>
          <w:szCs w:val="23"/>
        </w:rPr>
        <w:t xml:space="preserve">projected </w:t>
      </w:r>
      <w:r w:rsidRPr="00C75EDE">
        <w:rPr>
          <w:b w:val="0"/>
          <w:sz w:val="23"/>
          <w:szCs w:val="23"/>
        </w:rPr>
        <w:t xml:space="preserve">shortfall </w:t>
      </w:r>
      <w:r w:rsidR="003C421F" w:rsidRPr="00C75EDE">
        <w:rPr>
          <w:b w:val="0"/>
          <w:sz w:val="23"/>
          <w:szCs w:val="23"/>
        </w:rPr>
        <w:t xml:space="preserve">in General Fund receipts </w:t>
      </w:r>
      <w:r w:rsidRPr="00C75EDE">
        <w:rPr>
          <w:b w:val="0"/>
          <w:sz w:val="23"/>
          <w:szCs w:val="23"/>
        </w:rPr>
        <w:t xml:space="preserve">over the next two years. </w:t>
      </w:r>
    </w:p>
    <w:p w:rsidR="00A9376A" w:rsidRPr="00C75EDE" w:rsidRDefault="00E54271" w:rsidP="000B562D">
      <w:pPr>
        <w:spacing w:before="100" w:beforeAutospacing="1" w:after="100" w:afterAutospacing="1"/>
        <w:jc w:val="both"/>
        <w:rPr>
          <w:sz w:val="23"/>
          <w:szCs w:val="23"/>
        </w:rPr>
      </w:pPr>
      <w:r w:rsidRPr="00C75EDE">
        <w:rPr>
          <w:sz w:val="23"/>
          <w:szCs w:val="23"/>
        </w:rPr>
        <w:t xml:space="preserve">House Bill 1 was </w:t>
      </w:r>
      <w:r w:rsidR="009A061C" w:rsidRPr="00C75EDE">
        <w:rPr>
          <w:sz w:val="23"/>
          <w:szCs w:val="23"/>
        </w:rPr>
        <w:t>enact</w:t>
      </w:r>
      <w:r w:rsidRPr="00C75EDE">
        <w:rPr>
          <w:sz w:val="23"/>
          <w:szCs w:val="23"/>
        </w:rPr>
        <w:t xml:space="preserve">ed by the General Assembly during the Special Session.  </w:t>
      </w:r>
      <w:r w:rsidR="00A9376A" w:rsidRPr="00C75EDE">
        <w:rPr>
          <w:sz w:val="23"/>
          <w:szCs w:val="23"/>
        </w:rPr>
        <w:t xml:space="preserve">Overall, most state agencies </w:t>
      </w:r>
      <w:r w:rsidRPr="00C75EDE">
        <w:rPr>
          <w:sz w:val="23"/>
          <w:szCs w:val="23"/>
        </w:rPr>
        <w:t>will receive</w:t>
      </w:r>
      <w:r w:rsidR="00A9376A" w:rsidRPr="00C75EDE">
        <w:rPr>
          <w:sz w:val="23"/>
          <w:szCs w:val="23"/>
        </w:rPr>
        <w:t xml:space="preserve"> a 3.5 percent </w:t>
      </w:r>
      <w:r w:rsidRPr="00C75EDE">
        <w:rPr>
          <w:sz w:val="23"/>
          <w:szCs w:val="23"/>
        </w:rPr>
        <w:t>state funding reduction</w:t>
      </w:r>
      <w:r w:rsidR="00A9376A" w:rsidRPr="00C75EDE">
        <w:rPr>
          <w:sz w:val="23"/>
          <w:szCs w:val="23"/>
        </w:rPr>
        <w:t xml:space="preserve"> in the first year and a</w:t>
      </w:r>
      <w:r w:rsidRPr="00C75EDE">
        <w:rPr>
          <w:sz w:val="23"/>
          <w:szCs w:val="23"/>
        </w:rPr>
        <w:t>n additional</w:t>
      </w:r>
      <w:r w:rsidR="00A9376A" w:rsidRPr="00C75EDE">
        <w:rPr>
          <w:sz w:val="23"/>
          <w:szCs w:val="23"/>
        </w:rPr>
        <w:t xml:space="preserve"> </w:t>
      </w:r>
      <w:r w:rsidRPr="00C75EDE">
        <w:rPr>
          <w:sz w:val="23"/>
          <w:szCs w:val="23"/>
        </w:rPr>
        <w:t>1.0</w:t>
      </w:r>
      <w:r w:rsidR="00A9376A" w:rsidRPr="00C75EDE">
        <w:rPr>
          <w:sz w:val="23"/>
          <w:szCs w:val="23"/>
        </w:rPr>
        <w:t xml:space="preserve"> percent cut in the second year of the b</w:t>
      </w:r>
      <w:r w:rsidRPr="00C75EDE">
        <w:rPr>
          <w:sz w:val="23"/>
          <w:szCs w:val="23"/>
        </w:rPr>
        <w:t xml:space="preserve">iennium.  </w:t>
      </w:r>
      <w:r w:rsidR="00935A13" w:rsidRPr="00C75EDE">
        <w:rPr>
          <w:sz w:val="23"/>
          <w:szCs w:val="23"/>
        </w:rPr>
        <w:t>Postsecondary education remains</w:t>
      </w:r>
      <w:r w:rsidRPr="00C75EDE">
        <w:rPr>
          <w:sz w:val="23"/>
          <w:szCs w:val="23"/>
        </w:rPr>
        <w:t xml:space="preserve"> a</w:t>
      </w:r>
      <w:r w:rsidR="003C421F" w:rsidRPr="00C75EDE">
        <w:rPr>
          <w:sz w:val="23"/>
          <w:szCs w:val="23"/>
        </w:rPr>
        <w:t>n</w:t>
      </w:r>
      <w:r w:rsidRPr="00C75EDE">
        <w:rPr>
          <w:sz w:val="23"/>
          <w:szCs w:val="23"/>
        </w:rPr>
        <w:t xml:space="preserve"> </w:t>
      </w:r>
      <w:r w:rsidR="00935A13" w:rsidRPr="00C75EDE">
        <w:rPr>
          <w:sz w:val="23"/>
          <w:szCs w:val="23"/>
        </w:rPr>
        <w:t xml:space="preserve">economic </w:t>
      </w:r>
      <w:r w:rsidRPr="00C75EDE">
        <w:rPr>
          <w:sz w:val="23"/>
          <w:szCs w:val="23"/>
        </w:rPr>
        <w:t>priority for the Administration and the General Assembly as evidenced by a 1.4 percent state funding reduction in the first year and an additional 1.0 percent cut in the second year of the biennium.</w:t>
      </w:r>
    </w:p>
    <w:p w:rsidR="00A9376A" w:rsidRPr="00C75EDE" w:rsidRDefault="00A9376A" w:rsidP="004350B9">
      <w:pPr>
        <w:pStyle w:val="Title"/>
        <w:tabs>
          <w:tab w:val="clear" w:pos="540"/>
          <w:tab w:val="left" w:pos="360"/>
        </w:tabs>
        <w:jc w:val="left"/>
        <w:rPr>
          <w:b w:val="0"/>
          <w:sz w:val="23"/>
          <w:szCs w:val="23"/>
        </w:rPr>
      </w:pPr>
    </w:p>
    <w:p w:rsidR="0065229C" w:rsidRPr="00FB1CE6" w:rsidRDefault="00B42EE5">
      <w:pPr>
        <w:pStyle w:val="BodyText"/>
        <w:jc w:val="both"/>
        <w:rPr>
          <w:b/>
          <w:i/>
          <w:sz w:val="24"/>
          <w:szCs w:val="24"/>
        </w:rPr>
      </w:pPr>
      <w:r>
        <w:rPr>
          <w:b/>
          <w:i/>
          <w:sz w:val="24"/>
          <w:szCs w:val="24"/>
        </w:rPr>
        <w:t xml:space="preserve">WKU </w:t>
      </w:r>
      <w:r w:rsidR="0065229C" w:rsidRPr="00FB1CE6">
        <w:rPr>
          <w:b/>
          <w:i/>
          <w:sz w:val="24"/>
          <w:szCs w:val="24"/>
        </w:rPr>
        <w:t>20</w:t>
      </w:r>
      <w:r w:rsidR="00E672CA" w:rsidRPr="00FB1CE6">
        <w:rPr>
          <w:b/>
          <w:i/>
          <w:sz w:val="24"/>
          <w:szCs w:val="24"/>
        </w:rPr>
        <w:t>10</w:t>
      </w:r>
      <w:r w:rsidR="009A061C">
        <w:rPr>
          <w:b/>
          <w:i/>
          <w:sz w:val="24"/>
          <w:szCs w:val="24"/>
        </w:rPr>
        <w:t>-11</w:t>
      </w:r>
      <w:r w:rsidR="0065229C" w:rsidRPr="00FB1CE6">
        <w:rPr>
          <w:b/>
          <w:i/>
          <w:sz w:val="24"/>
          <w:szCs w:val="24"/>
        </w:rPr>
        <w:t xml:space="preserve"> Budget</w:t>
      </w:r>
    </w:p>
    <w:p w:rsidR="0065229C" w:rsidRPr="00A422FA" w:rsidRDefault="0065229C">
      <w:pPr>
        <w:pStyle w:val="BodyText"/>
        <w:jc w:val="both"/>
        <w:rPr>
          <w:szCs w:val="23"/>
        </w:rPr>
      </w:pPr>
    </w:p>
    <w:p w:rsidR="0065229C" w:rsidRPr="00A422FA" w:rsidRDefault="0065229C">
      <w:pPr>
        <w:pStyle w:val="BodyText"/>
        <w:tabs>
          <w:tab w:val="clear" w:pos="360"/>
          <w:tab w:val="left" w:pos="540"/>
        </w:tabs>
        <w:jc w:val="both"/>
        <w:rPr>
          <w:szCs w:val="23"/>
        </w:rPr>
      </w:pPr>
      <w:r w:rsidRPr="00A422FA">
        <w:rPr>
          <w:szCs w:val="23"/>
        </w:rPr>
        <w:t xml:space="preserve">The </w:t>
      </w:r>
      <w:r w:rsidRPr="00A422FA">
        <w:rPr>
          <w:i/>
          <w:szCs w:val="23"/>
        </w:rPr>
        <w:t>WKU 20</w:t>
      </w:r>
      <w:r w:rsidR="00E672CA" w:rsidRPr="00A422FA">
        <w:rPr>
          <w:i/>
          <w:szCs w:val="23"/>
        </w:rPr>
        <w:t>10</w:t>
      </w:r>
      <w:r w:rsidR="009A061C">
        <w:rPr>
          <w:i/>
          <w:szCs w:val="23"/>
        </w:rPr>
        <w:t>-11</w:t>
      </w:r>
      <w:r w:rsidRPr="00A422FA">
        <w:rPr>
          <w:i/>
          <w:szCs w:val="23"/>
        </w:rPr>
        <w:t xml:space="preserve"> Budget </w:t>
      </w:r>
      <w:r w:rsidRPr="00A422FA">
        <w:rPr>
          <w:szCs w:val="23"/>
        </w:rPr>
        <w:t>is WKU’s financial plan for the fi</w:t>
      </w:r>
      <w:r w:rsidR="00E672CA" w:rsidRPr="00A422FA">
        <w:rPr>
          <w:szCs w:val="23"/>
        </w:rPr>
        <w:t>scal year beginning July 1, 20</w:t>
      </w:r>
      <w:r w:rsidR="009A061C">
        <w:rPr>
          <w:szCs w:val="23"/>
        </w:rPr>
        <w:t>10</w:t>
      </w:r>
      <w:r w:rsidRPr="00A422FA">
        <w:rPr>
          <w:szCs w:val="23"/>
        </w:rPr>
        <w:t xml:space="preserve"> and ending June 30, 20</w:t>
      </w:r>
      <w:r w:rsidR="00E672CA" w:rsidRPr="00A422FA">
        <w:rPr>
          <w:szCs w:val="23"/>
        </w:rPr>
        <w:t>1</w:t>
      </w:r>
      <w:r w:rsidR="009A061C">
        <w:rPr>
          <w:szCs w:val="23"/>
        </w:rPr>
        <w:t>1</w:t>
      </w:r>
      <w:r w:rsidRPr="00A422FA">
        <w:rPr>
          <w:szCs w:val="23"/>
        </w:rPr>
        <w:t>, and it includes the</w:t>
      </w:r>
      <w:r w:rsidR="007352C6">
        <w:rPr>
          <w:szCs w:val="23"/>
        </w:rPr>
        <w:t xml:space="preserve"> </w:t>
      </w:r>
      <w:r w:rsidRPr="00A422FA">
        <w:rPr>
          <w:szCs w:val="23"/>
        </w:rPr>
        <w:t>Operating Budget and Capital Budget.  The budget document includes the following components:</w:t>
      </w:r>
    </w:p>
    <w:p w:rsidR="0065229C" w:rsidRPr="00A422FA" w:rsidRDefault="0065229C">
      <w:pPr>
        <w:pStyle w:val="BodyText"/>
        <w:jc w:val="both"/>
        <w:rPr>
          <w:szCs w:val="23"/>
        </w:rPr>
      </w:pPr>
    </w:p>
    <w:p w:rsidR="00987B32" w:rsidRPr="00A422FA" w:rsidRDefault="00987B32" w:rsidP="00987B32">
      <w:pPr>
        <w:pStyle w:val="BodyText"/>
        <w:numPr>
          <w:ilvl w:val="0"/>
          <w:numId w:val="17"/>
        </w:numPr>
        <w:tabs>
          <w:tab w:val="clear" w:pos="360"/>
          <w:tab w:val="left" w:pos="720"/>
        </w:tabs>
        <w:jc w:val="both"/>
        <w:rPr>
          <w:szCs w:val="23"/>
        </w:rPr>
      </w:pPr>
      <w:r w:rsidRPr="00A422FA">
        <w:rPr>
          <w:szCs w:val="23"/>
        </w:rPr>
        <w:t xml:space="preserve">Narratives by area that summarize Strategic Plan priorities; </w:t>
      </w:r>
    </w:p>
    <w:p w:rsidR="004D402B" w:rsidRPr="00A422FA" w:rsidRDefault="004D402B" w:rsidP="004D402B">
      <w:pPr>
        <w:pStyle w:val="BodyText"/>
        <w:numPr>
          <w:ilvl w:val="0"/>
          <w:numId w:val="17"/>
        </w:numPr>
        <w:tabs>
          <w:tab w:val="clear" w:pos="360"/>
          <w:tab w:val="left" w:pos="720"/>
        </w:tabs>
        <w:jc w:val="both"/>
        <w:rPr>
          <w:szCs w:val="23"/>
        </w:rPr>
      </w:pPr>
      <w:r w:rsidRPr="00A422FA">
        <w:rPr>
          <w:szCs w:val="23"/>
        </w:rPr>
        <w:t>Gloss</w:t>
      </w:r>
      <w:r>
        <w:rPr>
          <w:szCs w:val="23"/>
        </w:rPr>
        <w:t>ary of Terms and Abbreviations;</w:t>
      </w:r>
    </w:p>
    <w:p w:rsidR="0065229C" w:rsidRPr="00A422FA" w:rsidRDefault="0065229C" w:rsidP="00BB78D5">
      <w:pPr>
        <w:pStyle w:val="BodyText"/>
        <w:numPr>
          <w:ilvl w:val="0"/>
          <w:numId w:val="17"/>
        </w:numPr>
        <w:tabs>
          <w:tab w:val="clear" w:pos="360"/>
          <w:tab w:val="left" w:pos="720"/>
        </w:tabs>
        <w:jc w:val="both"/>
        <w:rPr>
          <w:szCs w:val="23"/>
        </w:rPr>
      </w:pPr>
      <w:r w:rsidRPr="00A422FA">
        <w:rPr>
          <w:szCs w:val="23"/>
        </w:rPr>
        <w:t>Revenue Summary;</w:t>
      </w:r>
    </w:p>
    <w:p w:rsidR="0065229C" w:rsidRDefault="0065229C" w:rsidP="00BB78D5">
      <w:pPr>
        <w:pStyle w:val="BodyText"/>
        <w:numPr>
          <w:ilvl w:val="0"/>
          <w:numId w:val="17"/>
        </w:numPr>
        <w:tabs>
          <w:tab w:val="clear" w:pos="360"/>
          <w:tab w:val="left" w:pos="720"/>
        </w:tabs>
        <w:jc w:val="both"/>
        <w:rPr>
          <w:szCs w:val="23"/>
        </w:rPr>
      </w:pPr>
      <w:r w:rsidRPr="00A422FA">
        <w:rPr>
          <w:szCs w:val="23"/>
        </w:rPr>
        <w:t>Expenditure Summary by Organizational Area (Unrestri</w:t>
      </w:r>
      <w:r w:rsidR="00BB78D5">
        <w:rPr>
          <w:szCs w:val="23"/>
        </w:rPr>
        <w:t xml:space="preserve">cted, Restricted, and Auxiliary </w:t>
      </w:r>
      <w:r w:rsidRPr="00A422FA">
        <w:rPr>
          <w:szCs w:val="23"/>
        </w:rPr>
        <w:t>Enterprises)</w:t>
      </w:r>
      <w:r w:rsidR="00BB78D5">
        <w:rPr>
          <w:szCs w:val="23"/>
        </w:rPr>
        <w:t xml:space="preserve"> </w:t>
      </w:r>
      <w:r w:rsidRPr="00A422FA">
        <w:rPr>
          <w:szCs w:val="23"/>
        </w:rPr>
        <w:t xml:space="preserve">and Program Classification Structure (PCS);  </w:t>
      </w:r>
    </w:p>
    <w:p w:rsidR="00987B32" w:rsidRPr="00A422FA" w:rsidRDefault="00987B32" w:rsidP="00987B32">
      <w:pPr>
        <w:pStyle w:val="BodyText"/>
        <w:numPr>
          <w:ilvl w:val="0"/>
          <w:numId w:val="17"/>
        </w:numPr>
        <w:tabs>
          <w:tab w:val="clear" w:pos="360"/>
          <w:tab w:val="left" w:pos="720"/>
        </w:tabs>
        <w:jc w:val="both"/>
        <w:rPr>
          <w:szCs w:val="23"/>
        </w:rPr>
      </w:pPr>
      <w:r w:rsidRPr="00A422FA">
        <w:rPr>
          <w:szCs w:val="23"/>
        </w:rPr>
        <w:t>Expenditure Detail by unit (not included in the Summary Budget)</w:t>
      </w:r>
      <w:r>
        <w:rPr>
          <w:szCs w:val="23"/>
        </w:rPr>
        <w:t>;</w:t>
      </w:r>
      <w:r w:rsidR="00814268">
        <w:rPr>
          <w:szCs w:val="23"/>
        </w:rPr>
        <w:t xml:space="preserve"> and</w:t>
      </w:r>
    </w:p>
    <w:p w:rsidR="00987B32" w:rsidRPr="00A422FA" w:rsidRDefault="00814268" w:rsidP="00987B32">
      <w:pPr>
        <w:pStyle w:val="BodyText"/>
        <w:numPr>
          <w:ilvl w:val="0"/>
          <w:numId w:val="17"/>
        </w:numPr>
        <w:tabs>
          <w:tab w:val="clear" w:pos="360"/>
          <w:tab w:val="left" w:pos="720"/>
        </w:tabs>
        <w:jc w:val="both"/>
        <w:rPr>
          <w:szCs w:val="23"/>
        </w:rPr>
      </w:pPr>
      <w:r>
        <w:rPr>
          <w:szCs w:val="23"/>
        </w:rPr>
        <w:t>Capital Budget.</w:t>
      </w:r>
    </w:p>
    <w:p w:rsidR="003B1398" w:rsidRPr="00A422FA" w:rsidRDefault="003B1398">
      <w:pPr>
        <w:pStyle w:val="BodyText"/>
        <w:tabs>
          <w:tab w:val="clear" w:pos="360"/>
          <w:tab w:val="left" w:pos="540"/>
        </w:tabs>
        <w:jc w:val="both"/>
        <w:rPr>
          <w:szCs w:val="23"/>
        </w:rPr>
      </w:pPr>
    </w:p>
    <w:p w:rsidR="0065229C" w:rsidRPr="00A422FA" w:rsidRDefault="0065229C">
      <w:pPr>
        <w:pStyle w:val="BodyText"/>
        <w:tabs>
          <w:tab w:val="clear" w:pos="360"/>
          <w:tab w:val="left" w:pos="540"/>
        </w:tabs>
        <w:jc w:val="both"/>
        <w:rPr>
          <w:szCs w:val="23"/>
        </w:rPr>
      </w:pPr>
      <w:r w:rsidRPr="00A422FA">
        <w:rPr>
          <w:szCs w:val="23"/>
        </w:rPr>
        <w:t>The Operating Budget includes Educational and General (E&amp;G) and Auxiliary Enterprises revenues and expenditures.  E&amp;G revenue consists of unrestricted revenue</w:t>
      </w:r>
      <w:r w:rsidR="002B4449">
        <w:rPr>
          <w:szCs w:val="23"/>
        </w:rPr>
        <w:t xml:space="preserve"> – primarily </w:t>
      </w:r>
      <w:r w:rsidRPr="00A422FA">
        <w:rPr>
          <w:szCs w:val="23"/>
        </w:rPr>
        <w:t>state app</w:t>
      </w:r>
      <w:r w:rsidR="002B4449">
        <w:rPr>
          <w:szCs w:val="23"/>
        </w:rPr>
        <w:t xml:space="preserve">ropriation and tuition and fees – and </w:t>
      </w:r>
      <w:r w:rsidRPr="00A422FA">
        <w:rPr>
          <w:szCs w:val="23"/>
        </w:rPr>
        <w:t xml:space="preserve">restricted revenue (e.g., federal and state funds for student financial aid and for grants and contracts).  </w:t>
      </w:r>
      <w:r w:rsidR="004F135D">
        <w:rPr>
          <w:szCs w:val="23"/>
        </w:rPr>
        <w:t xml:space="preserve">Unrestricted funds are established to account for resources which may be utilized at the discretion of the governing board.  Restricted funds </w:t>
      </w:r>
      <w:r w:rsidR="000B562D">
        <w:rPr>
          <w:szCs w:val="23"/>
        </w:rPr>
        <w:t xml:space="preserve">are separately identified resources </w:t>
      </w:r>
      <w:r w:rsidR="000B562D">
        <w:rPr>
          <w:szCs w:val="23"/>
        </w:rPr>
        <w:lastRenderedPageBreak/>
        <w:t xml:space="preserve">for which external donors or agencies place limitations on how the funds may be used. </w:t>
      </w:r>
      <w:r w:rsidRPr="00A422FA">
        <w:rPr>
          <w:szCs w:val="23"/>
        </w:rPr>
        <w:t xml:space="preserve">Auxiliary Enterprises revenue is derived from the self-supporting activities of WKU such as housing (reimbursed costs from the Student Life Foundation), food services, and bookstore operations. </w:t>
      </w:r>
    </w:p>
    <w:p w:rsidR="0065229C" w:rsidRPr="00A422FA" w:rsidRDefault="0065229C">
      <w:pPr>
        <w:pStyle w:val="BodyText"/>
        <w:tabs>
          <w:tab w:val="clear" w:pos="360"/>
          <w:tab w:val="left" w:pos="540"/>
        </w:tabs>
        <w:jc w:val="both"/>
        <w:rPr>
          <w:szCs w:val="23"/>
        </w:rPr>
      </w:pPr>
      <w:r w:rsidRPr="00A422FA">
        <w:rPr>
          <w:szCs w:val="23"/>
        </w:rPr>
        <w:t xml:space="preserve"> </w:t>
      </w:r>
    </w:p>
    <w:p w:rsidR="0065229C" w:rsidRDefault="0065229C">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
        <w:jc w:val="both"/>
        <w:rPr>
          <w:szCs w:val="23"/>
        </w:rPr>
      </w:pPr>
      <w:r w:rsidRPr="00A422FA">
        <w:rPr>
          <w:szCs w:val="23"/>
        </w:rPr>
        <w:t>The Capital Budget provides a listing of major capital and lease/purchase projects, funding sources, and the current status of these projects.  It is noted that the General Assembly authorizes a maximum funding for each project for a biennium.  However, depending on funding available, some projects may be completed at less than the authorized amount.</w:t>
      </w:r>
      <w:r w:rsidR="00035432" w:rsidRPr="00A422FA">
        <w:rPr>
          <w:szCs w:val="23"/>
        </w:rPr>
        <w:t xml:space="preserve">  Projects that are authorized but are not likely to be started in FY 201</w:t>
      </w:r>
      <w:r w:rsidR="009A061C">
        <w:rPr>
          <w:szCs w:val="23"/>
        </w:rPr>
        <w:t>1</w:t>
      </w:r>
      <w:r w:rsidR="00035432" w:rsidRPr="00A422FA">
        <w:rPr>
          <w:szCs w:val="23"/>
        </w:rPr>
        <w:t xml:space="preserve"> are separately identified.</w:t>
      </w:r>
    </w:p>
    <w:p w:rsidR="00C75EDE" w:rsidRDefault="00C75EDE">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
        <w:jc w:val="both"/>
        <w:rPr>
          <w:szCs w:val="23"/>
        </w:rPr>
      </w:pPr>
    </w:p>
    <w:p w:rsidR="00C75EDE" w:rsidRPr="00A422FA" w:rsidRDefault="00C75EDE">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
        <w:jc w:val="both"/>
        <w:rPr>
          <w:szCs w:val="23"/>
        </w:rPr>
      </w:pPr>
    </w:p>
    <w:p w:rsidR="0065229C" w:rsidRPr="00C75EDE" w:rsidRDefault="0065229C">
      <w:pPr>
        <w:pStyle w:val="BodyText"/>
        <w:jc w:val="both"/>
        <w:rPr>
          <w:b/>
          <w:i/>
          <w:sz w:val="24"/>
          <w:szCs w:val="24"/>
        </w:rPr>
      </w:pPr>
      <w:r w:rsidRPr="00C75EDE">
        <w:rPr>
          <w:b/>
          <w:i/>
          <w:sz w:val="24"/>
          <w:szCs w:val="24"/>
        </w:rPr>
        <w:t>Operating Budget Summary</w:t>
      </w:r>
    </w:p>
    <w:p w:rsidR="0065229C" w:rsidRDefault="0065229C">
      <w:pPr>
        <w:pStyle w:val="BodyText"/>
        <w:jc w:val="both"/>
        <w:rPr>
          <w:szCs w:val="23"/>
        </w:rPr>
      </w:pPr>
    </w:p>
    <w:p w:rsidR="0065229C" w:rsidRDefault="0065229C">
      <w:pPr>
        <w:pStyle w:val="BodyText"/>
        <w:tabs>
          <w:tab w:val="clear" w:pos="360"/>
          <w:tab w:val="left" w:pos="540"/>
        </w:tabs>
        <w:jc w:val="both"/>
        <w:rPr>
          <w:szCs w:val="23"/>
        </w:rPr>
      </w:pPr>
      <w:r>
        <w:rPr>
          <w:szCs w:val="23"/>
        </w:rPr>
        <w:t>The 20</w:t>
      </w:r>
      <w:r w:rsidR="00B0392F">
        <w:rPr>
          <w:szCs w:val="23"/>
        </w:rPr>
        <w:t>10</w:t>
      </w:r>
      <w:r w:rsidR="009A061C">
        <w:rPr>
          <w:szCs w:val="23"/>
        </w:rPr>
        <w:t>-11</w:t>
      </w:r>
      <w:r>
        <w:rPr>
          <w:szCs w:val="23"/>
        </w:rPr>
        <w:t xml:space="preserve"> Operating Budget and the dollar and percent increases, in comparison to the 200</w:t>
      </w:r>
      <w:r w:rsidR="00B0392F">
        <w:rPr>
          <w:szCs w:val="23"/>
        </w:rPr>
        <w:t>9</w:t>
      </w:r>
      <w:r w:rsidR="009A061C">
        <w:rPr>
          <w:szCs w:val="23"/>
        </w:rPr>
        <w:t>-10</w:t>
      </w:r>
      <w:r>
        <w:rPr>
          <w:szCs w:val="23"/>
        </w:rPr>
        <w:t xml:space="preserve"> budget, are distributed as follows:</w:t>
      </w:r>
    </w:p>
    <w:p w:rsidR="0021798C" w:rsidRDefault="0021798C">
      <w:pPr>
        <w:pStyle w:val="BodyText"/>
        <w:tabs>
          <w:tab w:val="clear" w:pos="360"/>
          <w:tab w:val="left" w:pos="540"/>
        </w:tabs>
        <w:jc w:val="both"/>
        <w:rPr>
          <w:szCs w:val="23"/>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2302"/>
        <w:gridCol w:w="1800"/>
        <w:gridCol w:w="1658"/>
      </w:tblGrid>
      <w:tr w:rsidR="0065229C" w:rsidTr="00693AA5">
        <w:trPr>
          <w:trHeight w:val="321"/>
        </w:trPr>
        <w:tc>
          <w:tcPr>
            <w:tcW w:w="3780" w:type="dxa"/>
            <w:vAlign w:val="center"/>
          </w:tcPr>
          <w:p w:rsidR="0065229C" w:rsidRPr="00460696" w:rsidRDefault="0065229C">
            <w:pPr>
              <w:pStyle w:val="BodyText"/>
              <w:jc w:val="both"/>
              <w:rPr>
                <w:szCs w:val="23"/>
              </w:rPr>
            </w:pPr>
          </w:p>
        </w:tc>
        <w:tc>
          <w:tcPr>
            <w:tcW w:w="2302" w:type="dxa"/>
            <w:shd w:val="pct15" w:color="auto" w:fill="FFFFFF"/>
            <w:vAlign w:val="center"/>
          </w:tcPr>
          <w:p w:rsidR="0065229C" w:rsidRPr="00460696" w:rsidRDefault="0065229C" w:rsidP="007A535C">
            <w:pPr>
              <w:pStyle w:val="BodyText"/>
              <w:jc w:val="center"/>
              <w:rPr>
                <w:b/>
                <w:szCs w:val="23"/>
              </w:rPr>
            </w:pPr>
            <w:r w:rsidRPr="00460696">
              <w:rPr>
                <w:b/>
                <w:szCs w:val="23"/>
              </w:rPr>
              <w:t>20</w:t>
            </w:r>
            <w:r w:rsidR="007A535C">
              <w:rPr>
                <w:b/>
                <w:szCs w:val="23"/>
              </w:rPr>
              <w:t>10</w:t>
            </w:r>
            <w:r w:rsidRPr="00460696">
              <w:rPr>
                <w:b/>
                <w:szCs w:val="23"/>
              </w:rPr>
              <w:t>-</w:t>
            </w:r>
            <w:r w:rsidR="007A535C">
              <w:rPr>
                <w:b/>
                <w:szCs w:val="23"/>
              </w:rPr>
              <w:t>11</w:t>
            </w:r>
            <w:r w:rsidRPr="00460696">
              <w:rPr>
                <w:b/>
                <w:szCs w:val="23"/>
              </w:rPr>
              <w:t xml:space="preserve"> Budget</w:t>
            </w:r>
          </w:p>
        </w:tc>
        <w:tc>
          <w:tcPr>
            <w:tcW w:w="1800" w:type="dxa"/>
            <w:vAlign w:val="center"/>
          </w:tcPr>
          <w:p w:rsidR="0065229C" w:rsidRPr="00460696" w:rsidRDefault="0065229C">
            <w:pPr>
              <w:pStyle w:val="BodyText"/>
              <w:jc w:val="center"/>
              <w:rPr>
                <w:b/>
                <w:szCs w:val="23"/>
              </w:rPr>
            </w:pPr>
            <w:r w:rsidRPr="00460696">
              <w:rPr>
                <w:b/>
                <w:szCs w:val="23"/>
              </w:rPr>
              <w:t>Dollar Increase</w:t>
            </w:r>
          </w:p>
        </w:tc>
        <w:tc>
          <w:tcPr>
            <w:tcW w:w="1658" w:type="dxa"/>
            <w:shd w:val="pct15" w:color="auto" w:fill="FFFFFF"/>
            <w:vAlign w:val="center"/>
          </w:tcPr>
          <w:p w:rsidR="0065229C" w:rsidRPr="00460696" w:rsidRDefault="0065229C" w:rsidP="00693AA5">
            <w:pPr>
              <w:pStyle w:val="BodyText"/>
              <w:tabs>
                <w:tab w:val="clear" w:pos="2160"/>
                <w:tab w:val="left" w:pos="1550"/>
              </w:tabs>
              <w:jc w:val="center"/>
              <w:rPr>
                <w:b/>
                <w:szCs w:val="23"/>
              </w:rPr>
            </w:pPr>
            <w:r w:rsidRPr="00460696">
              <w:rPr>
                <w:b/>
                <w:szCs w:val="23"/>
              </w:rPr>
              <w:t>Pct Increase</w:t>
            </w:r>
          </w:p>
        </w:tc>
      </w:tr>
      <w:tr w:rsidR="0065229C" w:rsidTr="00693AA5">
        <w:trPr>
          <w:trHeight w:val="242"/>
        </w:trPr>
        <w:tc>
          <w:tcPr>
            <w:tcW w:w="3780" w:type="dxa"/>
            <w:vAlign w:val="center"/>
          </w:tcPr>
          <w:p w:rsidR="0065229C" w:rsidRPr="00460696" w:rsidRDefault="0065229C">
            <w:pPr>
              <w:pStyle w:val="BodyText"/>
              <w:jc w:val="both"/>
              <w:rPr>
                <w:b/>
                <w:szCs w:val="23"/>
              </w:rPr>
            </w:pPr>
            <w:r w:rsidRPr="00460696">
              <w:rPr>
                <w:b/>
                <w:szCs w:val="23"/>
              </w:rPr>
              <w:t>Total Budget</w:t>
            </w:r>
          </w:p>
        </w:tc>
        <w:tc>
          <w:tcPr>
            <w:tcW w:w="2302" w:type="dxa"/>
            <w:shd w:val="pct15" w:color="auto" w:fill="FFFFFF"/>
            <w:vAlign w:val="center"/>
          </w:tcPr>
          <w:p w:rsidR="0065229C" w:rsidRPr="00460696" w:rsidRDefault="0065229C" w:rsidP="009A061C">
            <w:pPr>
              <w:pStyle w:val="BodyText"/>
              <w:jc w:val="right"/>
              <w:rPr>
                <w:szCs w:val="23"/>
              </w:rPr>
            </w:pPr>
            <w:r w:rsidRPr="00460696">
              <w:rPr>
                <w:szCs w:val="23"/>
              </w:rPr>
              <w:t>$</w:t>
            </w:r>
            <w:r w:rsidR="009A061C">
              <w:rPr>
                <w:szCs w:val="23"/>
              </w:rPr>
              <w:t>381,723</w:t>
            </w:r>
            <w:r w:rsidR="00067009" w:rsidRPr="00460696">
              <w:rPr>
                <w:szCs w:val="23"/>
              </w:rPr>
              <w:t>,</w:t>
            </w:r>
            <w:r w:rsidRPr="00460696">
              <w:rPr>
                <w:szCs w:val="23"/>
              </w:rPr>
              <w:t>000</w:t>
            </w:r>
          </w:p>
        </w:tc>
        <w:tc>
          <w:tcPr>
            <w:tcW w:w="1800" w:type="dxa"/>
            <w:vAlign w:val="center"/>
          </w:tcPr>
          <w:p w:rsidR="0065229C" w:rsidRPr="00460696" w:rsidRDefault="0065229C" w:rsidP="009A061C">
            <w:pPr>
              <w:pStyle w:val="BodyText"/>
              <w:jc w:val="right"/>
              <w:rPr>
                <w:szCs w:val="23"/>
              </w:rPr>
            </w:pPr>
            <w:r w:rsidRPr="00460696">
              <w:rPr>
                <w:szCs w:val="23"/>
              </w:rPr>
              <w:t>$</w:t>
            </w:r>
            <w:r w:rsidR="009A061C">
              <w:rPr>
                <w:szCs w:val="23"/>
              </w:rPr>
              <w:t>29,443</w:t>
            </w:r>
            <w:r w:rsidR="00067009" w:rsidRPr="00460696">
              <w:rPr>
                <w:szCs w:val="23"/>
              </w:rPr>
              <w:t>,</w:t>
            </w:r>
            <w:r w:rsidR="009A061C">
              <w:rPr>
                <w:szCs w:val="23"/>
              </w:rPr>
              <w:t>5</w:t>
            </w:r>
            <w:r w:rsidRPr="00460696">
              <w:rPr>
                <w:szCs w:val="23"/>
              </w:rPr>
              <w:t>00</w:t>
            </w:r>
          </w:p>
        </w:tc>
        <w:tc>
          <w:tcPr>
            <w:tcW w:w="1658" w:type="dxa"/>
            <w:shd w:val="pct15" w:color="auto" w:fill="FFFFFF"/>
            <w:vAlign w:val="center"/>
          </w:tcPr>
          <w:p w:rsidR="0065229C" w:rsidRPr="00460696" w:rsidRDefault="009A061C">
            <w:pPr>
              <w:pStyle w:val="BodyText"/>
              <w:jc w:val="right"/>
              <w:rPr>
                <w:szCs w:val="23"/>
              </w:rPr>
            </w:pPr>
            <w:r>
              <w:rPr>
                <w:szCs w:val="23"/>
              </w:rPr>
              <w:t>8.4</w:t>
            </w:r>
            <w:r w:rsidR="0065229C" w:rsidRPr="00460696">
              <w:rPr>
                <w:szCs w:val="23"/>
              </w:rPr>
              <w:t>%</w:t>
            </w:r>
          </w:p>
        </w:tc>
      </w:tr>
      <w:tr w:rsidR="0065229C" w:rsidTr="00693AA5">
        <w:trPr>
          <w:trHeight w:val="305"/>
        </w:trPr>
        <w:tc>
          <w:tcPr>
            <w:tcW w:w="3780" w:type="dxa"/>
            <w:vAlign w:val="center"/>
          </w:tcPr>
          <w:p w:rsidR="0065229C" w:rsidRPr="00460696" w:rsidRDefault="0065229C">
            <w:pPr>
              <w:pStyle w:val="BodyText"/>
              <w:jc w:val="both"/>
              <w:rPr>
                <w:b/>
                <w:szCs w:val="23"/>
              </w:rPr>
            </w:pPr>
            <w:r w:rsidRPr="00460696">
              <w:rPr>
                <w:b/>
                <w:szCs w:val="23"/>
              </w:rPr>
              <w:t xml:space="preserve">    Total E&amp;G</w:t>
            </w:r>
          </w:p>
        </w:tc>
        <w:tc>
          <w:tcPr>
            <w:tcW w:w="2302" w:type="dxa"/>
            <w:shd w:val="pct15" w:color="auto" w:fill="FFFFFF"/>
            <w:vAlign w:val="center"/>
          </w:tcPr>
          <w:p w:rsidR="0065229C" w:rsidRPr="00460696" w:rsidRDefault="009A061C">
            <w:pPr>
              <w:pStyle w:val="BodyText"/>
              <w:jc w:val="right"/>
              <w:rPr>
                <w:szCs w:val="23"/>
              </w:rPr>
            </w:pPr>
            <w:r>
              <w:rPr>
                <w:szCs w:val="23"/>
              </w:rPr>
              <w:t>358,685</w:t>
            </w:r>
            <w:r w:rsidR="00067009" w:rsidRPr="00460696">
              <w:rPr>
                <w:szCs w:val="23"/>
              </w:rPr>
              <w:t>,</w:t>
            </w:r>
            <w:r w:rsidR="0065229C" w:rsidRPr="00460696">
              <w:rPr>
                <w:szCs w:val="23"/>
              </w:rPr>
              <w:t>000</w:t>
            </w:r>
          </w:p>
        </w:tc>
        <w:tc>
          <w:tcPr>
            <w:tcW w:w="1800" w:type="dxa"/>
            <w:vAlign w:val="center"/>
          </w:tcPr>
          <w:p w:rsidR="0065229C" w:rsidRPr="00460696" w:rsidRDefault="009A061C" w:rsidP="009A061C">
            <w:pPr>
              <w:pStyle w:val="BodyText"/>
              <w:jc w:val="right"/>
              <w:rPr>
                <w:szCs w:val="23"/>
              </w:rPr>
            </w:pPr>
            <w:r>
              <w:rPr>
                <w:szCs w:val="23"/>
              </w:rPr>
              <w:t>28,256</w:t>
            </w:r>
            <w:r w:rsidR="0065229C" w:rsidRPr="00460696">
              <w:rPr>
                <w:szCs w:val="23"/>
              </w:rPr>
              <w:t>,</w:t>
            </w:r>
            <w:r>
              <w:rPr>
                <w:szCs w:val="23"/>
              </w:rPr>
              <w:t>7</w:t>
            </w:r>
            <w:r w:rsidR="0065229C" w:rsidRPr="00460696">
              <w:rPr>
                <w:szCs w:val="23"/>
              </w:rPr>
              <w:t>00</w:t>
            </w:r>
          </w:p>
        </w:tc>
        <w:tc>
          <w:tcPr>
            <w:tcW w:w="1658" w:type="dxa"/>
            <w:shd w:val="pct15" w:color="auto" w:fill="FFFFFF"/>
            <w:vAlign w:val="center"/>
          </w:tcPr>
          <w:p w:rsidR="0065229C" w:rsidRPr="00460696" w:rsidRDefault="007A535C">
            <w:pPr>
              <w:pStyle w:val="BodyText"/>
              <w:jc w:val="right"/>
              <w:rPr>
                <w:szCs w:val="23"/>
              </w:rPr>
            </w:pPr>
            <w:r>
              <w:rPr>
                <w:szCs w:val="23"/>
              </w:rPr>
              <w:t>8.6</w:t>
            </w:r>
            <w:r w:rsidR="0065229C" w:rsidRPr="00460696">
              <w:rPr>
                <w:szCs w:val="23"/>
              </w:rPr>
              <w:t>%</w:t>
            </w:r>
          </w:p>
        </w:tc>
      </w:tr>
      <w:tr w:rsidR="0065229C" w:rsidTr="00693AA5">
        <w:trPr>
          <w:trHeight w:val="305"/>
        </w:trPr>
        <w:tc>
          <w:tcPr>
            <w:tcW w:w="3780" w:type="dxa"/>
            <w:vAlign w:val="center"/>
          </w:tcPr>
          <w:p w:rsidR="0065229C" w:rsidRPr="00460696" w:rsidRDefault="0065229C">
            <w:pPr>
              <w:pStyle w:val="BodyText"/>
              <w:jc w:val="both"/>
              <w:rPr>
                <w:b/>
                <w:szCs w:val="23"/>
              </w:rPr>
            </w:pPr>
            <w:r w:rsidRPr="00460696">
              <w:rPr>
                <w:b/>
                <w:szCs w:val="23"/>
              </w:rPr>
              <w:t xml:space="preserve">        Unrestricted E&amp;G</w:t>
            </w:r>
          </w:p>
        </w:tc>
        <w:tc>
          <w:tcPr>
            <w:tcW w:w="2302" w:type="dxa"/>
            <w:shd w:val="pct15" w:color="auto" w:fill="FFFFFF"/>
            <w:vAlign w:val="center"/>
          </w:tcPr>
          <w:p w:rsidR="0065229C" w:rsidRPr="00460696" w:rsidRDefault="007A535C" w:rsidP="007A535C">
            <w:pPr>
              <w:pStyle w:val="BodyText"/>
              <w:jc w:val="right"/>
              <w:rPr>
                <w:szCs w:val="23"/>
              </w:rPr>
            </w:pPr>
            <w:r>
              <w:rPr>
                <w:szCs w:val="23"/>
              </w:rPr>
              <w:t>270,898</w:t>
            </w:r>
            <w:r w:rsidR="0037321A" w:rsidRPr="00460696">
              <w:rPr>
                <w:szCs w:val="23"/>
              </w:rPr>
              <w:t>,</w:t>
            </w:r>
            <w:r>
              <w:rPr>
                <w:szCs w:val="23"/>
              </w:rPr>
              <w:t>1</w:t>
            </w:r>
            <w:r w:rsidR="0065229C" w:rsidRPr="00460696">
              <w:rPr>
                <w:szCs w:val="23"/>
              </w:rPr>
              <w:t>00</w:t>
            </w:r>
          </w:p>
        </w:tc>
        <w:tc>
          <w:tcPr>
            <w:tcW w:w="1800" w:type="dxa"/>
            <w:vAlign w:val="center"/>
          </w:tcPr>
          <w:p w:rsidR="0065229C" w:rsidRPr="00460696" w:rsidRDefault="00935043" w:rsidP="00935043">
            <w:pPr>
              <w:pStyle w:val="BodyText"/>
              <w:jc w:val="right"/>
              <w:rPr>
                <w:szCs w:val="23"/>
              </w:rPr>
            </w:pPr>
            <w:r>
              <w:rPr>
                <w:szCs w:val="23"/>
              </w:rPr>
              <w:t>12,611</w:t>
            </w:r>
            <w:r w:rsidR="0037321A" w:rsidRPr="00460696">
              <w:rPr>
                <w:szCs w:val="23"/>
              </w:rPr>
              <w:t>,</w:t>
            </w:r>
            <w:r>
              <w:rPr>
                <w:szCs w:val="23"/>
              </w:rPr>
              <w:t>9</w:t>
            </w:r>
            <w:r w:rsidR="0065229C" w:rsidRPr="00460696">
              <w:rPr>
                <w:szCs w:val="23"/>
              </w:rPr>
              <w:t>00</w:t>
            </w:r>
          </w:p>
        </w:tc>
        <w:tc>
          <w:tcPr>
            <w:tcW w:w="1658" w:type="dxa"/>
            <w:shd w:val="pct15" w:color="auto" w:fill="FFFFFF"/>
            <w:vAlign w:val="center"/>
          </w:tcPr>
          <w:p w:rsidR="0065229C" w:rsidRPr="00460696" w:rsidRDefault="00935043" w:rsidP="00BE371E">
            <w:pPr>
              <w:pStyle w:val="BodyText"/>
              <w:jc w:val="right"/>
              <w:rPr>
                <w:szCs w:val="23"/>
              </w:rPr>
            </w:pPr>
            <w:r>
              <w:rPr>
                <w:szCs w:val="23"/>
              </w:rPr>
              <w:t>4.9</w:t>
            </w:r>
            <w:r w:rsidR="0065229C" w:rsidRPr="00460696">
              <w:rPr>
                <w:szCs w:val="23"/>
              </w:rPr>
              <w:t>%</w:t>
            </w:r>
          </w:p>
        </w:tc>
      </w:tr>
      <w:tr w:rsidR="0065229C" w:rsidTr="00693AA5">
        <w:trPr>
          <w:trHeight w:val="302"/>
        </w:trPr>
        <w:tc>
          <w:tcPr>
            <w:tcW w:w="3780" w:type="dxa"/>
            <w:vAlign w:val="center"/>
          </w:tcPr>
          <w:p w:rsidR="0065229C" w:rsidRPr="00460696" w:rsidRDefault="0065229C">
            <w:pPr>
              <w:pStyle w:val="BodyText"/>
              <w:jc w:val="both"/>
              <w:rPr>
                <w:b/>
                <w:szCs w:val="23"/>
              </w:rPr>
            </w:pPr>
            <w:r w:rsidRPr="00460696">
              <w:rPr>
                <w:b/>
                <w:szCs w:val="23"/>
              </w:rPr>
              <w:t xml:space="preserve">        Restricted E&amp;G</w:t>
            </w:r>
          </w:p>
        </w:tc>
        <w:tc>
          <w:tcPr>
            <w:tcW w:w="2302" w:type="dxa"/>
            <w:shd w:val="pct15" w:color="auto" w:fill="FFFFFF"/>
            <w:vAlign w:val="center"/>
          </w:tcPr>
          <w:p w:rsidR="0065229C" w:rsidRPr="00460696" w:rsidRDefault="007A535C" w:rsidP="007A535C">
            <w:pPr>
              <w:pStyle w:val="BodyText"/>
              <w:jc w:val="right"/>
              <w:rPr>
                <w:szCs w:val="23"/>
              </w:rPr>
            </w:pPr>
            <w:r>
              <w:rPr>
                <w:szCs w:val="23"/>
              </w:rPr>
              <w:t>87,786</w:t>
            </w:r>
            <w:r w:rsidR="00067009" w:rsidRPr="00460696">
              <w:rPr>
                <w:szCs w:val="23"/>
              </w:rPr>
              <w:t>,</w:t>
            </w:r>
            <w:r>
              <w:rPr>
                <w:szCs w:val="23"/>
              </w:rPr>
              <w:t>9</w:t>
            </w:r>
            <w:r w:rsidR="0065229C" w:rsidRPr="00460696">
              <w:rPr>
                <w:szCs w:val="23"/>
              </w:rPr>
              <w:t>00</w:t>
            </w:r>
          </w:p>
        </w:tc>
        <w:tc>
          <w:tcPr>
            <w:tcW w:w="1800" w:type="dxa"/>
            <w:vAlign w:val="center"/>
          </w:tcPr>
          <w:p w:rsidR="0065229C" w:rsidRPr="00460696" w:rsidRDefault="00935043" w:rsidP="00935043">
            <w:pPr>
              <w:pStyle w:val="BodyText"/>
              <w:jc w:val="right"/>
              <w:rPr>
                <w:szCs w:val="23"/>
              </w:rPr>
            </w:pPr>
            <w:r>
              <w:rPr>
                <w:szCs w:val="23"/>
              </w:rPr>
              <w:t>15,644</w:t>
            </w:r>
            <w:r w:rsidR="0065229C" w:rsidRPr="00460696">
              <w:rPr>
                <w:szCs w:val="23"/>
              </w:rPr>
              <w:t>,</w:t>
            </w:r>
            <w:r>
              <w:rPr>
                <w:szCs w:val="23"/>
              </w:rPr>
              <w:t>8</w:t>
            </w:r>
            <w:r w:rsidR="0065229C" w:rsidRPr="00460696">
              <w:rPr>
                <w:szCs w:val="23"/>
              </w:rPr>
              <w:t>00</w:t>
            </w:r>
          </w:p>
        </w:tc>
        <w:tc>
          <w:tcPr>
            <w:tcW w:w="1658" w:type="dxa"/>
            <w:shd w:val="pct15" w:color="auto" w:fill="FFFFFF"/>
            <w:vAlign w:val="center"/>
          </w:tcPr>
          <w:p w:rsidR="0065229C" w:rsidRPr="00460696" w:rsidRDefault="00935043">
            <w:pPr>
              <w:pStyle w:val="BodyText"/>
              <w:jc w:val="right"/>
              <w:rPr>
                <w:szCs w:val="23"/>
              </w:rPr>
            </w:pPr>
            <w:r>
              <w:rPr>
                <w:szCs w:val="23"/>
              </w:rPr>
              <w:t>21.7</w:t>
            </w:r>
            <w:r w:rsidR="0065229C" w:rsidRPr="00460696">
              <w:rPr>
                <w:szCs w:val="23"/>
              </w:rPr>
              <w:t>%</w:t>
            </w:r>
          </w:p>
        </w:tc>
      </w:tr>
      <w:tr w:rsidR="0065229C" w:rsidTr="00693AA5">
        <w:trPr>
          <w:trHeight w:val="338"/>
        </w:trPr>
        <w:tc>
          <w:tcPr>
            <w:tcW w:w="3780" w:type="dxa"/>
            <w:vAlign w:val="center"/>
          </w:tcPr>
          <w:p w:rsidR="0065229C" w:rsidRPr="00460696" w:rsidRDefault="00130FF7">
            <w:pPr>
              <w:pStyle w:val="BodyText"/>
              <w:jc w:val="both"/>
              <w:rPr>
                <w:b/>
                <w:szCs w:val="23"/>
              </w:rPr>
            </w:pPr>
            <w:r w:rsidRPr="00460696">
              <w:rPr>
                <w:b/>
                <w:szCs w:val="23"/>
              </w:rPr>
              <w:t xml:space="preserve">  </w:t>
            </w:r>
            <w:r w:rsidR="004D402B">
              <w:rPr>
                <w:b/>
                <w:szCs w:val="23"/>
              </w:rPr>
              <w:t xml:space="preserve">  </w:t>
            </w:r>
            <w:r w:rsidRPr="00460696">
              <w:rPr>
                <w:b/>
                <w:szCs w:val="23"/>
              </w:rPr>
              <w:t>Total Auxiliary Enterprises</w:t>
            </w:r>
          </w:p>
        </w:tc>
        <w:tc>
          <w:tcPr>
            <w:tcW w:w="2302" w:type="dxa"/>
            <w:shd w:val="pct15" w:color="auto" w:fill="FFFFFF"/>
            <w:vAlign w:val="center"/>
          </w:tcPr>
          <w:p w:rsidR="0065229C" w:rsidRPr="00460696" w:rsidRDefault="007A535C">
            <w:pPr>
              <w:pStyle w:val="BodyText"/>
              <w:jc w:val="right"/>
              <w:rPr>
                <w:szCs w:val="23"/>
              </w:rPr>
            </w:pPr>
            <w:r>
              <w:rPr>
                <w:szCs w:val="23"/>
              </w:rPr>
              <w:t>23,038</w:t>
            </w:r>
            <w:r w:rsidR="0065229C" w:rsidRPr="00460696">
              <w:rPr>
                <w:szCs w:val="23"/>
              </w:rPr>
              <w:t>,000</w:t>
            </w:r>
          </w:p>
        </w:tc>
        <w:tc>
          <w:tcPr>
            <w:tcW w:w="1800" w:type="dxa"/>
            <w:vAlign w:val="center"/>
          </w:tcPr>
          <w:p w:rsidR="0065229C" w:rsidRPr="00460696" w:rsidRDefault="00935043" w:rsidP="00935043">
            <w:pPr>
              <w:pStyle w:val="BodyText"/>
              <w:jc w:val="right"/>
              <w:rPr>
                <w:szCs w:val="23"/>
              </w:rPr>
            </w:pPr>
            <w:r>
              <w:rPr>
                <w:szCs w:val="23"/>
              </w:rPr>
              <w:t>1,186</w:t>
            </w:r>
            <w:r w:rsidR="0065229C" w:rsidRPr="00460696">
              <w:rPr>
                <w:szCs w:val="23"/>
              </w:rPr>
              <w:t>,</w:t>
            </w:r>
            <w:r>
              <w:rPr>
                <w:szCs w:val="23"/>
              </w:rPr>
              <w:t>8</w:t>
            </w:r>
            <w:r w:rsidR="0065229C" w:rsidRPr="00460696">
              <w:rPr>
                <w:szCs w:val="23"/>
              </w:rPr>
              <w:t>00</w:t>
            </w:r>
          </w:p>
        </w:tc>
        <w:tc>
          <w:tcPr>
            <w:tcW w:w="1658" w:type="dxa"/>
            <w:shd w:val="pct15" w:color="auto" w:fill="FFFFFF"/>
            <w:vAlign w:val="center"/>
          </w:tcPr>
          <w:p w:rsidR="0065229C" w:rsidRPr="00460696" w:rsidRDefault="00935043">
            <w:pPr>
              <w:pStyle w:val="BodyText"/>
              <w:jc w:val="right"/>
              <w:rPr>
                <w:szCs w:val="23"/>
              </w:rPr>
            </w:pPr>
            <w:r>
              <w:rPr>
                <w:szCs w:val="23"/>
              </w:rPr>
              <w:t>5.4</w:t>
            </w:r>
            <w:r w:rsidR="0065229C" w:rsidRPr="00460696">
              <w:rPr>
                <w:szCs w:val="23"/>
              </w:rPr>
              <w:t>%</w:t>
            </w:r>
          </w:p>
        </w:tc>
      </w:tr>
    </w:tbl>
    <w:p w:rsidR="0065229C" w:rsidRDefault="0065229C">
      <w:pPr>
        <w:pStyle w:val="BodyText"/>
        <w:jc w:val="both"/>
        <w:rPr>
          <w:b/>
          <w:szCs w:val="23"/>
          <w:u w:val="single"/>
        </w:rPr>
      </w:pPr>
    </w:p>
    <w:p w:rsidR="00654B7D" w:rsidRDefault="00654B7D">
      <w:pPr>
        <w:pStyle w:val="BodyText"/>
        <w:jc w:val="both"/>
        <w:rPr>
          <w:b/>
          <w:szCs w:val="23"/>
          <w:u w:val="single"/>
        </w:rPr>
      </w:pPr>
    </w:p>
    <w:p w:rsidR="0065229C" w:rsidRDefault="0065229C">
      <w:pPr>
        <w:pStyle w:val="BodyText"/>
        <w:jc w:val="both"/>
        <w:rPr>
          <w:b/>
          <w:szCs w:val="23"/>
          <w:u w:val="single"/>
        </w:rPr>
      </w:pPr>
      <w:r>
        <w:rPr>
          <w:b/>
          <w:szCs w:val="23"/>
          <w:u w:val="single"/>
        </w:rPr>
        <w:t>Revenue Highlights</w:t>
      </w:r>
    </w:p>
    <w:p w:rsidR="0065229C" w:rsidRDefault="0065229C">
      <w:pPr>
        <w:pStyle w:val="BodyText"/>
        <w:jc w:val="both"/>
        <w:rPr>
          <w:szCs w:val="23"/>
        </w:rPr>
      </w:pPr>
    </w:p>
    <w:p w:rsidR="00D56A3A" w:rsidRDefault="00D56A3A" w:rsidP="00D56A3A">
      <w:pPr>
        <w:pStyle w:val="BodyText"/>
        <w:jc w:val="both"/>
        <w:rPr>
          <w:szCs w:val="23"/>
        </w:rPr>
      </w:pPr>
      <w:r>
        <w:rPr>
          <w:szCs w:val="23"/>
        </w:rPr>
        <w:t>2010-11 bu</w:t>
      </w:r>
      <w:r w:rsidR="00654B7D">
        <w:rPr>
          <w:szCs w:val="23"/>
        </w:rPr>
        <w:t>dgeted revenue by source:</w:t>
      </w:r>
    </w:p>
    <w:p w:rsidR="00450E9F" w:rsidRDefault="00450E9F" w:rsidP="00D56A3A">
      <w:pPr>
        <w:pStyle w:val="BodyText"/>
        <w:jc w:val="both"/>
        <w:rPr>
          <w:szCs w:val="23"/>
        </w:rPr>
      </w:pPr>
    </w:p>
    <w:p w:rsidR="00450E9F" w:rsidRDefault="0003786C" w:rsidP="00D56A3A">
      <w:pPr>
        <w:pStyle w:val="BodyText"/>
        <w:jc w:val="both"/>
        <w:rPr>
          <w:szCs w:val="23"/>
        </w:rPr>
      </w:pPr>
      <w:r w:rsidRPr="0003786C">
        <w:rPr>
          <w:noProof/>
          <w:szCs w:val="23"/>
        </w:rPr>
        <w:drawing>
          <wp:inline distT="0" distB="0" distL="0" distR="0">
            <wp:extent cx="5943600" cy="3303270"/>
            <wp:effectExtent l="1905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6A3A" w:rsidRPr="00C75EDE" w:rsidRDefault="00D56A3A" w:rsidP="00D56A3A">
      <w:pPr>
        <w:pStyle w:val="BodyText"/>
        <w:jc w:val="center"/>
        <w:rPr>
          <w:b/>
          <w:sz w:val="22"/>
          <w:szCs w:val="22"/>
        </w:rPr>
      </w:pPr>
      <w:r w:rsidRPr="00C75EDE">
        <w:rPr>
          <w:b/>
          <w:sz w:val="22"/>
          <w:szCs w:val="22"/>
        </w:rPr>
        <w:lastRenderedPageBreak/>
        <w:t>Total Budgeted Revenue by Source</w:t>
      </w:r>
    </w:p>
    <w:p w:rsidR="00D56A3A" w:rsidRPr="00C75EDE" w:rsidRDefault="00D56A3A" w:rsidP="00D56A3A">
      <w:pPr>
        <w:pStyle w:val="BodyText"/>
        <w:tabs>
          <w:tab w:val="clear" w:pos="6120"/>
          <w:tab w:val="clear" w:pos="6840"/>
          <w:tab w:val="right" w:pos="6498"/>
          <w:tab w:val="right" w:pos="9177"/>
        </w:tabs>
        <w:jc w:val="center"/>
        <w:rPr>
          <w:b/>
          <w:sz w:val="22"/>
          <w:szCs w:val="22"/>
        </w:rPr>
      </w:pP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r w:rsidRPr="00C75EDE">
        <w:rPr>
          <w:b/>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026"/>
          <w:tab w:val="left" w:pos="1425"/>
          <w:tab w:val="left" w:pos="2223"/>
          <w:tab w:val="left" w:pos="2850"/>
          <w:tab w:val="left" w:pos="3192"/>
          <w:tab w:val="left" w:pos="4047"/>
          <w:tab w:val="left" w:pos="4731"/>
          <w:tab w:val="left" w:pos="5301"/>
          <w:tab w:val="left" w:pos="6099"/>
          <w:tab w:val="left" w:pos="6555"/>
        </w:tabs>
        <w:jc w:val="center"/>
        <w:rPr>
          <w:b/>
          <w:sz w:val="22"/>
          <w:szCs w:val="22"/>
          <w:u w:val="single"/>
        </w:rPr>
      </w:pPr>
      <w:r w:rsidRPr="00C75EDE">
        <w:rPr>
          <w:sz w:val="22"/>
          <w:szCs w:val="22"/>
        </w:rPr>
        <w:tab/>
      </w:r>
      <w:r w:rsidRPr="00C75EDE">
        <w:rPr>
          <w:sz w:val="22"/>
          <w:szCs w:val="22"/>
        </w:rPr>
        <w:tab/>
      </w:r>
      <w:r w:rsidRPr="00C75EDE">
        <w:rPr>
          <w:sz w:val="22"/>
          <w:szCs w:val="22"/>
        </w:rPr>
        <w:tab/>
      </w:r>
      <w:r w:rsidRPr="00C75EDE">
        <w:rPr>
          <w:sz w:val="22"/>
          <w:szCs w:val="22"/>
        </w:rPr>
        <w:tab/>
      </w:r>
      <w:r w:rsidRPr="00C75EDE">
        <w:rPr>
          <w:sz w:val="22"/>
          <w:szCs w:val="22"/>
        </w:rPr>
        <w:tab/>
        <w:t xml:space="preserve">    </w:t>
      </w:r>
      <w:r w:rsidRPr="00C75EDE">
        <w:rPr>
          <w:b/>
          <w:sz w:val="22"/>
          <w:szCs w:val="22"/>
          <w:u w:val="single"/>
        </w:rPr>
        <w:t>Amount</w:t>
      </w:r>
      <w:r w:rsidRPr="00C75EDE">
        <w:rPr>
          <w:sz w:val="22"/>
          <w:szCs w:val="22"/>
        </w:rPr>
        <w:tab/>
      </w:r>
      <w:r w:rsidRPr="00C75EDE">
        <w:rPr>
          <w:sz w:val="22"/>
          <w:szCs w:val="22"/>
        </w:rPr>
        <w:tab/>
      </w:r>
      <w:r w:rsidRPr="00C75EDE">
        <w:rPr>
          <w:b/>
          <w:sz w:val="22"/>
          <w:szCs w:val="22"/>
          <w:u w:val="single"/>
        </w:rPr>
        <w:t>Pct of Budget</w:t>
      </w:r>
    </w:p>
    <w:p w:rsidR="00D56A3A" w:rsidRPr="00C75EDE" w:rsidRDefault="00D56A3A" w:rsidP="00D56A3A">
      <w:pPr>
        <w:pStyle w:val="BodyText"/>
        <w:tabs>
          <w:tab w:val="clear" w:pos="6120"/>
          <w:tab w:val="clear" w:pos="6840"/>
          <w:tab w:val="right" w:pos="6498"/>
          <w:tab w:val="right" w:pos="8664"/>
        </w:tabs>
        <w:jc w:val="center"/>
        <w:rPr>
          <w:b/>
          <w:sz w:val="22"/>
          <w:szCs w:val="22"/>
        </w:rPr>
      </w:pPr>
    </w:p>
    <w:p w:rsidR="00D56A3A" w:rsidRPr="00C75EDE" w:rsidRDefault="00D56A3A" w:rsidP="00D56A3A">
      <w:pPr>
        <w:pStyle w:val="BodyText"/>
        <w:tabs>
          <w:tab w:val="clear" w:pos="360"/>
          <w:tab w:val="clear" w:pos="1440"/>
          <w:tab w:val="clear" w:pos="2160"/>
          <w:tab w:val="clear" w:pos="2880"/>
          <w:tab w:val="clear" w:pos="3600"/>
          <w:tab w:val="clear" w:pos="4320"/>
          <w:tab w:val="clear" w:pos="5040"/>
          <w:tab w:val="clear" w:pos="6120"/>
          <w:tab w:val="clear" w:pos="6840"/>
          <w:tab w:val="left" w:pos="1254"/>
          <w:tab w:val="right" w:pos="5757"/>
          <w:tab w:val="right" w:pos="7524"/>
        </w:tabs>
        <w:jc w:val="both"/>
        <w:rPr>
          <w:sz w:val="22"/>
          <w:szCs w:val="22"/>
        </w:rPr>
      </w:pPr>
      <w:r w:rsidRPr="00C75EDE">
        <w:rPr>
          <w:sz w:val="22"/>
          <w:szCs w:val="22"/>
        </w:rPr>
        <w:tab/>
        <w:t>Tuition and Fees</w:t>
      </w:r>
      <w:r w:rsidRPr="00C75EDE">
        <w:rPr>
          <w:sz w:val="22"/>
          <w:szCs w:val="22"/>
        </w:rPr>
        <w:tab/>
        <w:t>$155,685,000</w:t>
      </w:r>
      <w:r w:rsidRPr="00C75EDE">
        <w:rPr>
          <w:sz w:val="22"/>
          <w:szCs w:val="22"/>
        </w:rPr>
        <w:tab/>
        <w:t>40.8%</w:t>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State Appropriations</w:t>
      </w:r>
      <w:r w:rsidRPr="00C75EDE">
        <w:rPr>
          <w:sz w:val="22"/>
          <w:szCs w:val="22"/>
        </w:rPr>
        <w:tab/>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Operating</w:t>
      </w:r>
      <w:r w:rsidRPr="00C75EDE">
        <w:rPr>
          <w:sz w:val="22"/>
          <w:szCs w:val="22"/>
        </w:rPr>
        <w:tab/>
        <w:t>71,090,400</w:t>
      </w:r>
      <w:r w:rsidRPr="00C75EDE">
        <w:rPr>
          <w:sz w:val="22"/>
          <w:szCs w:val="22"/>
        </w:rPr>
        <w:tab/>
        <w:t>18.6</w:t>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Designated*</w:t>
      </w:r>
      <w:r w:rsidRPr="00C75EDE">
        <w:rPr>
          <w:sz w:val="22"/>
          <w:szCs w:val="22"/>
        </w:rPr>
        <w:tab/>
        <w:t>3,207,400</w:t>
      </w:r>
      <w:r w:rsidRPr="00C75EDE">
        <w:rPr>
          <w:sz w:val="22"/>
          <w:szCs w:val="22"/>
        </w:rPr>
        <w:tab/>
        <w:t>.8</w:t>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Restricted Funds</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Grants and Contracts</w:t>
      </w:r>
      <w:r w:rsidRPr="00C75EDE">
        <w:rPr>
          <w:sz w:val="22"/>
          <w:szCs w:val="22"/>
        </w:rPr>
        <w:tab/>
        <w:t>26,673,000</w:t>
      </w:r>
      <w:r w:rsidRPr="00C75EDE">
        <w:rPr>
          <w:sz w:val="22"/>
          <w:szCs w:val="22"/>
        </w:rPr>
        <w:tab/>
        <w:t>7.0</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Student Financial Aid</w:t>
      </w:r>
      <w:r w:rsidRPr="00C75EDE">
        <w:rPr>
          <w:sz w:val="22"/>
          <w:szCs w:val="22"/>
        </w:rPr>
        <w:tab/>
        <w:t>56,703,000</w:t>
      </w:r>
      <w:r w:rsidRPr="00C75EDE">
        <w:rPr>
          <w:sz w:val="22"/>
          <w:szCs w:val="22"/>
        </w:rPr>
        <w:tab/>
        <w:t>14.9</w:t>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State Fiscal Stabilization Fund</w:t>
      </w:r>
      <w:r w:rsidRPr="00C75EDE">
        <w:rPr>
          <w:sz w:val="22"/>
          <w:szCs w:val="22"/>
        </w:rPr>
        <w:tab/>
        <w:t>4,410,900</w:t>
      </w:r>
      <w:r w:rsidRPr="00C75EDE">
        <w:rPr>
          <w:sz w:val="22"/>
          <w:szCs w:val="22"/>
        </w:rPr>
        <w:tab/>
        <w:t>1.2</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Self-generated Funds </w:t>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 xml:space="preserve">  (</w:t>
      </w:r>
      <w:proofErr w:type="gramStart"/>
      <w:r w:rsidRPr="00C75EDE">
        <w:rPr>
          <w:sz w:val="22"/>
          <w:szCs w:val="22"/>
        </w:rPr>
        <w:t>including</w:t>
      </w:r>
      <w:proofErr w:type="gramEnd"/>
      <w:r w:rsidRPr="00C75EDE">
        <w:rPr>
          <w:sz w:val="22"/>
          <w:szCs w:val="22"/>
        </w:rPr>
        <w:t xml:space="preserve"> nonrecurring)</w:t>
      </w:r>
      <w:r w:rsidRPr="00C75EDE">
        <w:rPr>
          <w:sz w:val="22"/>
          <w:szCs w:val="22"/>
        </w:rPr>
        <w:tab/>
        <w:t>40,915,300</w:t>
      </w:r>
      <w:r w:rsidRPr="00C75EDE">
        <w:rPr>
          <w:sz w:val="22"/>
          <w:szCs w:val="22"/>
        </w:rPr>
        <w:tab/>
        <w:t>10.7</w:t>
      </w:r>
      <w:r w:rsidRPr="00C75EDE">
        <w:rPr>
          <w:sz w:val="22"/>
          <w:szCs w:val="22"/>
        </w:rPr>
        <w:tab/>
      </w:r>
    </w:p>
    <w:p w:rsidR="00D56A3A" w:rsidRPr="00C75EDE" w:rsidRDefault="00D56A3A" w:rsidP="00D56A3A">
      <w:pPr>
        <w:pStyle w:val="BodyText"/>
        <w:tabs>
          <w:tab w:val="clear" w:pos="1440"/>
          <w:tab w:val="clear" w:pos="2880"/>
          <w:tab w:val="clear" w:pos="3600"/>
          <w:tab w:val="clear" w:pos="4320"/>
          <w:tab w:val="clear" w:pos="5040"/>
          <w:tab w:val="clear" w:pos="6120"/>
          <w:tab w:val="clear" w:pos="6840"/>
          <w:tab w:val="left" w:pos="1254"/>
          <w:tab w:val="right" w:pos="5757"/>
          <w:tab w:val="right" w:pos="7353"/>
        </w:tabs>
        <w:jc w:val="both"/>
        <w:rPr>
          <w:sz w:val="22"/>
          <w:szCs w:val="22"/>
        </w:rPr>
      </w:pPr>
      <w:r w:rsidRPr="00C75EDE">
        <w:rPr>
          <w:sz w:val="22"/>
          <w:szCs w:val="22"/>
        </w:rPr>
        <w:tab/>
      </w:r>
      <w:r w:rsidRPr="00C75EDE">
        <w:rPr>
          <w:sz w:val="22"/>
          <w:szCs w:val="22"/>
        </w:rPr>
        <w:tab/>
        <w:t>Auxiliary Services</w:t>
      </w:r>
      <w:r w:rsidRPr="00C75EDE">
        <w:rPr>
          <w:sz w:val="22"/>
          <w:szCs w:val="22"/>
        </w:rPr>
        <w:tab/>
        <w:t>23,038,000</w:t>
      </w:r>
      <w:r w:rsidRPr="00C75EDE">
        <w:rPr>
          <w:sz w:val="22"/>
          <w:szCs w:val="22"/>
        </w:rPr>
        <w:tab/>
        <w:t>6.0</w:t>
      </w:r>
      <w:r w:rsidRPr="00C75EDE">
        <w:rPr>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rPr>
          <w:sz w:val="22"/>
          <w:szCs w:val="22"/>
        </w:rPr>
      </w:pPr>
    </w:p>
    <w:p w:rsidR="00D56A3A" w:rsidRDefault="00D56A3A" w:rsidP="004D402B">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560"/>
        </w:tabs>
        <w:rPr>
          <w:b/>
          <w:sz w:val="22"/>
          <w:szCs w:val="22"/>
        </w:rPr>
      </w:pPr>
      <w:r w:rsidRPr="00C75EDE">
        <w:rPr>
          <w:sz w:val="22"/>
          <w:szCs w:val="22"/>
        </w:rPr>
        <w:tab/>
      </w:r>
      <w:r w:rsidRPr="00C75EDE">
        <w:rPr>
          <w:sz w:val="22"/>
          <w:szCs w:val="22"/>
        </w:rPr>
        <w:tab/>
        <w:t xml:space="preserve">     </w:t>
      </w:r>
      <w:r w:rsidRPr="00C75EDE">
        <w:rPr>
          <w:b/>
          <w:sz w:val="22"/>
          <w:szCs w:val="22"/>
        </w:rPr>
        <w:t>TOTAL</w:t>
      </w:r>
      <w:r w:rsidRPr="00C75EDE">
        <w:rPr>
          <w:b/>
          <w:sz w:val="22"/>
          <w:szCs w:val="22"/>
        </w:rPr>
        <w:tab/>
        <w:t>$381,723,000</w:t>
      </w:r>
      <w:r w:rsidRPr="00C75EDE">
        <w:rPr>
          <w:b/>
          <w:sz w:val="22"/>
          <w:szCs w:val="22"/>
        </w:rPr>
        <w:tab/>
        <w:t>100.0</w:t>
      </w:r>
      <w:r w:rsidR="004D402B">
        <w:rPr>
          <w:b/>
          <w:sz w:val="22"/>
          <w:szCs w:val="22"/>
        </w:rPr>
        <w:t>%</w:t>
      </w:r>
      <w:r w:rsidRPr="00C75EDE">
        <w:rPr>
          <w:b/>
          <w:sz w:val="22"/>
          <w:szCs w:val="22"/>
        </w:rPr>
        <w:tab/>
      </w:r>
    </w:p>
    <w:p w:rsidR="00D56A3A" w:rsidRPr="00C75EDE" w:rsidRDefault="00D56A3A" w:rsidP="00D56A3A">
      <w:pPr>
        <w:pStyle w:val="BodyText"/>
        <w:tabs>
          <w:tab w:val="clear" w:pos="1440"/>
          <w:tab w:val="clear" w:pos="2160"/>
          <w:tab w:val="clear" w:pos="2880"/>
          <w:tab w:val="clear" w:pos="3600"/>
          <w:tab w:val="clear" w:pos="4320"/>
          <w:tab w:val="clear" w:pos="5040"/>
          <w:tab w:val="clear" w:pos="6120"/>
          <w:tab w:val="clear" w:pos="6840"/>
          <w:tab w:val="left" w:pos="1254"/>
          <w:tab w:val="right" w:pos="5757"/>
          <w:tab w:val="right" w:pos="7353"/>
        </w:tabs>
        <w:rPr>
          <w:b/>
          <w:sz w:val="22"/>
          <w:szCs w:val="22"/>
        </w:rPr>
      </w:pPr>
    </w:p>
    <w:p w:rsidR="00D56A3A" w:rsidRPr="004F135D" w:rsidRDefault="00D56A3A" w:rsidP="00D56A3A">
      <w:pPr>
        <w:pStyle w:val="BodyText"/>
        <w:tabs>
          <w:tab w:val="clear" w:pos="1440"/>
          <w:tab w:val="left" w:pos="1260"/>
        </w:tabs>
        <w:jc w:val="both"/>
        <w:rPr>
          <w:sz w:val="20"/>
        </w:rPr>
      </w:pPr>
      <w:r w:rsidRPr="004F135D">
        <w:rPr>
          <w:sz w:val="20"/>
        </w:rPr>
        <w:tab/>
      </w:r>
      <w:r w:rsidRPr="004F135D">
        <w:rPr>
          <w:sz w:val="20"/>
        </w:rPr>
        <w:tab/>
        <w:t>*Includes state-supported debt and the Kentucky Academy for Mathematics and Science.</w:t>
      </w:r>
    </w:p>
    <w:p w:rsidR="00D56A3A" w:rsidRDefault="00D56A3A" w:rsidP="00D56A3A">
      <w:pPr>
        <w:pStyle w:val="BodyText"/>
        <w:jc w:val="both"/>
        <w:rPr>
          <w:szCs w:val="23"/>
        </w:rPr>
      </w:pPr>
    </w:p>
    <w:p w:rsidR="00D56A3A" w:rsidRDefault="00D56A3A" w:rsidP="000509B8">
      <w:pPr>
        <w:autoSpaceDE w:val="0"/>
        <w:autoSpaceDN w:val="0"/>
        <w:adjustRightInd w:val="0"/>
        <w:jc w:val="both"/>
        <w:rPr>
          <w:sz w:val="23"/>
          <w:szCs w:val="23"/>
        </w:rPr>
      </w:pPr>
    </w:p>
    <w:p w:rsidR="00041452" w:rsidRDefault="00360CF9" w:rsidP="000509B8">
      <w:pPr>
        <w:autoSpaceDE w:val="0"/>
        <w:autoSpaceDN w:val="0"/>
        <w:adjustRightInd w:val="0"/>
        <w:jc w:val="both"/>
        <w:rPr>
          <w:iCs/>
          <w:sz w:val="23"/>
          <w:szCs w:val="23"/>
        </w:rPr>
      </w:pPr>
      <w:r w:rsidRPr="00041452">
        <w:rPr>
          <w:sz w:val="23"/>
          <w:szCs w:val="23"/>
        </w:rPr>
        <w:t xml:space="preserve">The Unrestricted E&amp;G budget represents 71.0 percent </w:t>
      </w:r>
      <w:r w:rsidR="00041452">
        <w:rPr>
          <w:sz w:val="23"/>
          <w:szCs w:val="23"/>
        </w:rPr>
        <w:t xml:space="preserve">of the </w:t>
      </w:r>
      <w:r w:rsidR="00041452" w:rsidRPr="00041452">
        <w:rPr>
          <w:sz w:val="23"/>
          <w:szCs w:val="23"/>
          <w:u w:val="single"/>
        </w:rPr>
        <w:t>total</w:t>
      </w:r>
      <w:r w:rsidR="00041452">
        <w:rPr>
          <w:sz w:val="23"/>
          <w:szCs w:val="23"/>
        </w:rPr>
        <w:t xml:space="preserve"> budget </w:t>
      </w:r>
      <w:r w:rsidRPr="00041452">
        <w:rPr>
          <w:sz w:val="23"/>
          <w:szCs w:val="23"/>
        </w:rPr>
        <w:t>and tuition and fees supporting the Unrestricted E&amp;G budget represent 5</w:t>
      </w:r>
      <w:r w:rsidR="00041452">
        <w:rPr>
          <w:sz w:val="23"/>
          <w:szCs w:val="23"/>
        </w:rPr>
        <w:t>7.5</w:t>
      </w:r>
      <w:r w:rsidRPr="00041452">
        <w:rPr>
          <w:sz w:val="23"/>
          <w:szCs w:val="23"/>
        </w:rPr>
        <w:t xml:space="preserve"> percent of the </w:t>
      </w:r>
      <w:r w:rsidR="00041452">
        <w:rPr>
          <w:sz w:val="23"/>
          <w:szCs w:val="23"/>
        </w:rPr>
        <w:t>Unrestricted E&amp;G</w:t>
      </w:r>
      <w:r w:rsidRPr="00041452">
        <w:rPr>
          <w:sz w:val="23"/>
          <w:szCs w:val="23"/>
        </w:rPr>
        <w:t xml:space="preserve"> budget.  </w:t>
      </w:r>
      <w:r w:rsidR="009F276A">
        <w:rPr>
          <w:sz w:val="23"/>
          <w:szCs w:val="23"/>
        </w:rPr>
        <w:t>Thus, the most important source</w:t>
      </w:r>
      <w:r w:rsidRPr="00041452">
        <w:rPr>
          <w:sz w:val="23"/>
          <w:szCs w:val="23"/>
        </w:rPr>
        <w:t xml:space="preserve"> of </w:t>
      </w:r>
      <w:r w:rsidR="00B57369">
        <w:rPr>
          <w:sz w:val="23"/>
          <w:szCs w:val="23"/>
        </w:rPr>
        <w:t>unrestricted</w:t>
      </w:r>
      <w:r w:rsidRPr="00041452">
        <w:rPr>
          <w:sz w:val="23"/>
          <w:szCs w:val="23"/>
        </w:rPr>
        <w:t xml:space="preserve"> funds </w:t>
      </w:r>
      <w:r w:rsidR="009F276A">
        <w:rPr>
          <w:sz w:val="23"/>
          <w:szCs w:val="23"/>
        </w:rPr>
        <w:t>to meet projected fixed costs obligations is</w:t>
      </w:r>
      <w:r w:rsidRPr="00041452">
        <w:rPr>
          <w:sz w:val="23"/>
          <w:szCs w:val="23"/>
        </w:rPr>
        <w:t xml:space="preserve"> derived from tuition and fees.</w:t>
      </w:r>
      <w:r w:rsidR="00B57369">
        <w:rPr>
          <w:sz w:val="23"/>
          <w:szCs w:val="23"/>
        </w:rPr>
        <w:t xml:space="preserve"> </w:t>
      </w:r>
      <w:r w:rsidR="00041452" w:rsidRPr="00041452">
        <w:rPr>
          <w:sz w:val="23"/>
          <w:szCs w:val="23"/>
        </w:rPr>
        <w:t xml:space="preserve">At its April 23, 2010 meeting, the Council on Postsecondary Education (CPE) approved 5 percent as the maximum </w:t>
      </w:r>
      <w:r w:rsidR="00B57369" w:rsidRPr="00041452">
        <w:rPr>
          <w:sz w:val="23"/>
          <w:szCs w:val="23"/>
        </w:rPr>
        <w:t>resident undergraduate tuition and fees</w:t>
      </w:r>
      <w:r w:rsidR="00B57369">
        <w:rPr>
          <w:sz w:val="23"/>
          <w:szCs w:val="23"/>
        </w:rPr>
        <w:t xml:space="preserve"> rate </w:t>
      </w:r>
      <w:r w:rsidR="00041452" w:rsidRPr="00041452">
        <w:rPr>
          <w:sz w:val="23"/>
          <w:szCs w:val="23"/>
        </w:rPr>
        <w:t xml:space="preserve">increase </w:t>
      </w:r>
      <w:r w:rsidR="00B57369">
        <w:rPr>
          <w:sz w:val="23"/>
          <w:szCs w:val="23"/>
        </w:rPr>
        <w:t>for</w:t>
      </w:r>
      <w:r w:rsidR="00041452" w:rsidRPr="00041452">
        <w:rPr>
          <w:sz w:val="23"/>
          <w:szCs w:val="23"/>
        </w:rPr>
        <w:t xml:space="preserve"> 2010-11 </w:t>
      </w:r>
      <w:r w:rsidR="0090367E">
        <w:rPr>
          <w:sz w:val="23"/>
          <w:szCs w:val="23"/>
        </w:rPr>
        <w:t>at</w:t>
      </w:r>
      <w:r w:rsidR="00041452" w:rsidRPr="00041452">
        <w:rPr>
          <w:sz w:val="23"/>
          <w:szCs w:val="23"/>
        </w:rPr>
        <w:t xml:space="preserve"> comprehensive universities.  In its defense of </w:t>
      </w:r>
      <w:r w:rsidR="0090367E">
        <w:rPr>
          <w:sz w:val="23"/>
          <w:szCs w:val="23"/>
        </w:rPr>
        <w:t>holding</w:t>
      </w:r>
      <w:r w:rsidR="00041452" w:rsidRPr="00041452">
        <w:rPr>
          <w:sz w:val="23"/>
          <w:szCs w:val="23"/>
        </w:rPr>
        <w:t xml:space="preserve"> </w:t>
      </w:r>
      <w:r w:rsidR="000509B8">
        <w:rPr>
          <w:sz w:val="23"/>
          <w:szCs w:val="23"/>
        </w:rPr>
        <w:t>the rate increase</w:t>
      </w:r>
      <w:r w:rsidR="00041452" w:rsidRPr="00041452">
        <w:rPr>
          <w:sz w:val="23"/>
          <w:szCs w:val="23"/>
        </w:rPr>
        <w:t xml:space="preserve"> at a modest level, the CPE </w:t>
      </w:r>
      <w:r w:rsidR="000509B8">
        <w:rPr>
          <w:sz w:val="23"/>
          <w:szCs w:val="23"/>
        </w:rPr>
        <w:t>expressed a</w:t>
      </w:r>
      <w:r w:rsidR="00041452" w:rsidRPr="00041452">
        <w:rPr>
          <w:iCs/>
          <w:sz w:val="23"/>
          <w:szCs w:val="23"/>
        </w:rPr>
        <w:t xml:space="preserve"> </w:t>
      </w:r>
      <w:r w:rsidR="000509B8">
        <w:rPr>
          <w:iCs/>
          <w:sz w:val="23"/>
          <w:szCs w:val="23"/>
        </w:rPr>
        <w:t>“</w:t>
      </w:r>
      <w:r w:rsidR="00041452" w:rsidRPr="00041452">
        <w:rPr>
          <w:iCs/>
          <w:sz w:val="23"/>
          <w:szCs w:val="23"/>
        </w:rPr>
        <w:t>general sentiment that,</w:t>
      </w:r>
      <w:r w:rsidR="00041452">
        <w:rPr>
          <w:iCs/>
          <w:sz w:val="23"/>
          <w:szCs w:val="23"/>
        </w:rPr>
        <w:t xml:space="preserve"> </w:t>
      </w:r>
      <w:r w:rsidR="00041452" w:rsidRPr="00041452">
        <w:rPr>
          <w:iCs/>
          <w:sz w:val="23"/>
          <w:szCs w:val="23"/>
        </w:rPr>
        <w:t>during this period of sustained economic st</w:t>
      </w:r>
      <w:r w:rsidR="000509B8">
        <w:rPr>
          <w:iCs/>
          <w:sz w:val="23"/>
          <w:szCs w:val="23"/>
        </w:rPr>
        <w:t>ringency, increases in resident</w:t>
      </w:r>
      <w:r w:rsidR="00041452" w:rsidRPr="00041452">
        <w:rPr>
          <w:iCs/>
          <w:sz w:val="23"/>
          <w:szCs w:val="23"/>
        </w:rPr>
        <w:t xml:space="preserve"> undergraduate</w:t>
      </w:r>
      <w:r w:rsidR="00041452">
        <w:rPr>
          <w:iCs/>
          <w:sz w:val="23"/>
          <w:szCs w:val="23"/>
        </w:rPr>
        <w:t xml:space="preserve"> </w:t>
      </w:r>
      <w:r w:rsidR="00041452" w:rsidRPr="00041452">
        <w:rPr>
          <w:iCs/>
          <w:sz w:val="23"/>
          <w:szCs w:val="23"/>
        </w:rPr>
        <w:t>tuition and mandatory fees should be moderate and below historical rates of increase to</w:t>
      </w:r>
      <w:r w:rsidR="00041452">
        <w:rPr>
          <w:iCs/>
          <w:sz w:val="23"/>
          <w:szCs w:val="23"/>
        </w:rPr>
        <w:t xml:space="preserve"> </w:t>
      </w:r>
      <w:r w:rsidR="00041452" w:rsidRPr="00041452">
        <w:rPr>
          <w:iCs/>
          <w:sz w:val="23"/>
          <w:szCs w:val="23"/>
        </w:rPr>
        <w:t>ensure affordability, despite recent reductions in state General Fund support for postsecondary</w:t>
      </w:r>
      <w:r w:rsidR="00041452">
        <w:rPr>
          <w:iCs/>
          <w:sz w:val="23"/>
          <w:szCs w:val="23"/>
        </w:rPr>
        <w:t xml:space="preserve"> </w:t>
      </w:r>
      <w:r w:rsidR="00041452" w:rsidRPr="00041452">
        <w:rPr>
          <w:iCs/>
          <w:sz w:val="23"/>
          <w:szCs w:val="23"/>
        </w:rPr>
        <w:t>education.</w:t>
      </w:r>
      <w:r w:rsidR="00041452">
        <w:rPr>
          <w:iCs/>
          <w:sz w:val="23"/>
          <w:szCs w:val="23"/>
        </w:rPr>
        <w:t xml:space="preserve">  </w:t>
      </w:r>
      <w:r w:rsidR="00041452" w:rsidRPr="00041452">
        <w:rPr>
          <w:iCs/>
          <w:sz w:val="23"/>
          <w:szCs w:val="23"/>
        </w:rPr>
        <w:t>For Kentucky students and families, particularly those with low to moderate incomes, it is</w:t>
      </w:r>
      <w:r w:rsidR="00041452">
        <w:rPr>
          <w:iCs/>
          <w:sz w:val="23"/>
          <w:szCs w:val="23"/>
        </w:rPr>
        <w:t xml:space="preserve"> </w:t>
      </w:r>
      <w:r w:rsidR="00041452" w:rsidRPr="00041452">
        <w:rPr>
          <w:iCs/>
          <w:sz w:val="23"/>
          <w:szCs w:val="23"/>
        </w:rPr>
        <w:t>anticipated that increases in Pell grants and institutionally provided need-based aid, and</w:t>
      </w:r>
      <w:r w:rsidR="00041452">
        <w:rPr>
          <w:iCs/>
          <w:sz w:val="23"/>
          <w:szCs w:val="23"/>
        </w:rPr>
        <w:t xml:space="preserve"> </w:t>
      </w:r>
      <w:r w:rsidR="00041452" w:rsidRPr="00041452">
        <w:rPr>
          <w:iCs/>
          <w:sz w:val="23"/>
          <w:szCs w:val="23"/>
        </w:rPr>
        <w:t>expanded postsecondary education tax credits stemming from the recently enacted federal</w:t>
      </w:r>
      <w:r w:rsidR="00041452">
        <w:rPr>
          <w:iCs/>
          <w:sz w:val="23"/>
          <w:szCs w:val="23"/>
        </w:rPr>
        <w:t xml:space="preserve"> </w:t>
      </w:r>
      <w:r w:rsidR="00041452" w:rsidRPr="00041452">
        <w:rPr>
          <w:iCs/>
          <w:sz w:val="23"/>
          <w:szCs w:val="23"/>
        </w:rPr>
        <w:t>stimulus package will offset a portion of these increases over the next year.</w:t>
      </w:r>
      <w:r w:rsidR="000509B8">
        <w:rPr>
          <w:iCs/>
          <w:sz w:val="23"/>
          <w:szCs w:val="23"/>
        </w:rPr>
        <w:t>”</w:t>
      </w:r>
    </w:p>
    <w:p w:rsidR="00AD5644" w:rsidRDefault="00AD5644" w:rsidP="000509B8">
      <w:pPr>
        <w:autoSpaceDE w:val="0"/>
        <w:autoSpaceDN w:val="0"/>
        <w:adjustRightInd w:val="0"/>
        <w:jc w:val="both"/>
        <w:rPr>
          <w:iCs/>
          <w:sz w:val="23"/>
          <w:szCs w:val="23"/>
        </w:rPr>
      </w:pPr>
    </w:p>
    <w:p w:rsidR="00AD5644" w:rsidRDefault="00AD5644" w:rsidP="000509B8">
      <w:pPr>
        <w:autoSpaceDE w:val="0"/>
        <w:autoSpaceDN w:val="0"/>
        <w:adjustRightInd w:val="0"/>
        <w:jc w:val="both"/>
        <w:rPr>
          <w:iCs/>
          <w:sz w:val="23"/>
          <w:szCs w:val="23"/>
        </w:rPr>
      </w:pPr>
      <w:r>
        <w:rPr>
          <w:iCs/>
          <w:sz w:val="23"/>
          <w:szCs w:val="23"/>
        </w:rPr>
        <w:t xml:space="preserve">The CPE approves all tuition and fees rates; however, each institution has more flexibility in setting nonresident and graduate rates.  Resident graduate tuition and fees are being increased 5 percent consistent with the undergraduate rate increase.  Nonresident rates, with the exception of graduate international, are being increased 6 percent.  The graduate international rate is not being increased due to market conditions and </w:t>
      </w:r>
      <w:r w:rsidR="004A11F7">
        <w:rPr>
          <w:iCs/>
          <w:sz w:val="23"/>
          <w:szCs w:val="23"/>
        </w:rPr>
        <w:t>our intent to remain</w:t>
      </w:r>
      <w:r>
        <w:rPr>
          <w:iCs/>
          <w:sz w:val="23"/>
          <w:szCs w:val="23"/>
        </w:rPr>
        <w:t xml:space="preserve"> competitive in student recruitment.</w:t>
      </w:r>
    </w:p>
    <w:p w:rsidR="00062A89" w:rsidRDefault="00062A89" w:rsidP="000509B8">
      <w:pPr>
        <w:autoSpaceDE w:val="0"/>
        <w:autoSpaceDN w:val="0"/>
        <w:adjustRightInd w:val="0"/>
        <w:jc w:val="both"/>
        <w:rPr>
          <w:iCs/>
          <w:sz w:val="23"/>
          <w:szCs w:val="23"/>
        </w:rPr>
      </w:pPr>
    </w:p>
    <w:p w:rsidR="00062A89" w:rsidRPr="00041452" w:rsidRDefault="00062A89" w:rsidP="000509B8">
      <w:pPr>
        <w:autoSpaceDE w:val="0"/>
        <w:autoSpaceDN w:val="0"/>
        <w:adjustRightInd w:val="0"/>
        <w:jc w:val="both"/>
        <w:rPr>
          <w:sz w:val="23"/>
          <w:szCs w:val="23"/>
        </w:rPr>
      </w:pPr>
      <w:r>
        <w:rPr>
          <w:iCs/>
          <w:sz w:val="23"/>
          <w:szCs w:val="23"/>
        </w:rPr>
        <w:t>Based on Board policy, the mandatory student fees are being increased based on the Higher Education Price Index (HEPI) which was 2.3 percent for 2009.</w:t>
      </w:r>
    </w:p>
    <w:p w:rsidR="00041452" w:rsidRPr="00041452" w:rsidRDefault="00041452" w:rsidP="000550B1">
      <w:pPr>
        <w:pStyle w:val="BodyText"/>
        <w:tabs>
          <w:tab w:val="clear" w:pos="360"/>
          <w:tab w:val="left" w:pos="540"/>
        </w:tabs>
        <w:jc w:val="both"/>
        <w:rPr>
          <w:szCs w:val="23"/>
        </w:rPr>
      </w:pPr>
    </w:p>
    <w:p w:rsidR="000550B1" w:rsidRDefault="000550B1" w:rsidP="000550B1">
      <w:pPr>
        <w:pStyle w:val="BodyText"/>
        <w:tabs>
          <w:tab w:val="clear" w:pos="360"/>
          <w:tab w:val="left" w:pos="540"/>
        </w:tabs>
        <w:jc w:val="both"/>
        <w:rPr>
          <w:szCs w:val="23"/>
        </w:rPr>
      </w:pPr>
      <w:r w:rsidRPr="00041452">
        <w:rPr>
          <w:szCs w:val="23"/>
        </w:rPr>
        <w:t xml:space="preserve">The Operating Budget includes projected revenue based on the 2010-11 tuition and fees rates </w:t>
      </w:r>
      <w:r w:rsidR="00AD75C4">
        <w:rPr>
          <w:szCs w:val="23"/>
        </w:rPr>
        <w:t xml:space="preserve">included at the end of the Executive Summary </w:t>
      </w:r>
      <w:r w:rsidRPr="00041452">
        <w:rPr>
          <w:szCs w:val="23"/>
        </w:rPr>
        <w:t>and actual enrollment from fall 2009.  The budget includes tuition and fees totaling $155.7 million</w:t>
      </w:r>
      <w:r w:rsidR="00820FCE">
        <w:rPr>
          <w:szCs w:val="23"/>
        </w:rPr>
        <w:t>,</w:t>
      </w:r>
      <w:r w:rsidRPr="00041452">
        <w:rPr>
          <w:szCs w:val="23"/>
        </w:rPr>
        <w:t xml:space="preserve"> an increase of $9.3 million or 6.3 percent.  </w:t>
      </w:r>
    </w:p>
    <w:p w:rsidR="003D316E" w:rsidRPr="00041452" w:rsidRDefault="003D316E" w:rsidP="000550B1">
      <w:pPr>
        <w:pStyle w:val="BodyText"/>
        <w:tabs>
          <w:tab w:val="clear" w:pos="360"/>
          <w:tab w:val="left" w:pos="540"/>
        </w:tabs>
        <w:jc w:val="both"/>
        <w:rPr>
          <w:szCs w:val="23"/>
        </w:rPr>
      </w:pPr>
    </w:p>
    <w:p w:rsidR="00D85BFA" w:rsidRDefault="00D85BFA" w:rsidP="00D85BFA">
      <w:pPr>
        <w:pStyle w:val="BodyText"/>
        <w:tabs>
          <w:tab w:val="clear" w:pos="360"/>
          <w:tab w:val="left" w:pos="540"/>
        </w:tabs>
        <w:rPr>
          <w:szCs w:val="23"/>
        </w:rPr>
      </w:pPr>
      <w:proofErr w:type="gramStart"/>
      <w:r>
        <w:rPr>
          <w:szCs w:val="23"/>
        </w:rPr>
        <w:lastRenderedPageBreak/>
        <w:t>The 2010-11 Operating Budget</w:t>
      </w:r>
      <w:proofErr w:type="gramEnd"/>
      <w:r>
        <w:rPr>
          <w:szCs w:val="23"/>
        </w:rPr>
        <w:t xml:space="preserve"> includes the following budgeted tuition and fees revenue </w:t>
      </w:r>
      <w:r w:rsidR="003D316E">
        <w:rPr>
          <w:szCs w:val="23"/>
        </w:rPr>
        <w:t>estimate adjustments</w:t>
      </w:r>
      <w:r>
        <w:rPr>
          <w:szCs w:val="23"/>
        </w:rPr>
        <w:t>:</w:t>
      </w:r>
    </w:p>
    <w:p w:rsidR="00D85BFA" w:rsidRDefault="00D85BFA" w:rsidP="00D85BFA">
      <w:pPr>
        <w:pStyle w:val="Heading4"/>
        <w:tabs>
          <w:tab w:val="clear" w:pos="264"/>
          <w:tab w:val="clear" w:pos="9413"/>
          <w:tab w:val="left" w:pos="360"/>
        </w:tabs>
        <w:jc w:val="both"/>
        <w:rPr>
          <w:b w:val="0"/>
          <w:sz w:val="23"/>
          <w:szCs w:val="23"/>
        </w:rPr>
      </w:pPr>
    </w:p>
    <w:p w:rsidR="00D85BFA" w:rsidRPr="006679B5" w:rsidRDefault="00D85BFA" w:rsidP="00D85BFA">
      <w:pPr>
        <w:tabs>
          <w:tab w:val="left" w:pos="900"/>
          <w:tab w:val="right" w:pos="7740"/>
        </w:tabs>
        <w:autoSpaceDE w:val="0"/>
        <w:autoSpaceDN w:val="0"/>
        <w:adjustRightInd w:val="0"/>
        <w:rPr>
          <w:color w:val="000000"/>
          <w:sz w:val="22"/>
          <w:szCs w:val="22"/>
        </w:rPr>
      </w:pPr>
      <w:r>
        <w:rPr>
          <w:color w:val="000000"/>
          <w:sz w:val="23"/>
          <w:szCs w:val="23"/>
        </w:rPr>
        <w:tab/>
      </w:r>
      <w:r w:rsidRPr="006679B5">
        <w:rPr>
          <w:color w:val="000000"/>
          <w:sz w:val="22"/>
          <w:szCs w:val="22"/>
        </w:rPr>
        <w:t>Tuition, Fall &amp; Spring</w:t>
      </w:r>
      <w:r w:rsidR="00AE5AC8">
        <w:rPr>
          <w:color w:val="000000"/>
          <w:sz w:val="22"/>
          <w:szCs w:val="22"/>
        </w:rPr>
        <w:t xml:space="preserve"> (i</w:t>
      </w:r>
      <w:r>
        <w:rPr>
          <w:color w:val="000000"/>
          <w:sz w:val="22"/>
          <w:szCs w:val="22"/>
        </w:rPr>
        <w:t>ncluding Restricted Tuition)</w:t>
      </w:r>
      <w:r w:rsidRPr="006679B5">
        <w:rPr>
          <w:color w:val="000000"/>
          <w:sz w:val="22"/>
          <w:szCs w:val="22"/>
        </w:rPr>
        <w:tab/>
        <w:t xml:space="preserve"> </w:t>
      </w:r>
      <w:r>
        <w:rPr>
          <w:color w:val="000000"/>
          <w:sz w:val="22"/>
          <w:szCs w:val="22"/>
        </w:rPr>
        <w:t>5,999</w:t>
      </w:r>
      <w:r w:rsidRPr="006679B5">
        <w:rPr>
          <w:color w:val="000000"/>
          <w:sz w:val="22"/>
          <w:szCs w:val="22"/>
        </w:rPr>
        <w:t>,000</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 xml:space="preserve">Tuition, </w:t>
      </w:r>
      <w:proofErr w:type="gramStart"/>
      <w:r w:rsidRPr="006679B5">
        <w:rPr>
          <w:color w:val="000000"/>
          <w:sz w:val="22"/>
          <w:szCs w:val="22"/>
        </w:rPr>
        <w:t>Summer</w:t>
      </w:r>
      <w:proofErr w:type="gramEnd"/>
      <w:r w:rsidR="00AE5AC8">
        <w:rPr>
          <w:color w:val="000000"/>
          <w:sz w:val="22"/>
          <w:szCs w:val="22"/>
        </w:rPr>
        <w:t xml:space="preserve"> (i</w:t>
      </w:r>
      <w:r>
        <w:rPr>
          <w:color w:val="000000"/>
          <w:sz w:val="22"/>
          <w:szCs w:val="22"/>
        </w:rPr>
        <w:t>ncluding Restricted Tuition)</w:t>
      </w:r>
      <w:r w:rsidRPr="006679B5">
        <w:rPr>
          <w:color w:val="000000"/>
          <w:sz w:val="22"/>
          <w:szCs w:val="22"/>
        </w:rPr>
        <w:tab/>
      </w:r>
      <w:r>
        <w:rPr>
          <w:color w:val="000000"/>
          <w:sz w:val="22"/>
          <w:szCs w:val="22"/>
        </w:rPr>
        <w:t>266,000</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Tuition, EdD Program</w:t>
      </w:r>
      <w:r w:rsidRPr="006679B5">
        <w:rPr>
          <w:color w:val="000000"/>
          <w:sz w:val="22"/>
          <w:szCs w:val="22"/>
        </w:rPr>
        <w:tab/>
      </w:r>
      <w:r>
        <w:rPr>
          <w:color w:val="000000"/>
          <w:sz w:val="22"/>
          <w:szCs w:val="22"/>
        </w:rPr>
        <w:t>111</w:t>
      </w:r>
      <w:r w:rsidRPr="006679B5">
        <w:rPr>
          <w:color w:val="000000"/>
          <w:sz w:val="22"/>
          <w:szCs w:val="22"/>
        </w:rPr>
        <w:t>,000</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r>
      <w:r>
        <w:rPr>
          <w:color w:val="000000"/>
          <w:sz w:val="22"/>
          <w:szCs w:val="22"/>
        </w:rPr>
        <w:t xml:space="preserve">DELO </w:t>
      </w:r>
      <w:r w:rsidRPr="006679B5">
        <w:rPr>
          <w:color w:val="000000"/>
          <w:sz w:val="22"/>
          <w:szCs w:val="22"/>
        </w:rPr>
        <w:t xml:space="preserve">Tuition, Winter  </w:t>
      </w:r>
      <w:r w:rsidRPr="006679B5">
        <w:rPr>
          <w:color w:val="000000"/>
          <w:sz w:val="22"/>
          <w:szCs w:val="22"/>
        </w:rPr>
        <w:tab/>
        <w:t xml:space="preserve">     </w:t>
      </w:r>
      <w:r>
        <w:rPr>
          <w:color w:val="000000"/>
          <w:sz w:val="22"/>
          <w:szCs w:val="22"/>
        </w:rPr>
        <w:t>(245</w:t>
      </w:r>
      <w:r w:rsidRPr="006679B5">
        <w:rPr>
          <w:color w:val="000000"/>
          <w:sz w:val="22"/>
          <w:szCs w:val="22"/>
        </w:rPr>
        <w:t>,000</w:t>
      </w:r>
      <w:r>
        <w:rPr>
          <w:color w:val="000000"/>
          <w:sz w:val="22"/>
          <w:szCs w:val="22"/>
        </w:rPr>
        <w:t>)</w:t>
      </w:r>
      <w:r w:rsidRPr="006679B5">
        <w:rPr>
          <w:color w:val="000000"/>
          <w:sz w:val="22"/>
          <w:szCs w:val="22"/>
        </w:rPr>
        <w:t xml:space="preserve"> </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DELO Online Learning (</w:t>
      </w:r>
      <w:proofErr w:type="gramStart"/>
      <w:r w:rsidRPr="006679B5">
        <w:rPr>
          <w:color w:val="000000"/>
          <w:sz w:val="22"/>
          <w:szCs w:val="22"/>
        </w:rPr>
        <w:t>Fall</w:t>
      </w:r>
      <w:proofErr w:type="gramEnd"/>
      <w:r w:rsidRPr="006679B5">
        <w:rPr>
          <w:color w:val="000000"/>
          <w:sz w:val="22"/>
          <w:szCs w:val="22"/>
        </w:rPr>
        <w:t>, Spring, Winter &amp; Summer)</w:t>
      </w:r>
      <w:r w:rsidRPr="006679B5">
        <w:rPr>
          <w:color w:val="000000"/>
          <w:sz w:val="22"/>
          <w:szCs w:val="22"/>
        </w:rPr>
        <w:tab/>
        <w:t xml:space="preserve">        </w:t>
      </w:r>
      <w:r>
        <w:rPr>
          <w:color w:val="000000"/>
          <w:sz w:val="22"/>
          <w:szCs w:val="22"/>
        </w:rPr>
        <w:t>1,049</w:t>
      </w:r>
      <w:r w:rsidRPr="006679B5">
        <w:rPr>
          <w:color w:val="000000"/>
          <w:sz w:val="22"/>
          <w:szCs w:val="22"/>
        </w:rPr>
        <w:t xml:space="preserve">,000 </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DELO Contract Learning</w:t>
      </w:r>
      <w:r w:rsidRPr="006679B5">
        <w:rPr>
          <w:color w:val="000000"/>
          <w:sz w:val="22"/>
          <w:szCs w:val="22"/>
        </w:rPr>
        <w:tab/>
        <w:t xml:space="preserve">      </w:t>
      </w:r>
      <w:r>
        <w:rPr>
          <w:color w:val="000000"/>
          <w:sz w:val="22"/>
          <w:szCs w:val="22"/>
        </w:rPr>
        <w:t>839</w:t>
      </w:r>
      <w:r w:rsidRPr="006679B5">
        <w:rPr>
          <w:color w:val="000000"/>
          <w:sz w:val="22"/>
          <w:szCs w:val="22"/>
        </w:rPr>
        <w:t xml:space="preserve">,000 </w:t>
      </w:r>
    </w:p>
    <w:p w:rsidR="00D85BFA" w:rsidRPr="006679B5"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 xml:space="preserve">DELO, </w:t>
      </w:r>
      <w:r>
        <w:rPr>
          <w:color w:val="000000"/>
          <w:sz w:val="22"/>
          <w:szCs w:val="22"/>
        </w:rPr>
        <w:t>Independent Learning</w:t>
      </w:r>
      <w:r w:rsidRPr="006679B5">
        <w:rPr>
          <w:color w:val="000000"/>
          <w:sz w:val="22"/>
          <w:szCs w:val="22"/>
        </w:rPr>
        <w:tab/>
      </w:r>
      <w:r>
        <w:rPr>
          <w:color w:val="000000"/>
          <w:sz w:val="22"/>
          <w:szCs w:val="22"/>
        </w:rPr>
        <w:t>383</w:t>
      </w:r>
      <w:r w:rsidRPr="006679B5">
        <w:rPr>
          <w:color w:val="000000"/>
          <w:sz w:val="22"/>
          <w:szCs w:val="22"/>
        </w:rPr>
        <w:t>,000</w:t>
      </w:r>
    </w:p>
    <w:p w:rsidR="00D85BFA" w:rsidRDefault="00D85BFA" w:rsidP="00D85BFA">
      <w:pPr>
        <w:tabs>
          <w:tab w:val="left" w:pos="900"/>
          <w:tab w:val="right" w:pos="7740"/>
        </w:tabs>
        <w:autoSpaceDE w:val="0"/>
        <w:autoSpaceDN w:val="0"/>
        <w:adjustRightInd w:val="0"/>
        <w:rPr>
          <w:color w:val="000000"/>
          <w:sz w:val="22"/>
          <w:szCs w:val="22"/>
        </w:rPr>
      </w:pPr>
      <w:r w:rsidRPr="006679B5">
        <w:rPr>
          <w:color w:val="000000"/>
          <w:sz w:val="22"/>
          <w:szCs w:val="22"/>
        </w:rPr>
        <w:tab/>
        <w:t>Student Athletics Fee</w:t>
      </w:r>
      <w:r w:rsidRPr="006679B5">
        <w:rPr>
          <w:color w:val="000000"/>
          <w:sz w:val="22"/>
          <w:szCs w:val="22"/>
        </w:rPr>
        <w:tab/>
        <w:t xml:space="preserve">   </w:t>
      </w:r>
      <w:r>
        <w:rPr>
          <w:color w:val="000000"/>
          <w:sz w:val="22"/>
          <w:szCs w:val="22"/>
        </w:rPr>
        <w:t>336</w:t>
      </w:r>
      <w:r w:rsidRPr="006679B5">
        <w:rPr>
          <w:color w:val="000000"/>
          <w:sz w:val="22"/>
          <w:szCs w:val="22"/>
        </w:rPr>
        <w:t>,000</w:t>
      </w:r>
    </w:p>
    <w:p w:rsidR="00D85BFA" w:rsidRPr="006679B5" w:rsidRDefault="00D85BFA" w:rsidP="00D85BFA">
      <w:pPr>
        <w:tabs>
          <w:tab w:val="left" w:pos="900"/>
          <w:tab w:val="right" w:pos="7740"/>
        </w:tabs>
        <w:autoSpaceDE w:val="0"/>
        <w:autoSpaceDN w:val="0"/>
        <w:adjustRightInd w:val="0"/>
        <w:rPr>
          <w:color w:val="000000"/>
          <w:sz w:val="22"/>
          <w:szCs w:val="22"/>
        </w:rPr>
      </w:pPr>
      <w:r>
        <w:rPr>
          <w:color w:val="000000"/>
          <w:sz w:val="22"/>
          <w:szCs w:val="22"/>
        </w:rPr>
        <w:tab/>
      </w:r>
      <w:r w:rsidRPr="006679B5">
        <w:rPr>
          <w:color w:val="000000"/>
          <w:sz w:val="22"/>
          <w:szCs w:val="22"/>
        </w:rPr>
        <w:t>Other Student Fees</w:t>
      </w:r>
      <w:r w:rsidRPr="006679B5">
        <w:rPr>
          <w:color w:val="000000"/>
          <w:sz w:val="22"/>
          <w:szCs w:val="22"/>
        </w:rPr>
        <w:tab/>
      </w:r>
      <w:r>
        <w:rPr>
          <w:color w:val="000000"/>
          <w:sz w:val="22"/>
          <w:szCs w:val="22"/>
        </w:rPr>
        <w:t>554</w:t>
      </w:r>
      <w:r w:rsidRPr="006679B5">
        <w:rPr>
          <w:color w:val="000000"/>
          <w:sz w:val="22"/>
          <w:szCs w:val="22"/>
        </w:rPr>
        <w:t xml:space="preserve">,000 </w:t>
      </w:r>
    </w:p>
    <w:p w:rsidR="00D85BFA" w:rsidRDefault="00D85BFA" w:rsidP="00D85BFA">
      <w:pPr>
        <w:tabs>
          <w:tab w:val="left" w:pos="900"/>
          <w:tab w:val="right" w:pos="7740"/>
        </w:tabs>
        <w:autoSpaceDE w:val="0"/>
        <w:autoSpaceDN w:val="0"/>
        <w:adjustRightInd w:val="0"/>
        <w:rPr>
          <w:b/>
          <w:bCs/>
          <w:color w:val="000000"/>
          <w:sz w:val="22"/>
          <w:szCs w:val="22"/>
        </w:rPr>
      </w:pPr>
      <w:r w:rsidRPr="006679B5">
        <w:rPr>
          <w:b/>
          <w:bCs/>
          <w:color w:val="000000"/>
          <w:sz w:val="22"/>
          <w:szCs w:val="22"/>
        </w:rPr>
        <w:tab/>
        <w:t xml:space="preserve">     </w:t>
      </w:r>
    </w:p>
    <w:p w:rsidR="00D85BFA" w:rsidRPr="006679B5" w:rsidRDefault="00D85BFA" w:rsidP="00D85BFA">
      <w:pPr>
        <w:tabs>
          <w:tab w:val="left" w:pos="900"/>
          <w:tab w:val="right" w:pos="7740"/>
        </w:tabs>
        <w:autoSpaceDE w:val="0"/>
        <w:autoSpaceDN w:val="0"/>
        <w:adjustRightInd w:val="0"/>
        <w:rPr>
          <w:b/>
          <w:bCs/>
          <w:color w:val="000000"/>
          <w:sz w:val="22"/>
          <w:szCs w:val="22"/>
        </w:rPr>
      </w:pPr>
      <w:r>
        <w:rPr>
          <w:b/>
          <w:bCs/>
          <w:color w:val="000000"/>
          <w:sz w:val="22"/>
          <w:szCs w:val="22"/>
        </w:rPr>
        <w:tab/>
      </w:r>
      <w:r w:rsidRPr="006679B5">
        <w:rPr>
          <w:b/>
          <w:bCs/>
          <w:color w:val="000000"/>
          <w:sz w:val="22"/>
          <w:szCs w:val="22"/>
        </w:rPr>
        <w:t>TOTAL INCREASE</w:t>
      </w:r>
      <w:r w:rsidRPr="006679B5">
        <w:rPr>
          <w:b/>
          <w:bCs/>
          <w:color w:val="000000"/>
          <w:sz w:val="22"/>
          <w:szCs w:val="22"/>
        </w:rPr>
        <w:tab/>
        <w:t>$</w:t>
      </w:r>
      <w:r>
        <w:rPr>
          <w:b/>
          <w:bCs/>
          <w:color w:val="000000"/>
          <w:sz w:val="22"/>
          <w:szCs w:val="22"/>
        </w:rPr>
        <w:t>9,292,0</w:t>
      </w:r>
      <w:r w:rsidRPr="006679B5">
        <w:rPr>
          <w:b/>
          <w:bCs/>
          <w:color w:val="000000"/>
          <w:sz w:val="22"/>
          <w:szCs w:val="22"/>
        </w:rPr>
        <w:t xml:space="preserve">00 </w:t>
      </w:r>
    </w:p>
    <w:p w:rsidR="00D85BFA" w:rsidRPr="006679B5" w:rsidRDefault="00D85BFA" w:rsidP="00D85BFA">
      <w:pPr>
        <w:pStyle w:val="BodyText"/>
        <w:tabs>
          <w:tab w:val="clear" w:pos="360"/>
          <w:tab w:val="left" w:pos="540"/>
        </w:tabs>
        <w:jc w:val="both"/>
        <w:rPr>
          <w:sz w:val="22"/>
          <w:szCs w:val="22"/>
        </w:rPr>
      </w:pPr>
    </w:p>
    <w:p w:rsidR="000550B1" w:rsidRPr="00041452" w:rsidRDefault="000550B1" w:rsidP="000550B1">
      <w:pPr>
        <w:pStyle w:val="BodyText"/>
        <w:tabs>
          <w:tab w:val="clear" w:pos="360"/>
          <w:tab w:val="left" w:pos="540"/>
        </w:tabs>
        <w:jc w:val="both"/>
        <w:rPr>
          <w:szCs w:val="23"/>
        </w:rPr>
      </w:pPr>
    </w:p>
    <w:p w:rsidR="0025275A" w:rsidRDefault="000550B1" w:rsidP="000550B1">
      <w:pPr>
        <w:pStyle w:val="BodyText"/>
        <w:tabs>
          <w:tab w:val="clear" w:pos="360"/>
          <w:tab w:val="left" w:pos="540"/>
        </w:tabs>
        <w:jc w:val="both"/>
        <w:rPr>
          <w:szCs w:val="23"/>
        </w:rPr>
      </w:pPr>
      <w:r w:rsidRPr="00041452">
        <w:rPr>
          <w:szCs w:val="23"/>
        </w:rPr>
        <w:t xml:space="preserve">The </w:t>
      </w:r>
      <w:r w:rsidR="00780459">
        <w:rPr>
          <w:szCs w:val="23"/>
        </w:rPr>
        <w:t xml:space="preserve">budgeted </w:t>
      </w:r>
      <w:r w:rsidRPr="00041452">
        <w:rPr>
          <w:szCs w:val="23"/>
        </w:rPr>
        <w:t xml:space="preserve">state appropriation reflects the actions taken by the most recent Kentucky General Assembly.  The budget includes state appropriations totaling $74.3 million, a decrease of $1,258,000.  </w:t>
      </w:r>
      <w:r w:rsidR="007F23C9" w:rsidRPr="00041452">
        <w:rPr>
          <w:szCs w:val="23"/>
        </w:rPr>
        <w:t>Funding previously appropriated to the Council on Postsecondary Education for the Regional Stewardship initiative is being allocated to the respective comprehensive universities.  WKU is receiving $268,200 in state funding; however, this represents a</w:t>
      </w:r>
      <w:r w:rsidR="00780459">
        <w:rPr>
          <w:szCs w:val="23"/>
        </w:rPr>
        <w:t>n offsetting</w:t>
      </w:r>
      <w:r w:rsidR="007F23C9" w:rsidRPr="00041452">
        <w:rPr>
          <w:szCs w:val="23"/>
        </w:rPr>
        <w:t xml:space="preserve"> loss in state grants as well.  Funding for state-supported bonds is decreasing $</w:t>
      </w:r>
      <w:r w:rsidR="00A00683">
        <w:rPr>
          <w:szCs w:val="23"/>
        </w:rPr>
        <w:t>1,408,300</w:t>
      </w:r>
      <w:r w:rsidR="007F23C9" w:rsidRPr="00041452">
        <w:rPr>
          <w:szCs w:val="23"/>
        </w:rPr>
        <w:t xml:space="preserve">.  There is no fiscal impact with this reduction as the bonds payments are decreasing by a like amount.  Lastly, </w:t>
      </w:r>
      <w:r w:rsidR="00780459">
        <w:rPr>
          <w:szCs w:val="23"/>
        </w:rPr>
        <w:t>t</w:t>
      </w:r>
      <w:r w:rsidR="007F23C9" w:rsidRPr="00041452">
        <w:rPr>
          <w:szCs w:val="23"/>
        </w:rPr>
        <w:t xml:space="preserve">he budget includes $1,005,200 in state funding to replace the State Fiscal Stabilization Funds </w:t>
      </w:r>
      <w:r w:rsidR="00FA63A1">
        <w:rPr>
          <w:szCs w:val="23"/>
        </w:rPr>
        <w:t xml:space="preserve">(SFSF) </w:t>
      </w:r>
      <w:r w:rsidR="007F23C9" w:rsidRPr="00041452">
        <w:rPr>
          <w:szCs w:val="23"/>
        </w:rPr>
        <w:t xml:space="preserve">which will </w:t>
      </w:r>
      <w:r w:rsidR="00780459">
        <w:rPr>
          <w:szCs w:val="23"/>
        </w:rPr>
        <w:t xml:space="preserve">be reduced </w:t>
      </w:r>
      <w:r w:rsidR="007F23C9" w:rsidRPr="00041452">
        <w:rPr>
          <w:szCs w:val="23"/>
        </w:rPr>
        <w:t xml:space="preserve">in FY 2011.  </w:t>
      </w:r>
      <w:r w:rsidR="00543149">
        <w:rPr>
          <w:szCs w:val="23"/>
        </w:rPr>
        <w:t>State Fiscal Stabilization Funds are supporting unrestricted expenditures</w:t>
      </w:r>
      <w:r w:rsidR="001D3BAA">
        <w:rPr>
          <w:szCs w:val="23"/>
        </w:rPr>
        <w:t xml:space="preserve">. </w:t>
      </w:r>
      <w:r w:rsidR="00543149">
        <w:rPr>
          <w:szCs w:val="23"/>
        </w:rPr>
        <w:t xml:space="preserve"> </w:t>
      </w:r>
      <w:r w:rsidR="001D3BAA">
        <w:rPr>
          <w:szCs w:val="23"/>
        </w:rPr>
        <w:t>T</w:t>
      </w:r>
      <w:r w:rsidR="00543149">
        <w:rPr>
          <w:szCs w:val="23"/>
        </w:rPr>
        <w:t xml:space="preserve">he funds are technically restricted funds from the Federal government.  </w:t>
      </w:r>
      <w:r w:rsidR="0025275A">
        <w:rPr>
          <w:szCs w:val="23"/>
        </w:rPr>
        <w:t xml:space="preserve">If state funding is not available in FY 2012, WKU could be faced with a budget reduction of $4,410,900 when no State Fiscal Stabilization Funds </w:t>
      </w:r>
      <w:r w:rsidR="00A00683">
        <w:rPr>
          <w:szCs w:val="23"/>
        </w:rPr>
        <w:t>remain</w:t>
      </w:r>
      <w:r w:rsidR="0025275A">
        <w:rPr>
          <w:szCs w:val="23"/>
        </w:rPr>
        <w:t>.</w:t>
      </w:r>
    </w:p>
    <w:p w:rsidR="0025275A" w:rsidRDefault="0025275A" w:rsidP="000550B1">
      <w:pPr>
        <w:pStyle w:val="BodyText"/>
        <w:tabs>
          <w:tab w:val="clear" w:pos="360"/>
          <w:tab w:val="left" w:pos="540"/>
        </w:tabs>
        <w:jc w:val="both"/>
        <w:rPr>
          <w:szCs w:val="23"/>
        </w:rPr>
      </w:pPr>
    </w:p>
    <w:p w:rsidR="007F23C9" w:rsidRDefault="007F23C9" w:rsidP="000550B1">
      <w:pPr>
        <w:pStyle w:val="BodyText"/>
        <w:tabs>
          <w:tab w:val="clear" w:pos="1440"/>
          <w:tab w:val="clear" w:pos="4320"/>
          <w:tab w:val="left" w:pos="720"/>
        </w:tabs>
        <w:jc w:val="both"/>
        <w:rPr>
          <w:szCs w:val="23"/>
        </w:rPr>
      </w:pPr>
      <w:r w:rsidRPr="00041452">
        <w:rPr>
          <w:szCs w:val="23"/>
        </w:rPr>
        <w:t xml:space="preserve">Changes </w:t>
      </w:r>
      <w:r w:rsidR="001709B3">
        <w:rPr>
          <w:szCs w:val="23"/>
        </w:rPr>
        <w:t xml:space="preserve">in </w:t>
      </w:r>
      <w:r w:rsidR="001709B3" w:rsidRPr="00041452">
        <w:rPr>
          <w:szCs w:val="23"/>
        </w:rPr>
        <w:t xml:space="preserve">state appropriations and State Fiscal Stabilization Funds </w:t>
      </w:r>
      <w:r w:rsidRPr="00041452">
        <w:rPr>
          <w:szCs w:val="23"/>
        </w:rPr>
        <w:t xml:space="preserve">between the </w:t>
      </w:r>
      <w:r w:rsidRPr="0023222C">
        <w:rPr>
          <w:szCs w:val="23"/>
          <w:u w:val="single"/>
        </w:rPr>
        <w:t>original</w:t>
      </w:r>
      <w:r w:rsidRPr="00041452">
        <w:rPr>
          <w:szCs w:val="23"/>
        </w:rPr>
        <w:t xml:space="preserve"> FY 2009-10 </w:t>
      </w:r>
      <w:proofErr w:type="gramStart"/>
      <w:r w:rsidRPr="00041452">
        <w:rPr>
          <w:szCs w:val="23"/>
        </w:rPr>
        <w:t>budget</w:t>
      </w:r>
      <w:proofErr w:type="gramEnd"/>
      <w:r w:rsidRPr="00041452">
        <w:rPr>
          <w:szCs w:val="23"/>
        </w:rPr>
        <w:t xml:space="preserve"> and the FY</w:t>
      </w:r>
      <w:r w:rsidR="001709B3">
        <w:rPr>
          <w:szCs w:val="23"/>
        </w:rPr>
        <w:t xml:space="preserve"> </w:t>
      </w:r>
      <w:r w:rsidRPr="00041452">
        <w:rPr>
          <w:szCs w:val="23"/>
        </w:rPr>
        <w:t>2010-11</w:t>
      </w:r>
      <w:r w:rsidR="001709B3">
        <w:rPr>
          <w:szCs w:val="23"/>
        </w:rPr>
        <w:t xml:space="preserve"> </w:t>
      </w:r>
      <w:r w:rsidRPr="00041452">
        <w:rPr>
          <w:szCs w:val="23"/>
        </w:rPr>
        <w:t>budget</w:t>
      </w:r>
      <w:r w:rsidR="00780459">
        <w:rPr>
          <w:szCs w:val="23"/>
        </w:rPr>
        <w:t xml:space="preserve"> </w:t>
      </w:r>
      <w:r w:rsidRPr="00041452">
        <w:rPr>
          <w:szCs w:val="23"/>
        </w:rPr>
        <w:t>are summarized as follows:</w:t>
      </w:r>
    </w:p>
    <w:p w:rsidR="001709B3" w:rsidRDefault="001709B3" w:rsidP="000550B1">
      <w:pPr>
        <w:pStyle w:val="BodyText"/>
        <w:tabs>
          <w:tab w:val="clear" w:pos="1440"/>
          <w:tab w:val="clear" w:pos="4320"/>
          <w:tab w:val="left" w:pos="720"/>
        </w:tabs>
        <w:jc w:val="both"/>
        <w:rPr>
          <w:szCs w:val="23"/>
        </w:rPr>
      </w:pPr>
    </w:p>
    <w:p w:rsidR="007F23C9" w:rsidRDefault="0023222C" w:rsidP="0025275A">
      <w:pPr>
        <w:pStyle w:val="BodyText"/>
        <w:tabs>
          <w:tab w:val="clear" w:pos="1440"/>
          <w:tab w:val="clear" w:pos="4320"/>
          <w:tab w:val="clear" w:pos="5040"/>
          <w:tab w:val="left" w:pos="720"/>
          <w:tab w:val="right" w:pos="5940"/>
        </w:tabs>
        <w:jc w:val="both"/>
        <w:rPr>
          <w:b/>
          <w:szCs w:val="23"/>
        </w:rPr>
      </w:pPr>
      <w:r w:rsidRPr="00FA63A1">
        <w:rPr>
          <w:b/>
          <w:szCs w:val="23"/>
        </w:rPr>
        <w:t>House Bill 406, FY 2010</w:t>
      </w:r>
      <w:r w:rsidRPr="00FA63A1">
        <w:rPr>
          <w:b/>
          <w:szCs w:val="23"/>
        </w:rPr>
        <w:tab/>
      </w:r>
      <w:r w:rsidRPr="00FA63A1">
        <w:rPr>
          <w:b/>
          <w:szCs w:val="23"/>
        </w:rPr>
        <w:tab/>
      </w:r>
      <w:r w:rsidRPr="00FA63A1">
        <w:rPr>
          <w:b/>
          <w:szCs w:val="23"/>
        </w:rPr>
        <w:tab/>
        <w:t>$83,371,600</w:t>
      </w:r>
    </w:p>
    <w:p w:rsidR="00D85BFA" w:rsidRDefault="00D85BFA" w:rsidP="0025275A">
      <w:pPr>
        <w:pStyle w:val="BodyText"/>
        <w:tabs>
          <w:tab w:val="clear" w:pos="1440"/>
          <w:tab w:val="clear" w:pos="4320"/>
          <w:tab w:val="clear" w:pos="5040"/>
          <w:tab w:val="left" w:pos="720"/>
          <w:tab w:val="right" w:pos="5940"/>
        </w:tabs>
        <w:jc w:val="both"/>
        <w:rPr>
          <w:szCs w:val="23"/>
        </w:rPr>
      </w:pPr>
    </w:p>
    <w:p w:rsidR="0023222C" w:rsidRDefault="0023222C" w:rsidP="0025275A">
      <w:pPr>
        <w:pStyle w:val="BodyText"/>
        <w:tabs>
          <w:tab w:val="clear" w:pos="1440"/>
          <w:tab w:val="clear" w:pos="4320"/>
          <w:tab w:val="clear" w:pos="5040"/>
          <w:tab w:val="left" w:pos="720"/>
          <w:tab w:val="right" w:pos="5940"/>
        </w:tabs>
        <w:jc w:val="both"/>
        <w:rPr>
          <w:szCs w:val="23"/>
        </w:rPr>
      </w:pPr>
      <w:r>
        <w:rPr>
          <w:szCs w:val="23"/>
        </w:rPr>
        <w:t xml:space="preserve">FY 2010 </w:t>
      </w:r>
      <w:r w:rsidR="008A2E86">
        <w:rPr>
          <w:szCs w:val="23"/>
        </w:rPr>
        <w:t xml:space="preserve">Proposed </w:t>
      </w:r>
      <w:r>
        <w:rPr>
          <w:szCs w:val="23"/>
        </w:rPr>
        <w:t>Increase Eliminated</w:t>
      </w:r>
      <w:r>
        <w:rPr>
          <w:szCs w:val="23"/>
        </w:rPr>
        <w:tab/>
        <w:t>(787,200)</w:t>
      </w:r>
    </w:p>
    <w:p w:rsidR="0023222C" w:rsidRDefault="0023222C" w:rsidP="0025275A">
      <w:pPr>
        <w:pStyle w:val="BodyText"/>
        <w:tabs>
          <w:tab w:val="clear" w:pos="1440"/>
          <w:tab w:val="clear" w:pos="4320"/>
          <w:tab w:val="clear" w:pos="5040"/>
          <w:tab w:val="left" w:pos="720"/>
          <w:tab w:val="right" w:pos="5940"/>
        </w:tabs>
        <w:jc w:val="both"/>
        <w:rPr>
          <w:szCs w:val="23"/>
        </w:rPr>
      </w:pPr>
      <w:r>
        <w:rPr>
          <w:szCs w:val="23"/>
        </w:rPr>
        <w:t>2% Mandated Budget Reduction</w:t>
      </w:r>
      <w:r>
        <w:rPr>
          <w:szCs w:val="23"/>
        </w:rPr>
        <w:tab/>
      </w:r>
      <w:r>
        <w:rPr>
          <w:szCs w:val="23"/>
        </w:rPr>
        <w:tab/>
        <w:t>(1,612,500)</w:t>
      </w:r>
    </w:p>
    <w:p w:rsidR="00543149" w:rsidRDefault="00543149" w:rsidP="0025275A">
      <w:pPr>
        <w:pStyle w:val="BodyText"/>
        <w:tabs>
          <w:tab w:val="clear" w:pos="1440"/>
          <w:tab w:val="clear" w:pos="4320"/>
          <w:tab w:val="clear" w:pos="5040"/>
          <w:tab w:val="left" w:pos="720"/>
          <w:tab w:val="right" w:pos="5940"/>
        </w:tabs>
        <w:jc w:val="both"/>
        <w:rPr>
          <w:szCs w:val="23"/>
        </w:rPr>
      </w:pPr>
      <w:r>
        <w:rPr>
          <w:szCs w:val="23"/>
        </w:rPr>
        <w:t>Decrease in State Appropriation</w:t>
      </w:r>
      <w:r>
        <w:rPr>
          <w:szCs w:val="23"/>
        </w:rPr>
        <w:tab/>
      </w:r>
      <w:r>
        <w:rPr>
          <w:szCs w:val="23"/>
        </w:rPr>
        <w:tab/>
        <w:t>(5,416,100)</w:t>
      </w:r>
    </w:p>
    <w:p w:rsidR="00543149" w:rsidRDefault="00543149" w:rsidP="0025275A">
      <w:pPr>
        <w:pStyle w:val="BodyText"/>
        <w:tabs>
          <w:tab w:val="clear" w:pos="1440"/>
          <w:tab w:val="clear" w:pos="4320"/>
          <w:tab w:val="clear" w:pos="5040"/>
          <w:tab w:val="left" w:pos="720"/>
          <w:tab w:val="right" w:pos="5940"/>
        </w:tabs>
        <w:jc w:val="both"/>
        <w:rPr>
          <w:szCs w:val="23"/>
        </w:rPr>
      </w:pPr>
      <w:r>
        <w:rPr>
          <w:szCs w:val="23"/>
        </w:rPr>
        <w:t>Allocation of State Fiscal Stabilization</w:t>
      </w:r>
      <w:r>
        <w:rPr>
          <w:szCs w:val="23"/>
        </w:rPr>
        <w:tab/>
        <w:t>Funds</w:t>
      </w:r>
      <w:r>
        <w:rPr>
          <w:szCs w:val="23"/>
        </w:rPr>
        <w:tab/>
        <w:t>5,416,100</w:t>
      </w:r>
    </w:p>
    <w:p w:rsidR="00543149" w:rsidRDefault="00543149" w:rsidP="0025275A">
      <w:pPr>
        <w:pStyle w:val="BodyText"/>
        <w:tabs>
          <w:tab w:val="clear" w:pos="1440"/>
          <w:tab w:val="clear" w:pos="4320"/>
          <w:tab w:val="clear" w:pos="5040"/>
          <w:tab w:val="left" w:pos="720"/>
          <w:tab w:val="right" w:pos="5940"/>
        </w:tabs>
        <w:jc w:val="both"/>
        <w:rPr>
          <w:szCs w:val="23"/>
        </w:rPr>
      </w:pPr>
      <w:r>
        <w:rPr>
          <w:szCs w:val="23"/>
        </w:rPr>
        <w:t>Transfer of Regional Stewardship Funds</w:t>
      </w:r>
      <w:r>
        <w:rPr>
          <w:szCs w:val="23"/>
        </w:rPr>
        <w:tab/>
        <w:t>268,200</w:t>
      </w:r>
    </w:p>
    <w:p w:rsidR="00543149" w:rsidRDefault="00543149" w:rsidP="0025275A">
      <w:pPr>
        <w:pStyle w:val="BodyText"/>
        <w:tabs>
          <w:tab w:val="clear" w:pos="1440"/>
          <w:tab w:val="clear" w:pos="4320"/>
          <w:tab w:val="clear" w:pos="5040"/>
          <w:tab w:val="left" w:pos="720"/>
          <w:tab w:val="right" w:pos="5940"/>
        </w:tabs>
        <w:jc w:val="both"/>
        <w:rPr>
          <w:szCs w:val="23"/>
        </w:rPr>
      </w:pPr>
      <w:r>
        <w:rPr>
          <w:szCs w:val="23"/>
        </w:rPr>
        <w:t>Decrease in State Fiscal Stabilization Funds</w:t>
      </w:r>
      <w:r>
        <w:rPr>
          <w:szCs w:val="23"/>
        </w:rPr>
        <w:tab/>
        <w:t>(1,005,200)</w:t>
      </w:r>
    </w:p>
    <w:p w:rsidR="0025275A" w:rsidRDefault="0025275A" w:rsidP="00775A82">
      <w:pPr>
        <w:pStyle w:val="BodyText"/>
        <w:tabs>
          <w:tab w:val="clear" w:pos="1440"/>
          <w:tab w:val="clear" w:pos="4320"/>
          <w:tab w:val="clear" w:pos="5040"/>
          <w:tab w:val="clear" w:pos="6120"/>
          <w:tab w:val="left" w:pos="720"/>
          <w:tab w:val="right" w:pos="5940"/>
        </w:tabs>
        <w:jc w:val="both"/>
        <w:rPr>
          <w:szCs w:val="23"/>
        </w:rPr>
      </w:pPr>
      <w:r>
        <w:rPr>
          <w:szCs w:val="23"/>
        </w:rPr>
        <w:t>Replacement of State Fiscal Stabilization Funds</w:t>
      </w:r>
      <w:r w:rsidR="00775A82">
        <w:rPr>
          <w:szCs w:val="23"/>
        </w:rPr>
        <w:tab/>
        <w:t>1,005,200</w:t>
      </w:r>
    </w:p>
    <w:p w:rsidR="00FA63A1" w:rsidRDefault="00FA63A1" w:rsidP="0025275A">
      <w:pPr>
        <w:pStyle w:val="BodyText"/>
        <w:tabs>
          <w:tab w:val="clear" w:pos="1440"/>
          <w:tab w:val="clear" w:pos="4320"/>
          <w:tab w:val="clear" w:pos="5040"/>
          <w:tab w:val="left" w:pos="720"/>
          <w:tab w:val="right" w:pos="5940"/>
        </w:tabs>
        <w:jc w:val="both"/>
        <w:rPr>
          <w:szCs w:val="23"/>
        </w:rPr>
      </w:pPr>
      <w:r>
        <w:rPr>
          <w:szCs w:val="23"/>
        </w:rPr>
        <w:t>Decrease in State Appropriation (1.4%)</w:t>
      </w:r>
      <w:r>
        <w:rPr>
          <w:szCs w:val="23"/>
        </w:rPr>
        <w:tab/>
        <w:t>(1,123,100)</w:t>
      </w:r>
    </w:p>
    <w:p w:rsidR="00FA63A1" w:rsidRPr="00041452" w:rsidRDefault="00FA63A1" w:rsidP="0025275A">
      <w:pPr>
        <w:pStyle w:val="BodyText"/>
        <w:tabs>
          <w:tab w:val="clear" w:pos="1440"/>
          <w:tab w:val="clear" w:pos="4320"/>
          <w:tab w:val="clear" w:pos="5040"/>
          <w:tab w:val="left" w:pos="720"/>
          <w:tab w:val="right" w:pos="5940"/>
        </w:tabs>
        <w:jc w:val="both"/>
        <w:rPr>
          <w:szCs w:val="23"/>
        </w:rPr>
      </w:pPr>
      <w:r>
        <w:rPr>
          <w:szCs w:val="23"/>
        </w:rPr>
        <w:t>Reduction in Debt Service, Existing Bonds</w:t>
      </w:r>
      <w:r>
        <w:rPr>
          <w:szCs w:val="23"/>
        </w:rPr>
        <w:tab/>
        <w:t>(1,408,300)</w:t>
      </w:r>
    </w:p>
    <w:p w:rsidR="00D85BFA" w:rsidRDefault="00D85BFA" w:rsidP="0025275A">
      <w:pPr>
        <w:pStyle w:val="BodyText"/>
        <w:tabs>
          <w:tab w:val="clear" w:pos="1440"/>
          <w:tab w:val="clear" w:pos="4320"/>
          <w:tab w:val="clear" w:pos="5040"/>
          <w:tab w:val="left" w:pos="720"/>
          <w:tab w:val="right" w:pos="5940"/>
        </w:tabs>
        <w:jc w:val="both"/>
        <w:rPr>
          <w:b/>
          <w:szCs w:val="23"/>
        </w:rPr>
      </w:pPr>
    </w:p>
    <w:p w:rsidR="0025275A" w:rsidRPr="0025275A" w:rsidRDefault="00FA63A1" w:rsidP="0025275A">
      <w:pPr>
        <w:pStyle w:val="BodyText"/>
        <w:tabs>
          <w:tab w:val="clear" w:pos="1440"/>
          <w:tab w:val="clear" w:pos="4320"/>
          <w:tab w:val="clear" w:pos="5040"/>
          <w:tab w:val="left" w:pos="720"/>
          <w:tab w:val="right" w:pos="5940"/>
        </w:tabs>
        <w:jc w:val="both"/>
        <w:rPr>
          <w:b/>
          <w:szCs w:val="23"/>
        </w:rPr>
      </w:pPr>
      <w:r w:rsidRPr="0025275A">
        <w:rPr>
          <w:b/>
          <w:szCs w:val="23"/>
        </w:rPr>
        <w:t>House Bill 1, FY 2011 (including SFSF)</w:t>
      </w:r>
      <w:r w:rsidR="0025275A" w:rsidRPr="0025275A">
        <w:rPr>
          <w:b/>
          <w:szCs w:val="23"/>
        </w:rPr>
        <w:tab/>
        <w:t>$78,708,700</w:t>
      </w:r>
    </w:p>
    <w:p w:rsidR="0025275A" w:rsidRDefault="0025275A" w:rsidP="0025275A">
      <w:pPr>
        <w:pStyle w:val="BodyText"/>
        <w:tabs>
          <w:tab w:val="clear" w:pos="1440"/>
          <w:tab w:val="clear" w:pos="4320"/>
          <w:tab w:val="clear" w:pos="5040"/>
          <w:tab w:val="left" w:pos="720"/>
          <w:tab w:val="right" w:pos="5940"/>
        </w:tabs>
        <w:jc w:val="both"/>
        <w:rPr>
          <w:szCs w:val="23"/>
        </w:rPr>
      </w:pPr>
    </w:p>
    <w:p w:rsidR="0025275A" w:rsidRDefault="0025275A" w:rsidP="0025275A">
      <w:pPr>
        <w:pStyle w:val="BodyText"/>
        <w:tabs>
          <w:tab w:val="clear" w:pos="1440"/>
          <w:tab w:val="clear" w:pos="4320"/>
          <w:tab w:val="clear" w:pos="5040"/>
          <w:tab w:val="left" w:pos="720"/>
          <w:tab w:val="right" w:pos="5940"/>
        </w:tabs>
        <w:jc w:val="both"/>
        <w:rPr>
          <w:szCs w:val="23"/>
        </w:rPr>
      </w:pPr>
      <w:r>
        <w:rPr>
          <w:szCs w:val="23"/>
        </w:rPr>
        <w:t>Percent Change in Operating Funds</w:t>
      </w:r>
      <w:r w:rsidR="00775A82">
        <w:rPr>
          <w:szCs w:val="23"/>
        </w:rPr>
        <w:tab/>
      </w:r>
      <w:r w:rsidR="00775A82">
        <w:rPr>
          <w:szCs w:val="23"/>
        </w:rPr>
        <w:tab/>
        <w:t>(4.0%)</w:t>
      </w:r>
    </w:p>
    <w:p w:rsidR="007F23C9" w:rsidRPr="00041452" w:rsidRDefault="0025275A" w:rsidP="0025275A">
      <w:pPr>
        <w:pStyle w:val="BodyText"/>
        <w:tabs>
          <w:tab w:val="clear" w:pos="1440"/>
          <w:tab w:val="clear" w:pos="4320"/>
          <w:tab w:val="clear" w:pos="5040"/>
          <w:tab w:val="left" w:pos="720"/>
          <w:tab w:val="right" w:pos="5940"/>
        </w:tabs>
        <w:jc w:val="both"/>
        <w:rPr>
          <w:szCs w:val="23"/>
        </w:rPr>
      </w:pPr>
      <w:r>
        <w:rPr>
          <w:szCs w:val="23"/>
        </w:rPr>
        <w:t>Percent Change in Debt Service</w:t>
      </w:r>
      <w:r w:rsidR="00FA63A1">
        <w:rPr>
          <w:szCs w:val="23"/>
        </w:rPr>
        <w:tab/>
      </w:r>
      <w:r w:rsidR="00775A82">
        <w:rPr>
          <w:szCs w:val="23"/>
        </w:rPr>
        <w:tab/>
        <w:t>(71.9%)</w:t>
      </w:r>
    </w:p>
    <w:p w:rsidR="004F135D" w:rsidRDefault="004F135D">
      <w:pPr>
        <w:pStyle w:val="BodyText"/>
        <w:tabs>
          <w:tab w:val="clear" w:pos="360"/>
          <w:tab w:val="left" w:pos="540"/>
        </w:tabs>
        <w:jc w:val="both"/>
        <w:rPr>
          <w:szCs w:val="23"/>
        </w:rPr>
      </w:pPr>
    </w:p>
    <w:p w:rsidR="00D85BFA" w:rsidRDefault="00D85BFA" w:rsidP="00D85BFA">
      <w:pPr>
        <w:pStyle w:val="BodyText"/>
        <w:tabs>
          <w:tab w:val="clear" w:pos="360"/>
          <w:tab w:val="left" w:pos="540"/>
        </w:tabs>
        <w:jc w:val="both"/>
        <w:rPr>
          <w:szCs w:val="23"/>
        </w:rPr>
      </w:pPr>
      <w:r w:rsidRPr="00041452">
        <w:rPr>
          <w:szCs w:val="23"/>
        </w:rPr>
        <w:lastRenderedPageBreak/>
        <w:t xml:space="preserve">State appropriation will account for 20.7 percent of </w:t>
      </w:r>
      <w:r w:rsidRPr="00041452">
        <w:rPr>
          <w:szCs w:val="23"/>
          <w:u w:val="single"/>
        </w:rPr>
        <w:t>total</w:t>
      </w:r>
      <w:r w:rsidRPr="00041452">
        <w:rPr>
          <w:szCs w:val="23"/>
        </w:rPr>
        <w:t xml:space="preserve"> E&amp;G budget and 27.4 percent of the </w:t>
      </w:r>
      <w:r w:rsidRPr="00041452">
        <w:rPr>
          <w:szCs w:val="23"/>
          <w:u w:val="single"/>
        </w:rPr>
        <w:t>unrestricted</w:t>
      </w:r>
      <w:r w:rsidRPr="00041452">
        <w:rPr>
          <w:szCs w:val="23"/>
        </w:rPr>
        <w:t xml:space="preserve"> E&amp;G budget of WKU.  </w:t>
      </w:r>
      <w:r>
        <w:rPr>
          <w:szCs w:val="23"/>
        </w:rPr>
        <w:t xml:space="preserve">Actual and projected state </w:t>
      </w:r>
      <w:proofErr w:type="gramStart"/>
      <w:r>
        <w:rPr>
          <w:szCs w:val="23"/>
        </w:rPr>
        <w:t>support per FTE student are</w:t>
      </w:r>
      <w:proofErr w:type="gramEnd"/>
      <w:r>
        <w:rPr>
          <w:szCs w:val="23"/>
        </w:rPr>
        <w:t xml:space="preserve"> as follows:</w:t>
      </w:r>
    </w:p>
    <w:p w:rsidR="00D85BFA" w:rsidRDefault="00D85BFA" w:rsidP="00D85BFA">
      <w:pPr>
        <w:pStyle w:val="BodyText"/>
        <w:tabs>
          <w:tab w:val="clear" w:pos="360"/>
          <w:tab w:val="left" w:pos="540"/>
        </w:tabs>
        <w:jc w:val="both"/>
        <w:rPr>
          <w:szCs w:val="23"/>
        </w:rPr>
      </w:pPr>
    </w:p>
    <w:p w:rsidR="00D85BFA" w:rsidRDefault="00D85BFA" w:rsidP="00D85BFA">
      <w:pPr>
        <w:pStyle w:val="BodyText"/>
        <w:tabs>
          <w:tab w:val="clear" w:pos="360"/>
          <w:tab w:val="clear" w:pos="2160"/>
          <w:tab w:val="clear" w:pos="2880"/>
          <w:tab w:val="clear" w:pos="3600"/>
          <w:tab w:val="clear" w:pos="4320"/>
          <w:tab w:val="clear" w:pos="5040"/>
          <w:tab w:val="clear" w:pos="6120"/>
          <w:tab w:val="clear" w:pos="6840"/>
          <w:tab w:val="left" w:pos="540"/>
          <w:tab w:val="righ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3"/>
        </w:rPr>
      </w:pPr>
      <w:r>
        <w:rPr>
          <w:szCs w:val="23"/>
        </w:rPr>
        <w:tab/>
      </w:r>
      <w:r>
        <w:rPr>
          <w:szCs w:val="23"/>
        </w:rPr>
        <w:tab/>
      </w:r>
      <w:r>
        <w:rPr>
          <w:szCs w:val="23"/>
        </w:rPr>
        <w:tab/>
        <w:t>State Appropriation</w:t>
      </w:r>
    </w:p>
    <w:p w:rsidR="00D85BFA" w:rsidRDefault="00D85BFA" w:rsidP="00D85BFA">
      <w:pPr>
        <w:pStyle w:val="BodyText"/>
        <w:tabs>
          <w:tab w:val="clear" w:pos="360"/>
          <w:tab w:val="clear" w:pos="1440"/>
          <w:tab w:val="clear" w:pos="2160"/>
          <w:tab w:val="clear" w:pos="2880"/>
          <w:tab w:val="clear" w:pos="3600"/>
          <w:tab w:val="clear" w:pos="5040"/>
          <w:tab w:val="clear" w:pos="6120"/>
          <w:tab w:val="clear" w:pos="6840"/>
          <w:tab w:val="left" w:pos="540"/>
          <w:tab w:val="right" w:pos="4320"/>
          <w:tab w:val="right" w:pos="6660"/>
          <w:tab w:val="righ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Cs w:val="23"/>
        </w:rPr>
        <w:tab/>
      </w:r>
      <w:r>
        <w:rPr>
          <w:sz w:val="22"/>
          <w:szCs w:val="22"/>
          <w:u w:val="single"/>
        </w:rPr>
        <w:t>Year</w:t>
      </w:r>
      <w:r>
        <w:rPr>
          <w:sz w:val="22"/>
          <w:szCs w:val="22"/>
        </w:rPr>
        <w:tab/>
      </w:r>
      <w:r>
        <w:rPr>
          <w:sz w:val="22"/>
          <w:szCs w:val="22"/>
          <w:u w:val="single"/>
        </w:rPr>
        <w:t>FTE Students</w:t>
      </w:r>
      <w:r>
        <w:rPr>
          <w:sz w:val="22"/>
          <w:szCs w:val="22"/>
        </w:rPr>
        <w:tab/>
      </w:r>
      <w:r>
        <w:rPr>
          <w:sz w:val="22"/>
          <w:szCs w:val="22"/>
          <w:u w:val="single"/>
        </w:rPr>
        <w:t>State Appropriation</w:t>
      </w:r>
      <w:r>
        <w:rPr>
          <w:sz w:val="22"/>
          <w:szCs w:val="22"/>
        </w:rPr>
        <w:tab/>
      </w:r>
      <w:proofErr w:type="gramStart"/>
      <w:r>
        <w:rPr>
          <w:sz w:val="22"/>
          <w:szCs w:val="22"/>
          <w:u w:val="single"/>
        </w:rPr>
        <w:t>Per</w:t>
      </w:r>
      <w:proofErr w:type="gramEnd"/>
      <w:r>
        <w:rPr>
          <w:sz w:val="22"/>
          <w:szCs w:val="22"/>
          <w:u w:val="single"/>
        </w:rPr>
        <w:t xml:space="preserve"> FTE Student</w:t>
      </w:r>
      <w:r>
        <w:rPr>
          <w:sz w:val="22"/>
          <w:szCs w:val="22"/>
        </w:rPr>
        <w:tab/>
      </w:r>
    </w:p>
    <w:p w:rsidR="00D85BFA" w:rsidRDefault="00D85BFA" w:rsidP="00D85BFA">
      <w:pPr>
        <w:pStyle w:val="BodyText"/>
        <w:tabs>
          <w:tab w:val="clear" w:pos="360"/>
          <w:tab w:val="clear" w:pos="1440"/>
          <w:tab w:val="clear" w:pos="2160"/>
          <w:tab w:val="clear" w:pos="2880"/>
          <w:tab w:val="clear" w:pos="3600"/>
          <w:tab w:val="clear" w:pos="4320"/>
          <w:tab w:val="clear" w:pos="6120"/>
          <w:tab w:val="clear" w:pos="6840"/>
          <w:tab w:val="left" w:pos="540"/>
          <w:tab w:val="right" w:pos="2520"/>
          <w:tab w:val="right" w:pos="5040"/>
          <w:tab w:val="right" w:pos="73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left" w:pos="540"/>
          <w:tab w:val="right" w:pos="3960"/>
          <w:tab w:val="right" w:pos="630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 xml:space="preserve">1999-00 </w:t>
      </w:r>
      <w:r>
        <w:rPr>
          <w:sz w:val="22"/>
          <w:szCs w:val="22"/>
        </w:rPr>
        <w:tab/>
        <w:t>12,238</w:t>
      </w:r>
      <w:r>
        <w:rPr>
          <w:sz w:val="22"/>
          <w:szCs w:val="22"/>
        </w:rPr>
        <w:tab/>
        <w:t>$55,653,400</w:t>
      </w:r>
      <w:r>
        <w:rPr>
          <w:sz w:val="22"/>
          <w:szCs w:val="22"/>
        </w:rPr>
        <w:tab/>
        <w:t>$4,548</w:t>
      </w: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left" w:pos="540"/>
          <w:tab w:val="right" w:pos="3960"/>
          <w:tab w:val="right" w:pos="630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 xml:space="preserve">2009-10 </w:t>
      </w:r>
      <w:r>
        <w:rPr>
          <w:sz w:val="22"/>
          <w:szCs w:val="22"/>
        </w:rPr>
        <w:tab/>
        <w:t>16,466</w:t>
      </w:r>
      <w:r>
        <w:rPr>
          <w:sz w:val="22"/>
          <w:szCs w:val="22"/>
        </w:rPr>
        <w:tab/>
        <w:t>$70,967,600</w:t>
      </w:r>
      <w:r>
        <w:rPr>
          <w:sz w:val="22"/>
          <w:szCs w:val="22"/>
        </w:rPr>
        <w:tab/>
        <w:t>$4,310</w:t>
      </w: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left" w:pos="540"/>
          <w:tab w:val="right" w:pos="3960"/>
          <w:tab w:val="right" w:pos="6300"/>
          <w:tab w:val="right" w:pos="8640"/>
          <w:tab w:val="right" w:pos="877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shd w:val="clear" w:color="auto" w:fill="E0E0E0"/>
        </w:rPr>
      </w:pPr>
      <w:r>
        <w:rPr>
          <w:sz w:val="22"/>
          <w:szCs w:val="22"/>
        </w:rPr>
        <w:tab/>
      </w:r>
      <w:r>
        <w:rPr>
          <w:sz w:val="22"/>
          <w:szCs w:val="22"/>
          <w:highlight w:val="lightGray"/>
        </w:rPr>
        <w:t>10</w:t>
      </w:r>
      <w:r w:rsidRPr="008943DF">
        <w:rPr>
          <w:sz w:val="22"/>
          <w:szCs w:val="22"/>
          <w:highlight w:val="lightGray"/>
        </w:rPr>
        <w:t>-</w:t>
      </w:r>
      <w:r w:rsidRPr="008943DF">
        <w:rPr>
          <w:sz w:val="22"/>
          <w:szCs w:val="22"/>
          <w:highlight w:val="lightGray"/>
          <w:shd w:val="clear" w:color="auto" w:fill="E0E0E0"/>
        </w:rPr>
        <w:t>Yr Pct Change</w:t>
      </w:r>
      <w:r w:rsidRPr="008943DF">
        <w:rPr>
          <w:sz w:val="22"/>
          <w:szCs w:val="22"/>
          <w:highlight w:val="lightGray"/>
          <w:shd w:val="clear" w:color="auto" w:fill="E0E0E0"/>
        </w:rPr>
        <w:tab/>
      </w:r>
      <w:r>
        <w:rPr>
          <w:sz w:val="22"/>
          <w:szCs w:val="22"/>
          <w:highlight w:val="lightGray"/>
          <w:shd w:val="clear" w:color="auto" w:fill="E0E0E0"/>
        </w:rPr>
        <w:t>34.5%</w:t>
      </w:r>
      <w:r w:rsidRPr="008943DF">
        <w:rPr>
          <w:sz w:val="22"/>
          <w:szCs w:val="22"/>
          <w:highlight w:val="lightGray"/>
          <w:shd w:val="clear" w:color="auto" w:fill="E0E0E0"/>
        </w:rPr>
        <w:tab/>
      </w:r>
      <w:r>
        <w:rPr>
          <w:sz w:val="22"/>
          <w:szCs w:val="22"/>
          <w:highlight w:val="lightGray"/>
          <w:shd w:val="clear" w:color="auto" w:fill="E0E0E0"/>
        </w:rPr>
        <w:t>27.5%</w:t>
      </w:r>
      <w:r w:rsidRPr="008943DF">
        <w:rPr>
          <w:sz w:val="22"/>
          <w:szCs w:val="22"/>
          <w:highlight w:val="lightGray"/>
          <w:shd w:val="clear" w:color="auto" w:fill="E0E0E0"/>
        </w:rPr>
        <w:tab/>
      </w:r>
      <w:r>
        <w:rPr>
          <w:sz w:val="22"/>
          <w:szCs w:val="22"/>
          <w:highlight w:val="lightGray"/>
          <w:shd w:val="clear" w:color="auto" w:fill="E0E0E0"/>
        </w:rPr>
        <w:t>(5.2</w:t>
      </w:r>
      <w:r w:rsidRPr="008943DF">
        <w:rPr>
          <w:sz w:val="22"/>
          <w:szCs w:val="22"/>
          <w:highlight w:val="lightGray"/>
          <w:shd w:val="clear" w:color="auto" w:fill="E0E0E0"/>
        </w:rPr>
        <w:t>%</w:t>
      </w:r>
      <w:r w:rsidRPr="000849B7">
        <w:rPr>
          <w:sz w:val="22"/>
          <w:szCs w:val="22"/>
          <w:highlight w:val="lightGray"/>
          <w:shd w:val="clear" w:color="auto" w:fill="E0E0E0"/>
        </w:rPr>
        <w:t>)</w:t>
      </w: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left" w:pos="540"/>
          <w:tab w:val="right" w:pos="3960"/>
          <w:tab w:val="right" w:pos="6300"/>
          <w:tab w:val="right" w:pos="8640"/>
          <w:tab w:val="right" w:pos="877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 xml:space="preserve">  </w:t>
      </w:r>
      <w:r>
        <w:rPr>
          <w:sz w:val="22"/>
          <w:szCs w:val="22"/>
        </w:rPr>
        <w:tab/>
      </w:r>
      <w:r>
        <w:rPr>
          <w:sz w:val="22"/>
          <w:szCs w:val="22"/>
        </w:rPr>
        <w:tab/>
      </w:r>
      <w:r>
        <w:rPr>
          <w:sz w:val="22"/>
          <w:szCs w:val="22"/>
        </w:rPr>
        <w:tab/>
      </w:r>
      <w:r>
        <w:rPr>
          <w:sz w:val="22"/>
          <w:szCs w:val="22"/>
        </w:rPr>
        <w:tab/>
      </w: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left" w:pos="540"/>
          <w:tab w:val="right" w:pos="3960"/>
          <w:tab w:val="right" w:pos="630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t>2010-11 (Projected)</w:t>
      </w:r>
      <w:r>
        <w:rPr>
          <w:sz w:val="22"/>
          <w:szCs w:val="22"/>
        </w:rPr>
        <w:tab/>
        <w:t>16,466</w:t>
      </w:r>
      <w:r>
        <w:rPr>
          <w:sz w:val="22"/>
          <w:szCs w:val="22"/>
        </w:rPr>
        <w:tab/>
        <w:t>$71,090,400</w:t>
      </w:r>
      <w:r>
        <w:rPr>
          <w:sz w:val="22"/>
          <w:szCs w:val="22"/>
        </w:rPr>
        <w:tab/>
        <w:t>$4,317</w:t>
      </w:r>
    </w:p>
    <w:p w:rsidR="00D85BFA" w:rsidRDefault="00D85BFA" w:rsidP="00D85BFA">
      <w:pPr>
        <w:pStyle w:val="BodyText"/>
        <w:tabs>
          <w:tab w:val="clear" w:pos="360"/>
          <w:tab w:val="clear" w:pos="1440"/>
          <w:tab w:val="clear" w:pos="2160"/>
          <w:tab w:val="clear" w:pos="2880"/>
          <w:tab w:val="clear" w:pos="3600"/>
          <w:tab w:val="clear" w:pos="4320"/>
          <w:tab w:val="clear" w:pos="5040"/>
          <w:tab w:val="clear" w:pos="6120"/>
          <w:tab w:val="clear" w:pos="6840"/>
          <w:tab w:val="right" w:pos="-1080"/>
          <w:tab w:val="left" w:pos="540"/>
          <w:tab w:val="right" w:pos="3330"/>
          <w:tab w:val="right" w:pos="6300"/>
          <w:tab w:val="right" w:pos="8640"/>
          <w:tab w:val="right" w:pos="889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r>
      <w:r w:rsidRPr="008943DF">
        <w:rPr>
          <w:sz w:val="22"/>
          <w:szCs w:val="22"/>
          <w:highlight w:val="lightGray"/>
          <w:shd w:val="clear" w:color="auto" w:fill="E0E0E0"/>
        </w:rPr>
        <w:t>1-Yr Pct Change</w:t>
      </w:r>
      <w:r w:rsidRPr="008943DF">
        <w:rPr>
          <w:sz w:val="22"/>
          <w:szCs w:val="22"/>
          <w:highlight w:val="lightGray"/>
          <w:shd w:val="clear" w:color="auto" w:fill="E0E0E0"/>
        </w:rPr>
        <w:tab/>
      </w:r>
      <w:r w:rsidRPr="008943DF">
        <w:rPr>
          <w:sz w:val="22"/>
          <w:szCs w:val="22"/>
          <w:highlight w:val="lightGray"/>
          <w:shd w:val="clear" w:color="auto" w:fill="E0E0E0"/>
        </w:rPr>
        <w:tab/>
      </w:r>
      <w:r>
        <w:rPr>
          <w:sz w:val="22"/>
          <w:szCs w:val="22"/>
          <w:highlight w:val="lightGray"/>
          <w:shd w:val="clear" w:color="auto" w:fill="E0E0E0"/>
        </w:rPr>
        <w:t>0.2%</w:t>
      </w:r>
      <w:r>
        <w:rPr>
          <w:sz w:val="22"/>
          <w:szCs w:val="22"/>
          <w:highlight w:val="lightGray"/>
          <w:shd w:val="clear" w:color="auto" w:fill="E0E0E0"/>
        </w:rPr>
        <w:tab/>
        <w:t>0.2</w:t>
      </w:r>
      <w:r w:rsidRPr="008943DF">
        <w:rPr>
          <w:sz w:val="22"/>
          <w:szCs w:val="22"/>
          <w:highlight w:val="lightGray"/>
          <w:shd w:val="clear" w:color="auto" w:fill="E0E0E0"/>
        </w:rPr>
        <w:t>%</w:t>
      </w:r>
    </w:p>
    <w:p w:rsidR="00D85BFA" w:rsidRDefault="00D85BFA" w:rsidP="00D85BFA">
      <w:pPr>
        <w:pStyle w:val="BodyText"/>
        <w:tabs>
          <w:tab w:val="clear" w:pos="360"/>
          <w:tab w:val="clear" w:pos="1440"/>
          <w:tab w:val="clear" w:pos="2160"/>
          <w:tab w:val="clear" w:pos="2880"/>
          <w:tab w:val="clear" w:pos="3600"/>
          <w:tab w:val="clear" w:pos="4320"/>
          <w:tab w:val="clear" w:pos="6120"/>
          <w:tab w:val="clear" w:pos="6840"/>
          <w:tab w:val="left" w:pos="540"/>
          <w:tab w:val="right" w:pos="2520"/>
          <w:tab w:val="right" w:pos="5040"/>
          <w:tab w:val="right" w:pos="73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D85BFA" w:rsidRDefault="00D85BFA" w:rsidP="00D85BFA">
      <w:pPr>
        <w:pStyle w:val="BodyText"/>
        <w:tabs>
          <w:tab w:val="clear" w:pos="360"/>
          <w:tab w:val="clear" w:pos="1440"/>
          <w:tab w:val="clear" w:pos="2160"/>
          <w:tab w:val="clear" w:pos="2880"/>
          <w:tab w:val="clear" w:pos="3600"/>
          <w:tab w:val="clear" w:pos="4320"/>
          <w:tab w:val="clear" w:pos="6120"/>
          <w:tab w:val="clear" w:pos="6840"/>
          <w:tab w:val="left" w:pos="540"/>
          <w:tab w:val="right" w:pos="2520"/>
          <w:tab w:val="right" w:pos="50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sz w:val="20"/>
        </w:rPr>
      </w:pPr>
      <w:r>
        <w:rPr>
          <w:sz w:val="22"/>
          <w:szCs w:val="22"/>
        </w:rPr>
        <w:tab/>
      </w:r>
      <w:r>
        <w:rPr>
          <w:sz w:val="20"/>
        </w:rPr>
        <w:t>Note:  The state support per FTE student calculations exclude state-supported debt service and the Academy of Mathematics and Science.  Projected 2010-11 is based on actual fall 2009 enrollment excluding the Academy students.</w:t>
      </w:r>
    </w:p>
    <w:p w:rsidR="00D85BFA" w:rsidRDefault="00D85BFA" w:rsidP="00D85BFA">
      <w:pPr>
        <w:pStyle w:val="BodyText"/>
        <w:tabs>
          <w:tab w:val="clear" w:pos="360"/>
          <w:tab w:val="clear" w:pos="2160"/>
          <w:tab w:val="clear" w:pos="2880"/>
          <w:tab w:val="clear" w:pos="3600"/>
          <w:tab w:val="clear" w:pos="4320"/>
          <w:tab w:val="clear" w:pos="6120"/>
          <w:tab w:val="clear" w:pos="6840"/>
          <w:tab w:val="left" w:pos="540"/>
          <w:tab w:val="right" w:pos="5040"/>
          <w:tab w:val="right" w:pos="72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both"/>
        <w:rPr>
          <w:szCs w:val="23"/>
        </w:rPr>
      </w:pPr>
    </w:p>
    <w:p w:rsidR="00504B15" w:rsidRDefault="00263CA0" w:rsidP="00504B15">
      <w:pPr>
        <w:pStyle w:val="BodyText"/>
        <w:tabs>
          <w:tab w:val="clear" w:pos="360"/>
          <w:tab w:val="clear" w:pos="1440"/>
          <w:tab w:val="clear" w:pos="2160"/>
          <w:tab w:val="clear" w:pos="4320"/>
          <w:tab w:val="left" w:pos="513"/>
          <w:tab w:val="left" w:pos="615"/>
          <w:tab w:val="left" w:pos="720"/>
          <w:tab w:val="right" w:pos="6480"/>
        </w:tabs>
        <w:jc w:val="both"/>
        <w:rPr>
          <w:szCs w:val="23"/>
        </w:rPr>
      </w:pPr>
      <w:proofErr w:type="gramStart"/>
      <w:r>
        <w:rPr>
          <w:szCs w:val="23"/>
        </w:rPr>
        <w:t>The 2010-11 Operating Budget</w:t>
      </w:r>
      <w:proofErr w:type="gramEnd"/>
      <w:r>
        <w:rPr>
          <w:szCs w:val="23"/>
        </w:rPr>
        <w:t xml:space="preserve"> includes an increase of $709,900 resulting from projected growth in sales and services and other revenue sources. Changes in self-generated revenue of departments across campus are allocated back </w:t>
      </w:r>
      <w:r w:rsidR="00A00683">
        <w:rPr>
          <w:szCs w:val="23"/>
        </w:rPr>
        <w:t xml:space="preserve">to </w:t>
      </w:r>
      <w:r>
        <w:rPr>
          <w:szCs w:val="23"/>
        </w:rPr>
        <w:t xml:space="preserve">the departments associated with the </w:t>
      </w:r>
      <w:r w:rsidR="0000280B">
        <w:rPr>
          <w:szCs w:val="23"/>
        </w:rPr>
        <w:t xml:space="preserve">respective programs and </w:t>
      </w:r>
      <w:r>
        <w:rPr>
          <w:szCs w:val="23"/>
        </w:rPr>
        <w:t xml:space="preserve">activities.  </w:t>
      </w:r>
      <w:r w:rsidR="00504B15">
        <w:rPr>
          <w:szCs w:val="23"/>
        </w:rPr>
        <w:t>A majority of these programs are called “Revenue Dependent” which identifies them as programs responsible for funding all of their direct programmatic needs.  Revenue Dependent programs’ budgets are listed separately in the Expenditure Summary as the last listing within the Educational and General Budgeted Expenditures, Unrestricted Funds by Organizational Area.</w:t>
      </w:r>
    </w:p>
    <w:p w:rsidR="00211F04" w:rsidRPr="00ED3EB5" w:rsidRDefault="00211F04">
      <w:pPr>
        <w:pStyle w:val="BodyText"/>
        <w:tabs>
          <w:tab w:val="clear" w:pos="360"/>
          <w:tab w:val="left" w:pos="540"/>
        </w:tabs>
        <w:jc w:val="both"/>
        <w:rPr>
          <w:sz w:val="22"/>
          <w:szCs w:val="22"/>
        </w:rPr>
      </w:pPr>
    </w:p>
    <w:p w:rsidR="00263CA0" w:rsidRDefault="0065229C" w:rsidP="00211F04">
      <w:pPr>
        <w:jc w:val="both"/>
        <w:rPr>
          <w:sz w:val="23"/>
          <w:szCs w:val="23"/>
        </w:rPr>
      </w:pPr>
      <w:r w:rsidRPr="00140985">
        <w:rPr>
          <w:sz w:val="23"/>
          <w:szCs w:val="23"/>
          <w:u w:val="single"/>
        </w:rPr>
        <w:t>Restricted</w:t>
      </w:r>
      <w:r w:rsidRPr="00E34BA8">
        <w:rPr>
          <w:sz w:val="23"/>
          <w:szCs w:val="23"/>
        </w:rPr>
        <w:t xml:space="preserve"> Funds</w:t>
      </w:r>
      <w:r w:rsidR="0000280B">
        <w:rPr>
          <w:sz w:val="23"/>
          <w:szCs w:val="23"/>
        </w:rPr>
        <w:t xml:space="preserve"> from</w:t>
      </w:r>
      <w:r w:rsidRPr="00E34BA8">
        <w:rPr>
          <w:sz w:val="23"/>
          <w:szCs w:val="23"/>
        </w:rPr>
        <w:t xml:space="preserve"> grants and contracts and </w:t>
      </w:r>
      <w:r w:rsidR="0000280B">
        <w:rPr>
          <w:sz w:val="23"/>
          <w:szCs w:val="23"/>
        </w:rPr>
        <w:t xml:space="preserve">federal and state </w:t>
      </w:r>
      <w:r w:rsidRPr="00E34BA8">
        <w:rPr>
          <w:sz w:val="23"/>
          <w:szCs w:val="23"/>
        </w:rPr>
        <w:t>student financial assistance</w:t>
      </w:r>
      <w:r w:rsidR="0000280B">
        <w:rPr>
          <w:sz w:val="23"/>
          <w:szCs w:val="23"/>
        </w:rPr>
        <w:t xml:space="preserve"> programs</w:t>
      </w:r>
      <w:r w:rsidRPr="00E34BA8">
        <w:rPr>
          <w:sz w:val="23"/>
          <w:szCs w:val="23"/>
        </w:rPr>
        <w:t xml:space="preserve"> comprise </w:t>
      </w:r>
      <w:r w:rsidR="00263CA0">
        <w:rPr>
          <w:sz w:val="23"/>
          <w:szCs w:val="23"/>
        </w:rPr>
        <w:t>21.</w:t>
      </w:r>
      <w:r w:rsidR="008A2E86">
        <w:rPr>
          <w:sz w:val="23"/>
          <w:szCs w:val="23"/>
        </w:rPr>
        <w:t>9</w:t>
      </w:r>
      <w:r w:rsidRPr="00E34BA8">
        <w:rPr>
          <w:sz w:val="23"/>
          <w:szCs w:val="23"/>
        </w:rPr>
        <w:t xml:space="preserve"> percent of the total budget.</w:t>
      </w:r>
      <w:r w:rsidR="00350D1B">
        <w:rPr>
          <w:sz w:val="23"/>
          <w:szCs w:val="23"/>
        </w:rPr>
        <w:t xml:space="preserve">  </w:t>
      </w:r>
      <w:r w:rsidR="00263CA0">
        <w:rPr>
          <w:sz w:val="23"/>
          <w:szCs w:val="23"/>
        </w:rPr>
        <w:t>Additionally, the budget includes $4,410,900 in federal Sta</w:t>
      </w:r>
      <w:r w:rsidR="0000280B">
        <w:rPr>
          <w:sz w:val="23"/>
          <w:szCs w:val="23"/>
        </w:rPr>
        <w:t>te Fiscal Stabilization Funds – a decrease of $1,005,200 offset by a similar increase in state appropriations.</w:t>
      </w:r>
    </w:p>
    <w:p w:rsidR="00263CA0" w:rsidRDefault="00263CA0" w:rsidP="00211F04">
      <w:pPr>
        <w:jc w:val="both"/>
        <w:rPr>
          <w:sz w:val="23"/>
          <w:szCs w:val="23"/>
        </w:rPr>
      </w:pPr>
    </w:p>
    <w:p w:rsidR="0021798C" w:rsidRDefault="00350D1B" w:rsidP="00211F04">
      <w:pPr>
        <w:jc w:val="both"/>
        <w:rPr>
          <w:sz w:val="23"/>
          <w:szCs w:val="23"/>
        </w:rPr>
      </w:pPr>
      <w:r>
        <w:rPr>
          <w:sz w:val="23"/>
          <w:szCs w:val="23"/>
        </w:rPr>
        <w:t>Grants and contracts</w:t>
      </w:r>
      <w:r w:rsidR="0065229C" w:rsidRPr="00E34BA8">
        <w:rPr>
          <w:sz w:val="23"/>
          <w:szCs w:val="23"/>
        </w:rPr>
        <w:t xml:space="preserve"> </w:t>
      </w:r>
      <w:r w:rsidR="0000280B">
        <w:rPr>
          <w:sz w:val="23"/>
          <w:szCs w:val="23"/>
        </w:rPr>
        <w:t>revenue is projected to</w:t>
      </w:r>
      <w:r w:rsidR="00552517" w:rsidRPr="00E34BA8">
        <w:rPr>
          <w:sz w:val="23"/>
          <w:szCs w:val="23"/>
        </w:rPr>
        <w:t xml:space="preserve"> increase </w:t>
      </w:r>
      <w:r w:rsidR="006E5B82" w:rsidRPr="00E34BA8">
        <w:rPr>
          <w:sz w:val="23"/>
          <w:szCs w:val="23"/>
        </w:rPr>
        <w:t xml:space="preserve">by </w:t>
      </w:r>
      <w:r w:rsidR="0000280B">
        <w:rPr>
          <w:sz w:val="23"/>
          <w:szCs w:val="23"/>
        </w:rPr>
        <w:t>$1,354,000 or 5.3</w:t>
      </w:r>
      <w:r>
        <w:rPr>
          <w:sz w:val="23"/>
          <w:szCs w:val="23"/>
        </w:rPr>
        <w:t xml:space="preserve"> </w:t>
      </w:r>
      <w:r w:rsidR="006E5B82" w:rsidRPr="00E34BA8">
        <w:rPr>
          <w:sz w:val="23"/>
          <w:szCs w:val="23"/>
        </w:rPr>
        <w:t>percent across all sources (i.e</w:t>
      </w:r>
      <w:r w:rsidR="0000280B">
        <w:rPr>
          <w:sz w:val="23"/>
          <w:szCs w:val="23"/>
        </w:rPr>
        <w:t>., federal, state, and private) with the greatest opportunity being in federal funding.</w:t>
      </w:r>
    </w:p>
    <w:p w:rsidR="0021798C" w:rsidRDefault="0021798C" w:rsidP="00211F04">
      <w:pPr>
        <w:jc w:val="both"/>
        <w:rPr>
          <w:sz w:val="23"/>
          <w:szCs w:val="23"/>
        </w:rPr>
      </w:pPr>
    </w:p>
    <w:p w:rsidR="00243B40" w:rsidRDefault="0065229C" w:rsidP="00211F04">
      <w:pPr>
        <w:jc w:val="both"/>
        <w:rPr>
          <w:sz w:val="23"/>
          <w:szCs w:val="23"/>
        </w:rPr>
      </w:pPr>
      <w:r w:rsidRPr="00211F04">
        <w:rPr>
          <w:sz w:val="23"/>
          <w:szCs w:val="23"/>
        </w:rPr>
        <w:t>An increase of $</w:t>
      </w:r>
      <w:r w:rsidR="00DE7818">
        <w:rPr>
          <w:sz w:val="23"/>
          <w:szCs w:val="23"/>
        </w:rPr>
        <w:t>15.3</w:t>
      </w:r>
      <w:r w:rsidRPr="00211F04">
        <w:rPr>
          <w:sz w:val="23"/>
          <w:szCs w:val="23"/>
        </w:rPr>
        <w:t xml:space="preserve"> million </w:t>
      </w:r>
      <w:r w:rsidR="00DE7818">
        <w:rPr>
          <w:sz w:val="23"/>
          <w:szCs w:val="23"/>
        </w:rPr>
        <w:t xml:space="preserve">(36.9 percent) </w:t>
      </w:r>
      <w:r w:rsidRPr="00211F04">
        <w:rPr>
          <w:sz w:val="23"/>
          <w:szCs w:val="23"/>
        </w:rPr>
        <w:t xml:space="preserve">in student financial assistance reflects </w:t>
      </w:r>
      <w:r w:rsidRPr="00243B40">
        <w:rPr>
          <w:sz w:val="23"/>
          <w:szCs w:val="23"/>
          <w:u w:val="single"/>
        </w:rPr>
        <w:t>actual</w:t>
      </w:r>
      <w:r w:rsidRPr="00211F04">
        <w:rPr>
          <w:sz w:val="23"/>
          <w:szCs w:val="23"/>
        </w:rPr>
        <w:t xml:space="preserve"> </w:t>
      </w:r>
      <w:r w:rsidR="006E5B82" w:rsidRPr="00211F04">
        <w:rPr>
          <w:sz w:val="23"/>
          <w:szCs w:val="23"/>
        </w:rPr>
        <w:t>FY 20</w:t>
      </w:r>
      <w:r w:rsidR="00DE7818">
        <w:rPr>
          <w:sz w:val="23"/>
          <w:szCs w:val="23"/>
        </w:rPr>
        <w:t>10</w:t>
      </w:r>
      <w:r w:rsidR="006E5B82" w:rsidRPr="00211F04">
        <w:rPr>
          <w:sz w:val="23"/>
          <w:szCs w:val="23"/>
        </w:rPr>
        <w:t xml:space="preserve"> </w:t>
      </w:r>
      <w:r w:rsidRPr="00211F04">
        <w:rPr>
          <w:sz w:val="23"/>
          <w:szCs w:val="23"/>
        </w:rPr>
        <w:t>awards data and projected student eligibility</w:t>
      </w:r>
      <w:r w:rsidR="00D87CF6" w:rsidRPr="00211F04">
        <w:rPr>
          <w:sz w:val="23"/>
          <w:szCs w:val="23"/>
        </w:rPr>
        <w:t xml:space="preserve"> with an increase in Pell Grant maximum awards</w:t>
      </w:r>
      <w:r w:rsidRPr="00211F04">
        <w:rPr>
          <w:sz w:val="23"/>
          <w:szCs w:val="23"/>
        </w:rPr>
        <w:t xml:space="preserve">.  </w:t>
      </w:r>
      <w:r w:rsidR="00F46195" w:rsidRPr="00211F04">
        <w:rPr>
          <w:sz w:val="23"/>
          <w:szCs w:val="23"/>
        </w:rPr>
        <w:t xml:space="preserve">The largest </w:t>
      </w:r>
      <w:r w:rsidR="00F46195">
        <w:rPr>
          <w:sz w:val="23"/>
          <w:szCs w:val="23"/>
        </w:rPr>
        <w:t>budget</w:t>
      </w:r>
      <w:r w:rsidR="00F46195" w:rsidRPr="00211F04">
        <w:rPr>
          <w:sz w:val="23"/>
          <w:szCs w:val="23"/>
        </w:rPr>
        <w:t>ed increases are in the federal programs of Pell Grants (</w:t>
      </w:r>
      <w:r w:rsidR="00F46195">
        <w:rPr>
          <w:sz w:val="23"/>
          <w:szCs w:val="23"/>
        </w:rPr>
        <w:t>71.6</w:t>
      </w:r>
      <w:r w:rsidR="00F46195" w:rsidRPr="00211F04">
        <w:rPr>
          <w:sz w:val="23"/>
          <w:szCs w:val="23"/>
        </w:rPr>
        <w:t xml:space="preserve"> percent) and Academic Competitiveness Grants (</w:t>
      </w:r>
      <w:r w:rsidR="00F46195">
        <w:rPr>
          <w:sz w:val="23"/>
          <w:szCs w:val="23"/>
        </w:rPr>
        <w:t>53.1</w:t>
      </w:r>
      <w:r w:rsidR="00F46195" w:rsidRPr="00211F04">
        <w:rPr>
          <w:sz w:val="23"/>
          <w:szCs w:val="23"/>
        </w:rPr>
        <w:t xml:space="preserve"> percent)</w:t>
      </w:r>
      <w:r w:rsidR="00F46195">
        <w:rPr>
          <w:sz w:val="23"/>
          <w:szCs w:val="23"/>
        </w:rPr>
        <w:t xml:space="preserve">.  </w:t>
      </w:r>
      <w:r w:rsidR="00243B40">
        <w:rPr>
          <w:sz w:val="23"/>
          <w:szCs w:val="23"/>
        </w:rPr>
        <w:t xml:space="preserve">At the time that Pell Grant projections were finalized for FY 2010, regulatory changes regarding year round awards had not occurred.  This summer is the first semester WKU has seen the impact.  Early in summer registration, WKU has seen summer Pell Grant awards of approximately $1.5 million in comparison to $337,000 for last summer.  Thus, the final numbers for FY 2010 may exceed the original Pell Grants estimate by over 30 percent.  </w:t>
      </w:r>
    </w:p>
    <w:p w:rsidR="00243B40" w:rsidRDefault="00243B40" w:rsidP="00211F04">
      <w:pPr>
        <w:jc w:val="both"/>
        <w:rPr>
          <w:sz w:val="23"/>
          <w:szCs w:val="23"/>
        </w:rPr>
      </w:pPr>
    </w:p>
    <w:p w:rsidR="00243B40" w:rsidRDefault="00E914AA" w:rsidP="00211F04">
      <w:pPr>
        <w:jc w:val="both"/>
        <w:rPr>
          <w:sz w:val="23"/>
          <w:szCs w:val="23"/>
        </w:rPr>
      </w:pPr>
      <w:r>
        <w:rPr>
          <w:sz w:val="23"/>
          <w:szCs w:val="23"/>
        </w:rPr>
        <w:t xml:space="preserve">Pell awards are based on the Expected Family Contribution (EFC).  </w:t>
      </w:r>
      <w:r w:rsidR="00243B40">
        <w:rPr>
          <w:sz w:val="23"/>
          <w:szCs w:val="23"/>
        </w:rPr>
        <w:t xml:space="preserve">For FY 2010, </w:t>
      </w:r>
      <w:r>
        <w:rPr>
          <w:sz w:val="23"/>
          <w:szCs w:val="23"/>
        </w:rPr>
        <w:t xml:space="preserve">the maximum </w:t>
      </w:r>
      <w:r w:rsidR="00243B40">
        <w:rPr>
          <w:sz w:val="23"/>
          <w:szCs w:val="23"/>
        </w:rPr>
        <w:t xml:space="preserve">EFC was $4,617 and it will increase to $5,273 for FY 2011.  </w:t>
      </w:r>
      <w:r w:rsidR="00A6406F">
        <w:rPr>
          <w:sz w:val="23"/>
          <w:szCs w:val="23"/>
        </w:rPr>
        <w:t xml:space="preserve">The maximum Pell Grant award for zero EFC is increasing </w:t>
      </w:r>
      <w:r w:rsidR="00A90B0E">
        <w:rPr>
          <w:sz w:val="23"/>
          <w:szCs w:val="23"/>
        </w:rPr>
        <w:t xml:space="preserve">$200 </w:t>
      </w:r>
      <w:r w:rsidR="00A6406F">
        <w:rPr>
          <w:sz w:val="23"/>
          <w:szCs w:val="23"/>
        </w:rPr>
        <w:t>from $5,350 to $5,550.</w:t>
      </w:r>
      <w:r w:rsidR="00A90B0E">
        <w:rPr>
          <w:sz w:val="23"/>
          <w:szCs w:val="23"/>
        </w:rPr>
        <w:t xml:space="preserve"> </w:t>
      </w:r>
      <w:r w:rsidR="00E54A75">
        <w:rPr>
          <w:sz w:val="23"/>
          <w:szCs w:val="23"/>
        </w:rPr>
        <w:t xml:space="preserve"> While an increase </w:t>
      </w:r>
      <w:r>
        <w:rPr>
          <w:sz w:val="23"/>
          <w:szCs w:val="23"/>
        </w:rPr>
        <w:t xml:space="preserve">in Pell is anticipated </w:t>
      </w:r>
      <w:r w:rsidR="00E54A75">
        <w:rPr>
          <w:sz w:val="23"/>
          <w:szCs w:val="23"/>
        </w:rPr>
        <w:t xml:space="preserve">due to the EFC/award amount changes, the most significant change will result from </w:t>
      </w:r>
      <w:r>
        <w:rPr>
          <w:sz w:val="23"/>
          <w:szCs w:val="23"/>
        </w:rPr>
        <w:t xml:space="preserve">the regulatory change that allows </w:t>
      </w:r>
      <w:r w:rsidR="00E54A75">
        <w:rPr>
          <w:sz w:val="23"/>
          <w:szCs w:val="23"/>
        </w:rPr>
        <w:t xml:space="preserve">multiple </w:t>
      </w:r>
      <w:r w:rsidR="00F46195">
        <w:rPr>
          <w:sz w:val="23"/>
          <w:szCs w:val="23"/>
        </w:rPr>
        <w:t xml:space="preserve">Pell Grant </w:t>
      </w:r>
      <w:r w:rsidR="00E54A75">
        <w:rPr>
          <w:sz w:val="23"/>
          <w:szCs w:val="23"/>
        </w:rPr>
        <w:t>awards in one academic year.</w:t>
      </w:r>
      <w:r>
        <w:rPr>
          <w:sz w:val="23"/>
          <w:szCs w:val="23"/>
        </w:rPr>
        <w:t xml:space="preserve">  Due to the combined changes, at least 7,700 Pell Grant recipients are estimated for FY 2011.</w:t>
      </w:r>
    </w:p>
    <w:p w:rsidR="00E54A75" w:rsidRDefault="00E54A75" w:rsidP="00211F04">
      <w:pPr>
        <w:jc w:val="both"/>
        <w:rPr>
          <w:sz w:val="23"/>
          <w:szCs w:val="23"/>
        </w:rPr>
      </w:pPr>
    </w:p>
    <w:p w:rsidR="00E54A75" w:rsidRDefault="00E54A75" w:rsidP="00211F04">
      <w:pPr>
        <w:jc w:val="both"/>
        <w:rPr>
          <w:sz w:val="23"/>
          <w:szCs w:val="23"/>
        </w:rPr>
      </w:pPr>
      <w:r>
        <w:rPr>
          <w:sz w:val="23"/>
          <w:szCs w:val="23"/>
        </w:rPr>
        <w:t>Significant regulatory changes have occurred that impact awards for the National Science and Mathematics Access to Retain Talent (SMART) and the federal Academic Competitiveness Grant (ACG).</w:t>
      </w:r>
      <w:r w:rsidR="00F46195">
        <w:rPr>
          <w:sz w:val="23"/>
          <w:szCs w:val="23"/>
        </w:rPr>
        <w:t xml:space="preserve">  SMART grants now </w:t>
      </w:r>
      <w:r w:rsidR="00A13583">
        <w:rPr>
          <w:sz w:val="23"/>
          <w:szCs w:val="23"/>
        </w:rPr>
        <w:t>may be awarded to</w:t>
      </w:r>
      <w:r w:rsidR="00F46195">
        <w:rPr>
          <w:sz w:val="23"/>
          <w:szCs w:val="23"/>
        </w:rPr>
        <w:t xml:space="preserve"> part-time students and all foreign language majors.  ACG awards are extended to part-time students</w:t>
      </w:r>
      <w:r w:rsidR="00A00683">
        <w:rPr>
          <w:sz w:val="23"/>
          <w:szCs w:val="23"/>
        </w:rPr>
        <w:t xml:space="preserve"> also</w:t>
      </w:r>
      <w:r w:rsidR="00F46195">
        <w:rPr>
          <w:sz w:val="23"/>
          <w:szCs w:val="23"/>
        </w:rPr>
        <w:t>.</w:t>
      </w:r>
    </w:p>
    <w:p w:rsidR="00243B40" w:rsidRDefault="00243B40" w:rsidP="00211F04">
      <w:pPr>
        <w:jc w:val="both"/>
        <w:rPr>
          <w:sz w:val="23"/>
          <w:szCs w:val="23"/>
        </w:rPr>
      </w:pPr>
    </w:p>
    <w:p w:rsidR="0065229C" w:rsidRDefault="00E914AA">
      <w:pPr>
        <w:pStyle w:val="BodyText"/>
        <w:tabs>
          <w:tab w:val="clear" w:pos="360"/>
          <w:tab w:val="left" w:pos="540"/>
        </w:tabs>
        <w:jc w:val="both"/>
        <w:rPr>
          <w:szCs w:val="23"/>
        </w:rPr>
      </w:pPr>
      <w:r>
        <w:rPr>
          <w:szCs w:val="23"/>
        </w:rPr>
        <w:t>Eligibility for the Commonwealth’s College Access Program is consistent with the EFC used for awarding Pell Grants.  Due to the increase in maximum EFC used for awarding purposes, the increase in the number of eligible applicants that applied prior to the priority date of March 15</w:t>
      </w:r>
      <w:r w:rsidRPr="00E914AA">
        <w:rPr>
          <w:szCs w:val="23"/>
          <w:vertAlign w:val="superscript"/>
        </w:rPr>
        <w:t>th</w:t>
      </w:r>
      <w:r>
        <w:rPr>
          <w:szCs w:val="23"/>
        </w:rPr>
        <w:t>, and the absence of state budget at time awards were made, funding for the Commonwealth’s College Access Program is expected to decline approximately 16% from the original projection.</w:t>
      </w:r>
    </w:p>
    <w:p w:rsidR="00E914AA" w:rsidRDefault="00E914AA">
      <w:pPr>
        <w:pStyle w:val="BodyText"/>
        <w:tabs>
          <w:tab w:val="clear" w:pos="360"/>
          <w:tab w:val="left" w:pos="540"/>
        </w:tabs>
        <w:jc w:val="both"/>
        <w:rPr>
          <w:szCs w:val="23"/>
        </w:rPr>
      </w:pPr>
    </w:p>
    <w:p w:rsidR="00E914AA" w:rsidRDefault="00E914AA">
      <w:pPr>
        <w:pStyle w:val="BodyText"/>
        <w:tabs>
          <w:tab w:val="clear" w:pos="360"/>
          <w:tab w:val="left" w:pos="540"/>
        </w:tabs>
        <w:jc w:val="both"/>
        <w:rPr>
          <w:szCs w:val="23"/>
        </w:rPr>
      </w:pPr>
      <w:r>
        <w:rPr>
          <w:szCs w:val="23"/>
        </w:rPr>
        <w:t>At this time, the Teacher Scholarship Program is being phased out and no new recipients are being allowed; thus, resulting in an estimated reduction of $320,000.</w:t>
      </w:r>
    </w:p>
    <w:p w:rsidR="00E914AA" w:rsidRDefault="00E914AA">
      <w:pPr>
        <w:pStyle w:val="BodyText"/>
        <w:tabs>
          <w:tab w:val="clear" w:pos="360"/>
          <w:tab w:val="left" w:pos="540"/>
        </w:tabs>
        <w:jc w:val="both"/>
        <w:rPr>
          <w:szCs w:val="23"/>
        </w:rPr>
      </w:pPr>
    </w:p>
    <w:p w:rsidR="0065229C" w:rsidRDefault="0065229C">
      <w:pPr>
        <w:pStyle w:val="BodyText"/>
        <w:tabs>
          <w:tab w:val="clear" w:pos="360"/>
          <w:tab w:val="left" w:pos="540"/>
        </w:tabs>
        <w:jc w:val="both"/>
        <w:rPr>
          <w:szCs w:val="23"/>
        </w:rPr>
      </w:pPr>
      <w:r>
        <w:rPr>
          <w:szCs w:val="23"/>
        </w:rPr>
        <w:t xml:space="preserve">The </w:t>
      </w:r>
      <w:r w:rsidRPr="00D87CF6">
        <w:rPr>
          <w:szCs w:val="23"/>
          <w:u w:val="single"/>
        </w:rPr>
        <w:t>Auxiliary Enterprises</w:t>
      </w:r>
      <w:r>
        <w:rPr>
          <w:szCs w:val="23"/>
        </w:rPr>
        <w:t xml:space="preserve"> 200</w:t>
      </w:r>
      <w:r w:rsidR="006E5B82">
        <w:rPr>
          <w:szCs w:val="23"/>
        </w:rPr>
        <w:t>9</w:t>
      </w:r>
      <w:r>
        <w:rPr>
          <w:szCs w:val="23"/>
        </w:rPr>
        <w:t>-</w:t>
      </w:r>
      <w:r w:rsidR="006E5B82">
        <w:rPr>
          <w:szCs w:val="23"/>
        </w:rPr>
        <w:t>10</w:t>
      </w:r>
      <w:r>
        <w:rPr>
          <w:szCs w:val="23"/>
        </w:rPr>
        <w:t xml:space="preserve"> revenue estimates are being increased by a total of $</w:t>
      </w:r>
      <w:r w:rsidR="005B55A4">
        <w:rPr>
          <w:szCs w:val="23"/>
        </w:rPr>
        <w:t>1,186</w:t>
      </w:r>
      <w:r w:rsidR="006E5B82">
        <w:rPr>
          <w:szCs w:val="23"/>
        </w:rPr>
        <w:t>,</w:t>
      </w:r>
      <w:r w:rsidR="005B55A4">
        <w:rPr>
          <w:szCs w:val="23"/>
        </w:rPr>
        <w:t>8</w:t>
      </w:r>
      <w:r w:rsidR="006E5B82">
        <w:rPr>
          <w:szCs w:val="23"/>
        </w:rPr>
        <w:t>00 above the approved FY 20</w:t>
      </w:r>
      <w:r w:rsidR="005B55A4">
        <w:rPr>
          <w:szCs w:val="23"/>
        </w:rPr>
        <w:t>10</w:t>
      </w:r>
      <w:r>
        <w:rPr>
          <w:szCs w:val="23"/>
        </w:rPr>
        <w:t xml:space="preserve"> budget.  The increase is accounted for primarily by </w:t>
      </w:r>
      <w:r w:rsidR="00D519B3">
        <w:rPr>
          <w:szCs w:val="23"/>
        </w:rPr>
        <w:t>increased</w:t>
      </w:r>
      <w:r w:rsidR="00F154AF">
        <w:rPr>
          <w:szCs w:val="23"/>
        </w:rPr>
        <w:t xml:space="preserve"> Bookstore</w:t>
      </w:r>
      <w:r w:rsidR="005B55A4">
        <w:rPr>
          <w:szCs w:val="23"/>
        </w:rPr>
        <w:t xml:space="preserve"> book and apparel sales</w:t>
      </w:r>
      <w:r w:rsidR="00552517">
        <w:rPr>
          <w:szCs w:val="23"/>
        </w:rPr>
        <w:t>.</w:t>
      </w:r>
    </w:p>
    <w:p w:rsidR="0065229C" w:rsidRDefault="0065229C">
      <w:pPr>
        <w:pStyle w:val="BodyText"/>
        <w:jc w:val="both"/>
        <w:rPr>
          <w:i/>
          <w:szCs w:val="23"/>
        </w:rPr>
      </w:pPr>
    </w:p>
    <w:p w:rsidR="0065229C" w:rsidRDefault="0065229C">
      <w:pPr>
        <w:pStyle w:val="BodyText"/>
        <w:jc w:val="both"/>
        <w:rPr>
          <w:i/>
          <w:szCs w:val="23"/>
        </w:rPr>
      </w:pPr>
    </w:p>
    <w:p w:rsidR="0065229C" w:rsidRDefault="0065229C">
      <w:pPr>
        <w:pStyle w:val="BodyText"/>
        <w:jc w:val="both"/>
        <w:rPr>
          <w:b/>
          <w:szCs w:val="23"/>
          <w:u w:val="single"/>
        </w:rPr>
      </w:pPr>
      <w:r>
        <w:rPr>
          <w:b/>
          <w:szCs w:val="23"/>
          <w:u w:val="single"/>
        </w:rPr>
        <w:t>Expenditures Highlights</w:t>
      </w:r>
    </w:p>
    <w:p w:rsidR="0065229C" w:rsidRDefault="0065229C">
      <w:pPr>
        <w:pStyle w:val="BodyText"/>
        <w:jc w:val="both"/>
        <w:rPr>
          <w:szCs w:val="23"/>
        </w:rPr>
      </w:pPr>
    </w:p>
    <w:p w:rsidR="00211F04" w:rsidRDefault="0065229C" w:rsidP="00E34BA8">
      <w:pPr>
        <w:jc w:val="both"/>
        <w:rPr>
          <w:sz w:val="23"/>
          <w:szCs w:val="23"/>
        </w:rPr>
      </w:pPr>
      <w:r w:rsidRPr="00E34BA8">
        <w:rPr>
          <w:sz w:val="23"/>
          <w:szCs w:val="23"/>
        </w:rPr>
        <w:t>F</w:t>
      </w:r>
      <w:r w:rsidR="00BC2B29" w:rsidRPr="00E34BA8">
        <w:rPr>
          <w:sz w:val="23"/>
          <w:szCs w:val="23"/>
        </w:rPr>
        <w:t>ixed cost</w:t>
      </w:r>
      <w:r w:rsidR="00504B15">
        <w:rPr>
          <w:sz w:val="23"/>
          <w:szCs w:val="23"/>
        </w:rPr>
        <w:t xml:space="preserve"> projections were prepared as part of the 2010-12 Biennial Budget request process.  Throughout the legislative session, these projections have been revised as necessary.  The most significant funding concerns pertain to increases in </w:t>
      </w:r>
      <w:r w:rsidR="002454FA">
        <w:rPr>
          <w:sz w:val="23"/>
          <w:szCs w:val="23"/>
        </w:rPr>
        <w:t xml:space="preserve">State </w:t>
      </w:r>
      <w:r w:rsidR="00504B15">
        <w:rPr>
          <w:sz w:val="23"/>
          <w:szCs w:val="23"/>
        </w:rPr>
        <w:t>employee retirement system contribution rates and the lack of state funding for maintenance and operations for new facilities coming on line.  A full list of estimated fixed cost increases is provided below.</w:t>
      </w:r>
    </w:p>
    <w:p w:rsidR="00ED02EC" w:rsidRDefault="00ED02EC" w:rsidP="00E34BA8">
      <w:pPr>
        <w:jc w:val="both"/>
        <w:rPr>
          <w:sz w:val="23"/>
          <w:szCs w:val="23"/>
        </w:rPr>
      </w:pPr>
    </w:p>
    <w:p w:rsidR="00ED02EC" w:rsidRDefault="00ED02EC" w:rsidP="00E34BA8">
      <w:pPr>
        <w:jc w:val="both"/>
        <w:rPr>
          <w:sz w:val="23"/>
          <w:szCs w:val="23"/>
        </w:rPr>
      </w:pPr>
      <w:r>
        <w:rPr>
          <w:sz w:val="23"/>
          <w:szCs w:val="23"/>
        </w:rPr>
        <w:t xml:space="preserve">With the final enacted biennial budget coming in late May, </w:t>
      </w:r>
      <w:proofErr w:type="gramStart"/>
      <w:r>
        <w:rPr>
          <w:sz w:val="23"/>
          <w:szCs w:val="23"/>
        </w:rPr>
        <w:t>the 2010-11 Operating Budget</w:t>
      </w:r>
      <w:proofErr w:type="gramEnd"/>
      <w:r>
        <w:rPr>
          <w:sz w:val="23"/>
          <w:szCs w:val="23"/>
        </w:rPr>
        <w:t xml:space="preserve"> includes the final state appropriations allotment on the revenue side; however, there was not sufficient time to make thoughtful, programmatic expenditure reduction decisions</w:t>
      </w:r>
      <w:r w:rsidR="00A00683">
        <w:rPr>
          <w:sz w:val="23"/>
          <w:szCs w:val="23"/>
        </w:rPr>
        <w:t xml:space="preserve">.  </w:t>
      </w:r>
      <w:r>
        <w:rPr>
          <w:sz w:val="23"/>
          <w:szCs w:val="23"/>
        </w:rPr>
        <w:t>Thus, the budget includes a</w:t>
      </w:r>
      <w:r w:rsidR="00732D59">
        <w:rPr>
          <w:sz w:val="23"/>
          <w:szCs w:val="23"/>
        </w:rPr>
        <w:t>n expenditure</w:t>
      </w:r>
      <w:r>
        <w:rPr>
          <w:sz w:val="23"/>
          <w:szCs w:val="23"/>
        </w:rPr>
        <w:t xml:space="preserve"> budget balancing </w:t>
      </w:r>
      <w:r w:rsidR="00A00683">
        <w:rPr>
          <w:sz w:val="23"/>
          <w:szCs w:val="23"/>
        </w:rPr>
        <w:t xml:space="preserve">reduction </w:t>
      </w:r>
      <w:r>
        <w:rPr>
          <w:sz w:val="23"/>
          <w:szCs w:val="23"/>
        </w:rPr>
        <w:t>entry of $1,123,100</w:t>
      </w:r>
      <w:r w:rsidR="00732D59">
        <w:rPr>
          <w:sz w:val="23"/>
          <w:szCs w:val="23"/>
        </w:rPr>
        <w:t xml:space="preserve">.  Decisions will be made in the summer/fall on how to reduce the budget consistent with the approved state appropriations and </w:t>
      </w:r>
      <w:r w:rsidR="00C83DD4">
        <w:rPr>
          <w:sz w:val="23"/>
          <w:szCs w:val="23"/>
        </w:rPr>
        <w:t xml:space="preserve">will be </w:t>
      </w:r>
      <w:r w:rsidR="00732D59">
        <w:rPr>
          <w:sz w:val="23"/>
          <w:szCs w:val="23"/>
        </w:rPr>
        <w:t>submitted to the Board of Regents for approval.</w:t>
      </w:r>
    </w:p>
    <w:p w:rsidR="00504B15" w:rsidRDefault="00504B15" w:rsidP="00E34BA8">
      <w:pPr>
        <w:jc w:val="both"/>
        <w:rPr>
          <w:spacing w:val="-5"/>
          <w:sz w:val="23"/>
          <w:szCs w:val="23"/>
        </w:rPr>
      </w:pPr>
    </w:p>
    <w:p w:rsidR="00603764" w:rsidRDefault="00504B15" w:rsidP="00E34BA8">
      <w:pPr>
        <w:jc w:val="both"/>
        <w:rPr>
          <w:spacing w:val="-5"/>
          <w:sz w:val="23"/>
          <w:szCs w:val="23"/>
        </w:rPr>
      </w:pPr>
      <w:r>
        <w:rPr>
          <w:spacing w:val="-5"/>
          <w:sz w:val="23"/>
          <w:szCs w:val="23"/>
        </w:rPr>
        <w:t>T</w:t>
      </w:r>
      <w:r w:rsidR="00603764" w:rsidRPr="00E34BA8">
        <w:rPr>
          <w:spacing w:val="-5"/>
          <w:sz w:val="23"/>
          <w:szCs w:val="23"/>
        </w:rPr>
        <w:t xml:space="preserve">he following </w:t>
      </w:r>
      <w:r w:rsidR="00FA67C2">
        <w:rPr>
          <w:spacing w:val="-5"/>
          <w:sz w:val="23"/>
          <w:szCs w:val="23"/>
        </w:rPr>
        <w:t>unavoidable cost</w:t>
      </w:r>
      <w:r w:rsidR="007E5627">
        <w:rPr>
          <w:spacing w:val="-5"/>
          <w:sz w:val="23"/>
          <w:szCs w:val="23"/>
        </w:rPr>
        <w:t xml:space="preserve"> </w:t>
      </w:r>
      <w:r w:rsidR="00252226">
        <w:rPr>
          <w:spacing w:val="-5"/>
          <w:sz w:val="23"/>
          <w:szCs w:val="23"/>
        </w:rPr>
        <w:t xml:space="preserve">and commitment </w:t>
      </w:r>
      <w:r w:rsidR="00603764" w:rsidRPr="00E34BA8">
        <w:rPr>
          <w:spacing w:val="-5"/>
          <w:sz w:val="23"/>
          <w:szCs w:val="23"/>
        </w:rPr>
        <w:t xml:space="preserve">allocations </w:t>
      </w:r>
      <w:r w:rsidR="00B32EF1">
        <w:rPr>
          <w:spacing w:val="-5"/>
          <w:sz w:val="23"/>
          <w:szCs w:val="23"/>
        </w:rPr>
        <w:t>are</w:t>
      </w:r>
      <w:r w:rsidR="00603764" w:rsidRPr="00E34BA8">
        <w:rPr>
          <w:spacing w:val="-5"/>
          <w:sz w:val="23"/>
          <w:szCs w:val="23"/>
        </w:rPr>
        <w:t xml:space="preserve"> included </w:t>
      </w:r>
      <w:proofErr w:type="gramStart"/>
      <w:r w:rsidR="00603764" w:rsidRPr="00E34BA8">
        <w:rPr>
          <w:spacing w:val="-5"/>
          <w:sz w:val="23"/>
          <w:szCs w:val="23"/>
        </w:rPr>
        <w:t>in the 20</w:t>
      </w:r>
      <w:r>
        <w:rPr>
          <w:spacing w:val="-5"/>
          <w:sz w:val="23"/>
          <w:szCs w:val="23"/>
        </w:rPr>
        <w:t>10</w:t>
      </w:r>
      <w:r w:rsidR="00603764" w:rsidRPr="00E34BA8">
        <w:rPr>
          <w:spacing w:val="-5"/>
          <w:sz w:val="23"/>
          <w:szCs w:val="23"/>
        </w:rPr>
        <w:t>-1</w:t>
      </w:r>
      <w:r>
        <w:rPr>
          <w:spacing w:val="-5"/>
          <w:sz w:val="23"/>
          <w:szCs w:val="23"/>
        </w:rPr>
        <w:t>1</w:t>
      </w:r>
      <w:r w:rsidR="00A00683">
        <w:rPr>
          <w:spacing w:val="-5"/>
          <w:sz w:val="23"/>
          <w:szCs w:val="23"/>
        </w:rPr>
        <w:t xml:space="preserve"> </w:t>
      </w:r>
      <w:r w:rsidR="00603764" w:rsidRPr="00E34BA8">
        <w:rPr>
          <w:spacing w:val="-5"/>
          <w:sz w:val="23"/>
          <w:szCs w:val="23"/>
        </w:rPr>
        <w:t>Operating Budget</w:t>
      </w:r>
      <w:r>
        <w:rPr>
          <w:spacing w:val="-5"/>
          <w:sz w:val="23"/>
          <w:szCs w:val="23"/>
        </w:rPr>
        <w:t xml:space="preserve"> </w:t>
      </w:r>
      <w:r w:rsidR="007E5627">
        <w:rPr>
          <w:spacing w:val="-5"/>
          <w:sz w:val="23"/>
          <w:szCs w:val="23"/>
        </w:rPr>
        <w:t xml:space="preserve">with the funding sources being </w:t>
      </w:r>
      <w:r>
        <w:rPr>
          <w:spacing w:val="-5"/>
          <w:sz w:val="23"/>
          <w:szCs w:val="23"/>
        </w:rPr>
        <w:t xml:space="preserve">the projected revenue resulting from the approved tuition rates </w:t>
      </w:r>
      <w:r w:rsidR="007E5627">
        <w:rPr>
          <w:spacing w:val="-5"/>
          <w:sz w:val="23"/>
          <w:szCs w:val="23"/>
        </w:rPr>
        <w:t>and nonrecurring funds</w:t>
      </w:r>
      <w:r w:rsidR="00ED02EC">
        <w:rPr>
          <w:spacing w:val="-5"/>
          <w:sz w:val="23"/>
          <w:szCs w:val="23"/>
        </w:rPr>
        <w:t xml:space="preserve"> necessary to have a balanced budget</w:t>
      </w:r>
      <w:proofErr w:type="gramEnd"/>
      <w:r w:rsidR="007E5627">
        <w:rPr>
          <w:spacing w:val="-5"/>
          <w:sz w:val="23"/>
          <w:szCs w:val="23"/>
        </w:rPr>
        <w:t>:</w:t>
      </w:r>
    </w:p>
    <w:p w:rsidR="00C77C53" w:rsidRDefault="00C77C53" w:rsidP="00E34BA8">
      <w:pPr>
        <w:jc w:val="both"/>
        <w:rPr>
          <w:spacing w:val="-5"/>
          <w:sz w:val="23"/>
          <w:szCs w:val="23"/>
        </w:rPr>
      </w:pPr>
    </w:p>
    <w:p w:rsidR="004B4673" w:rsidRDefault="004B4673" w:rsidP="004B4673">
      <w:pPr>
        <w:jc w:val="center"/>
        <w:rPr>
          <w:b/>
          <w:bCs/>
          <w:sz w:val="24"/>
          <w:szCs w:val="24"/>
        </w:rPr>
      </w:pPr>
      <w:r w:rsidRPr="004B4673">
        <w:rPr>
          <w:b/>
          <w:bCs/>
          <w:sz w:val="24"/>
          <w:szCs w:val="24"/>
        </w:rPr>
        <w:t>2010-11 UNAVOIDABLE COST AND COMMITMENT ALLOCATIONS</w:t>
      </w:r>
    </w:p>
    <w:p w:rsidR="003843E7" w:rsidRDefault="003843E7" w:rsidP="004B4673">
      <w:pPr>
        <w:jc w:val="cente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8"/>
        <w:gridCol w:w="2178"/>
      </w:tblGrid>
      <w:tr w:rsidR="003843E7" w:rsidTr="0084219D">
        <w:tc>
          <w:tcPr>
            <w:tcW w:w="7398" w:type="dxa"/>
            <w:vAlign w:val="bottom"/>
          </w:tcPr>
          <w:p w:rsidR="003843E7" w:rsidRPr="003843E7" w:rsidRDefault="003843E7">
            <w:pPr>
              <w:rPr>
                <w:rFonts w:ascii="Times New Roman" w:hAnsi="Times New Roman" w:cs="Times New Roman"/>
                <w:sz w:val="23"/>
                <w:szCs w:val="23"/>
                <w:u w:val="single"/>
              </w:rPr>
            </w:pPr>
            <w:r w:rsidRPr="003843E7">
              <w:rPr>
                <w:rFonts w:ascii="Times New Roman" w:hAnsi="Times New Roman" w:cs="Times New Roman"/>
                <w:sz w:val="23"/>
                <w:szCs w:val="23"/>
                <w:u w:val="single"/>
              </w:rPr>
              <w:t>Estimated Fixed Cost Increases</w:t>
            </w:r>
          </w:p>
        </w:tc>
        <w:tc>
          <w:tcPr>
            <w:tcW w:w="2178" w:type="dxa"/>
            <w:vAlign w:val="bottom"/>
          </w:tcPr>
          <w:p w:rsidR="003843E7" w:rsidRPr="003843E7" w:rsidRDefault="003843E7" w:rsidP="003843E7">
            <w:pPr>
              <w:jc w:val="right"/>
              <w:rPr>
                <w:rFonts w:ascii="Times New Roman" w:hAnsi="Times New Roman" w:cs="Times New Roman"/>
                <w:sz w:val="23"/>
                <w:szCs w:val="23"/>
              </w:rPr>
            </w:pP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Retirement Systems</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1,305,000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Unemployment Compensation</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96,000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Library Books and Subscriptions Inflationary Adjustment</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149,000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Contractual Obligations (Incl. Property Insurance)</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381,000 </w:t>
            </w:r>
          </w:p>
        </w:tc>
      </w:tr>
      <w:tr w:rsidR="003843E7" w:rsidTr="0084219D">
        <w:tc>
          <w:tcPr>
            <w:tcW w:w="7398" w:type="dxa"/>
            <w:vAlign w:val="bottom"/>
          </w:tcPr>
          <w:p w:rsidR="003843E7" w:rsidRPr="003843E7" w:rsidRDefault="00A00683">
            <w:pPr>
              <w:rPr>
                <w:rFonts w:ascii="Times New Roman" w:hAnsi="Times New Roman" w:cs="Times New Roman"/>
                <w:sz w:val="23"/>
                <w:szCs w:val="23"/>
              </w:rPr>
            </w:pPr>
            <w:r>
              <w:rPr>
                <w:rFonts w:ascii="Times New Roman" w:hAnsi="Times New Roman" w:cs="Times New Roman"/>
                <w:sz w:val="23"/>
                <w:szCs w:val="23"/>
              </w:rPr>
              <w:t>Faculty Promotions</w:t>
            </w:r>
            <w:r w:rsidR="003843E7" w:rsidRPr="003843E7">
              <w:rPr>
                <w:rFonts w:ascii="Times New Roman" w:hAnsi="Times New Roman" w:cs="Times New Roman"/>
                <w:sz w:val="23"/>
                <w:szCs w:val="23"/>
              </w:rPr>
              <w:t xml:space="preserve"> </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303,000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Health Insurance (1/2 yr. of FY 2010 Incr.)</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260,000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lastRenderedPageBreak/>
              <w:t>FY 2011 Health Insurance (1/2 of FY 2011)</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623,000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Campus Additions Maintenance/Utilities Costs</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1,310,000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Scholarships/Financial Aid</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1,511,000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Graduate Assistantships (resident tuition increase offset)</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120,000 </w:t>
            </w:r>
          </w:p>
        </w:tc>
      </w:tr>
      <w:tr w:rsidR="003843E7" w:rsidTr="0084219D">
        <w:tc>
          <w:tcPr>
            <w:tcW w:w="7398" w:type="dxa"/>
            <w:vAlign w:val="bottom"/>
          </w:tcPr>
          <w:p w:rsidR="003843E7" w:rsidRPr="003843E7" w:rsidRDefault="003843E7">
            <w:pPr>
              <w:rPr>
                <w:rFonts w:ascii="Times New Roman" w:hAnsi="Times New Roman" w:cs="Times New Roman"/>
                <w:b/>
                <w:bCs/>
                <w:sz w:val="23"/>
                <w:szCs w:val="23"/>
              </w:rPr>
            </w:pPr>
            <w:r w:rsidRPr="003843E7">
              <w:rPr>
                <w:rFonts w:ascii="Times New Roman" w:hAnsi="Times New Roman" w:cs="Times New Roman"/>
                <w:b/>
                <w:bCs/>
                <w:sz w:val="23"/>
                <w:szCs w:val="23"/>
              </w:rPr>
              <w:t xml:space="preserve">  Subtotal</w:t>
            </w:r>
          </w:p>
        </w:tc>
        <w:tc>
          <w:tcPr>
            <w:tcW w:w="2178" w:type="dxa"/>
            <w:vAlign w:val="bottom"/>
          </w:tcPr>
          <w:p w:rsidR="003843E7" w:rsidRPr="003843E7" w:rsidRDefault="003843E7" w:rsidP="003843E7">
            <w:pPr>
              <w:jc w:val="right"/>
              <w:rPr>
                <w:rFonts w:ascii="Times New Roman" w:hAnsi="Times New Roman" w:cs="Times New Roman"/>
                <w:b/>
                <w:bCs/>
                <w:sz w:val="23"/>
                <w:szCs w:val="23"/>
              </w:rPr>
            </w:pPr>
            <w:r w:rsidRPr="003843E7">
              <w:rPr>
                <w:rFonts w:ascii="Times New Roman" w:hAnsi="Times New Roman" w:cs="Times New Roman"/>
                <w:b/>
                <w:bCs/>
                <w:sz w:val="23"/>
                <w:szCs w:val="23"/>
              </w:rPr>
              <w:t xml:space="preserve">               6,058,000 </w:t>
            </w:r>
          </w:p>
        </w:tc>
      </w:tr>
      <w:tr w:rsidR="003843E7" w:rsidTr="0084219D">
        <w:tc>
          <w:tcPr>
            <w:tcW w:w="7398" w:type="dxa"/>
            <w:vAlign w:val="bottom"/>
          </w:tcPr>
          <w:p w:rsidR="001617E2" w:rsidRDefault="001617E2">
            <w:pPr>
              <w:rPr>
                <w:rFonts w:ascii="Times New Roman" w:hAnsi="Times New Roman" w:cs="Times New Roman"/>
                <w:sz w:val="23"/>
                <w:szCs w:val="23"/>
                <w:u w:val="single"/>
              </w:rPr>
            </w:pPr>
          </w:p>
          <w:p w:rsidR="003843E7" w:rsidRPr="003843E7" w:rsidRDefault="003843E7">
            <w:pPr>
              <w:rPr>
                <w:rFonts w:ascii="Times New Roman" w:hAnsi="Times New Roman" w:cs="Times New Roman"/>
                <w:sz w:val="23"/>
                <w:szCs w:val="23"/>
                <w:u w:val="single"/>
              </w:rPr>
            </w:pPr>
            <w:r w:rsidRPr="003843E7">
              <w:rPr>
                <w:rFonts w:ascii="Times New Roman" w:hAnsi="Times New Roman" w:cs="Times New Roman"/>
                <w:sz w:val="23"/>
                <w:szCs w:val="23"/>
                <w:u w:val="single"/>
              </w:rPr>
              <w:t>Other Commitments</w:t>
            </w:r>
          </w:p>
        </w:tc>
        <w:tc>
          <w:tcPr>
            <w:tcW w:w="2178" w:type="dxa"/>
            <w:vAlign w:val="bottom"/>
          </w:tcPr>
          <w:p w:rsidR="003843E7" w:rsidRPr="003843E7" w:rsidRDefault="003843E7">
            <w:pPr>
              <w:rPr>
                <w:rFonts w:ascii="Times New Roman" w:hAnsi="Times New Roman" w:cs="Times New Roman"/>
                <w:b/>
                <w:bCs/>
                <w:sz w:val="23"/>
                <w:szCs w:val="23"/>
              </w:rPr>
            </w:pP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ADA Web Sites Compliance Position</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54,000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Technical Director for Van Meter Auditorium</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55,000 </w:t>
            </w:r>
          </w:p>
        </w:tc>
      </w:tr>
      <w:tr w:rsidR="003843E7" w:rsidTr="0084219D">
        <w:tc>
          <w:tcPr>
            <w:tcW w:w="7398" w:type="dxa"/>
            <w:vAlign w:val="bottom"/>
          </w:tcPr>
          <w:p w:rsidR="003843E7" w:rsidRPr="003843E7" w:rsidRDefault="003843E7" w:rsidP="003843E7">
            <w:pPr>
              <w:rPr>
                <w:rFonts w:ascii="Times New Roman" w:hAnsi="Times New Roman" w:cs="Times New Roman"/>
                <w:sz w:val="23"/>
                <w:szCs w:val="23"/>
              </w:rPr>
            </w:pPr>
            <w:r w:rsidRPr="003843E7">
              <w:rPr>
                <w:rFonts w:ascii="Times New Roman" w:hAnsi="Times New Roman" w:cs="Times New Roman"/>
                <w:sz w:val="23"/>
                <w:szCs w:val="23"/>
              </w:rPr>
              <w:t>Restricted Tuition P</w:t>
            </w:r>
            <w:r>
              <w:rPr>
                <w:rFonts w:ascii="Times New Roman" w:hAnsi="Times New Roman" w:cs="Times New Roman"/>
                <w:sz w:val="23"/>
                <w:szCs w:val="23"/>
              </w:rPr>
              <w:t xml:space="preserve">rograms (Technology, Health Svs, </w:t>
            </w:r>
            <w:r w:rsidRPr="003843E7">
              <w:rPr>
                <w:rFonts w:ascii="Times New Roman" w:hAnsi="Times New Roman" w:cs="Times New Roman"/>
                <w:sz w:val="23"/>
                <w:szCs w:val="23"/>
              </w:rPr>
              <w:t>SGA/Programming)</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144,000 </w:t>
            </w:r>
          </w:p>
        </w:tc>
      </w:tr>
      <w:tr w:rsidR="003843E7" w:rsidTr="0084219D">
        <w:tc>
          <w:tcPr>
            <w:tcW w:w="7398" w:type="dxa"/>
            <w:vAlign w:val="bottom"/>
          </w:tcPr>
          <w:p w:rsidR="003843E7" w:rsidRPr="003843E7" w:rsidRDefault="003843E7" w:rsidP="003843E7">
            <w:pPr>
              <w:rPr>
                <w:rFonts w:ascii="Times New Roman" w:hAnsi="Times New Roman" w:cs="Times New Roman"/>
                <w:sz w:val="23"/>
                <w:szCs w:val="23"/>
              </w:rPr>
            </w:pPr>
            <w:r w:rsidRPr="003843E7">
              <w:rPr>
                <w:rFonts w:ascii="Times New Roman" w:hAnsi="Times New Roman" w:cs="Times New Roman"/>
                <w:sz w:val="23"/>
                <w:szCs w:val="23"/>
              </w:rPr>
              <w:t>Parking &amp; Transportation Revenue Allocated to  P&amp;T (Year 9 of</w:t>
            </w:r>
            <w:r>
              <w:rPr>
                <w:rFonts w:ascii="Times New Roman" w:hAnsi="Times New Roman" w:cs="Times New Roman"/>
                <w:sz w:val="23"/>
                <w:szCs w:val="23"/>
              </w:rPr>
              <w:t xml:space="preserve"> </w:t>
            </w:r>
            <w:r w:rsidRPr="003843E7">
              <w:rPr>
                <w:rFonts w:ascii="Times New Roman" w:hAnsi="Times New Roman" w:cs="Times New Roman"/>
                <w:sz w:val="23"/>
                <w:szCs w:val="23"/>
              </w:rPr>
              <w:t>10)</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58,000 </w:t>
            </w:r>
          </w:p>
        </w:tc>
      </w:tr>
      <w:tr w:rsidR="003843E7" w:rsidTr="0084219D">
        <w:tc>
          <w:tcPr>
            <w:tcW w:w="7398" w:type="dxa"/>
            <w:vAlign w:val="bottom"/>
          </w:tcPr>
          <w:p w:rsidR="003843E7" w:rsidRPr="003843E7" w:rsidRDefault="003843E7" w:rsidP="0084219D">
            <w:pPr>
              <w:rPr>
                <w:rFonts w:ascii="Times New Roman" w:hAnsi="Times New Roman" w:cs="Times New Roman"/>
                <w:sz w:val="23"/>
                <w:szCs w:val="23"/>
              </w:rPr>
            </w:pPr>
            <w:r w:rsidRPr="003843E7">
              <w:rPr>
                <w:rFonts w:ascii="Times New Roman" w:hAnsi="Times New Roman" w:cs="Times New Roman"/>
                <w:sz w:val="23"/>
                <w:szCs w:val="23"/>
              </w:rPr>
              <w:t xml:space="preserve">DELO Distribution </w:t>
            </w:r>
            <w:r w:rsidR="0084219D">
              <w:rPr>
                <w:rFonts w:ascii="Times New Roman" w:hAnsi="Times New Roman" w:cs="Times New Roman"/>
                <w:sz w:val="23"/>
                <w:szCs w:val="23"/>
              </w:rPr>
              <w:t>(Online, Contracts, Dual Credit</w:t>
            </w:r>
            <w:r w:rsidRPr="003843E7">
              <w:rPr>
                <w:rFonts w:ascii="Times New Roman" w:hAnsi="Times New Roman" w:cs="Times New Roman"/>
                <w:sz w:val="23"/>
                <w:szCs w:val="23"/>
              </w:rPr>
              <w:t xml:space="preserve"> </w:t>
            </w:r>
            <w:r w:rsidR="0084219D">
              <w:rPr>
                <w:rFonts w:ascii="Times New Roman" w:hAnsi="Times New Roman" w:cs="Times New Roman"/>
                <w:sz w:val="23"/>
                <w:szCs w:val="23"/>
              </w:rPr>
              <w:t>&amp;</w:t>
            </w:r>
            <w:r w:rsidRPr="003843E7">
              <w:rPr>
                <w:rFonts w:ascii="Times New Roman" w:hAnsi="Times New Roman" w:cs="Times New Roman"/>
                <w:sz w:val="23"/>
                <w:szCs w:val="23"/>
              </w:rPr>
              <w:t xml:space="preserve"> Independent Learning)</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2,026,000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Education Leadership Doctoral Program</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111,000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Summer School</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303,000 </w:t>
            </w:r>
          </w:p>
        </w:tc>
      </w:tr>
      <w:tr w:rsidR="003843E7" w:rsidTr="0084219D">
        <w:tc>
          <w:tcPr>
            <w:tcW w:w="7398" w:type="dxa"/>
            <w:vAlign w:val="bottom"/>
          </w:tcPr>
          <w:p w:rsidR="003843E7" w:rsidRPr="003843E7" w:rsidRDefault="003843E7">
            <w:pPr>
              <w:rPr>
                <w:rFonts w:ascii="Times New Roman" w:hAnsi="Times New Roman" w:cs="Times New Roman"/>
                <w:b/>
                <w:bCs/>
                <w:sz w:val="23"/>
                <w:szCs w:val="23"/>
              </w:rPr>
            </w:pPr>
            <w:r w:rsidRPr="003843E7">
              <w:rPr>
                <w:rFonts w:ascii="Times New Roman" w:hAnsi="Times New Roman" w:cs="Times New Roman"/>
                <w:b/>
                <w:bCs/>
                <w:sz w:val="23"/>
                <w:szCs w:val="23"/>
              </w:rPr>
              <w:t xml:space="preserve">  Subtotal</w:t>
            </w:r>
          </w:p>
        </w:tc>
        <w:tc>
          <w:tcPr>
            <w:tcW w:w="2178" w:type="dxa"/>
            <w:vAlign w:val="bottom"/>
          </w:tcPr>
          <w:p w:rsidR="003843E7" w:rsidRPr="003843E7" w:rsidRDefault="003843E7" w:rsidP="003843E7">
            <w:pPr>
              <w:jc w:val="right"/>
              <w:rPr>
                <w:rFonts w:ascii="Times New Roman" w:hAnsi="Times New Roman" w:cs="Times New Roman"/>
                <w:b/>
                <w:bCs/>
                <w:sz w:val="23"/>
                <w:szCs w:val="23"/>
              </w:rPr>
            </w:pPr>
            <w:r w:rsidRPr="003843E7">
              <w:rPr>
                <w:rFonts w:ascii="Times New Roman" w:hAnsi="Times New Roman" w:cs="Times New Roman"/>
                <w:b/>
                <w:bCs/>
                <w:sz w:val="23"/>
                <w:szCs w:val="23"/>
              </w:rPr>
              <w:t xml:space="preserve">               2,751,000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p>
        </w:tc>
        <w:tc>
          <w:tcPr>
            <w:tcW w:w="2178" w:type="dxa"/>
            <w:vAlign w:val="bottom"/>
          </w:tcPr>
          <w:p w:rsidR="003843E7" w:rsidRPr="003843E7" w:rsidRDefault="003843E7" w:rsidP="003843E7">
            <w:pPr>
              <w:jc w:val="right"/>
              <w:rPr>
                <w:rFonts w:ascii="Times New Roman" w:hAnsi="Times New Roman" w:cs="Times New Roman"/>
                <w:sz w:val="23"/>
                <w:szCs w:val="23"/>
              </w:rPr>
            </w:pPr>
          </w:p>
        </w:tc>
      </w:tr>
      <w:tr w:rsidR="003843E7" w:rsidTr="0084219D">
        <w:tc>
          <w:tcPr>
            <w:tcW w:w="7398" w:type="dxa"/>
            <w:vAlign w:val="bottom"/>
          </w:tcPr>
          <w:p w:rsidR="003843E7" w:rsidRPr="003843E7" w:rsidRDefault="003843E7">
            <w:pPr>
              <w:rPr>
                <w:rFonts w:ascii="Times New Roman" w:hAnsi="Times New Roman" w:cs="Times New Roman"/>
                <w:b/>
                <w:bCs/>
                <w:sz w:val="23"/>
                <w:szCs w:val="23"/>
              </w:rPr>
            </w:pPr>
            <w:r w:rsidRPr="003843E7">
              <w:rPr>
                <w:rFonts w:ascii="Times New Roman" w:hAnsi="Times New Roman" w:cs="Times New Roman"/>
                <w:b/>
                <w:bCs/>
                <w:sz w:val="23"/>
                <w:szCs w:val="23"/>
              </w:rPr>
              <w:t>TOTAL</w:t>
            </w:r>
          </w:p>
        </w:tc>
        <w:tc>
          <w:tcPr>
            <w:tcW w:w="2178" w:type="dxa"/>
            <w:vAlign w:val="bottom"/>
          </w:tcPr>
          <w:p w:rsidR="003843E7" w:rsidRPr="003843E7" w:rsidRDefault="003843E7" w:rsidP="003843E7">
            <w:pPr>
              <w:jc w:val="right"/>
              <w:rPr>
                <w:rFonts w:ascii="Times New Roman" w:hAnsi="Times New Roman" w:cs="Times New Roman"/>
                <w:b/>
                <w:bCs/>
                <w:sz w:val="23"/>
                <w:szCs w:val="23"/>
              </w:rPr>
            </w:pPr>
            <w:r w:rsidRPr="003843E7">
              <w:rPr>
                <w:rFonts w:ascii="Times New Roman" w:hAnsi="Times New Roman" w:cs="Times New Roman"/>
                <w:b/>
                <w:bCs/>
                <w:sz w:val="23"/>
                <w:szCs w:val="23"/>
              </w:rPr>
              <w:t xml:space="preserve">               8,809,000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p>
        </w:tc>
        <w:tc>
          <w:tcPr>
            <w:tcW w:w="2178" w:type="dxa"/>
            <w:vAlign w:val="bottom"/>
          </w:tcPr>
          <w:p w:rsidR="003843E7" w:rsidRPr="003843E7" w:rsidRDefault="003843E7" w:rsidP="003843E7">
            <w:pPr>
              <w:jc w:val="right"/>
              <w:rPr>
                <w:rFonts w:ascii="Times New Roman" w:hAnsi="Times New Roman" w:cs="Times New Roman"/>
                <w:sz w:val="23"/>
                <w:szCs w:val="23"/>
              </w:rPr>
            </w:pPr>
          </w:p>
        </w:tc>
      </w:tr>
      <w:tr w:rsidR="003843E7" w:rsidTr="0084219D">
        <w:tc>
          <w:tcPr>
            <w:tcW w:w="7398" w:type="dxa"/>
            <w:vAlign w:val="bottom"/>
          </w:tcPr>
          <w:p w:rsidR="003843E7" w:rsidRPr="003843E7" w:rsidRDefault="003843E7">
            <w:pPr>
              <w:rPr>
                <w:rFonts w:ascii="Times New Roman" w:hAnsi="Times New Roman" w:cs="Times New Roman"/>
                <w:b/>
                <w:bCs/>
                <w:sz w:val="23"/>
                <w:szCs w:val="23"/>
              </w:rPr>
            </w:pPr>
            <w:r w:rsidRPr="003843E7">
              <w:rPr>
                <w:rFonts w:ascii="Times New Roman" w:hAnsi="Times New Roman" w:cs="Times New Roman"/>
                <w:b/>
                <w:bCs/>
                <w:sz w:val="23"/>
                <w:szCs w:val="23"/>
              </w:rPr>
              <w:t>PROJECTED REVENUE INCREASE</w:t>
            </w:r>
          </w:p>
        </w:tc>
        <w:tc>
          <w:tcPr>
            <w:tcW w:w="2178" w:type="dxa"/>
            <w:vAlign w:val="bottom"/>
          </w:tcPr>
          <w:p w:rsidR="003843E7" w:rsidRPr="003843E7" w:rsidRDefault="003843E7" w:rsidP="003843E7">
            <w:pPr>
              <w:jc w:val="right"/>
              <w:rPr>
                <w:rFonts w:ascii="Times New Roman" w:hAnsi="Times New Roman" w:cs="Times New Roman"/>
                <w:sz w:val="23"/>
                <w:szCs w:val="23"/>
              </w:rPr>
            </w:pP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 xml:space="preserve">Fall/Spring Tuition </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5,999,000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Summer Tuition</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266,000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Doctoral Program, Education</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111,000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DELO</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2,026,000 </w:t>
            </w:r>
          </w:p>
        </w:tc>
      </w:tr>
      <w:tr w:rsidR="003843E7" w:rsidTr="0084219D">
        <w:tc>
          <w:tcPr>
            <w:tcW w:w="7398" w:type="dxa"/>
            <w:vAlign w:val="bottom"/>
          </w:tcPr>
          <w:p w:rsidR="003843E7" w:rsidRPr="003843E7" w:rsidRDefault="003843E7">
            <w:pPr>
              <w:rPr>
                <w:rFonts w:ascii="Times New Roman" w:hAnsi="Times New Roman" w:cs="Times New Roman"/>
                <w:sz w:val="23"/>
                <w:szCs w:val="23"/>
              </w:rPr>
            </w:pPr>
            <w:r w:rsidRPr="003843E7">
              <w:rPr>
                <w:rFonts w:ascii="Times New Roman" w:hAnsi="Times New Roman" w:cs="Times New Roman"/>
                <w:sz w:val="23"/>
                <w:szCs w:val="23"/>
              </w:rPr>
              <w:t>Nonrecurring (Carry Forward)</w:t>
            </w:r>
          </w:p>
        </w:tc>
        <w:tc>
          <w:tcPr>
            <w:tcW w:w="2178" w:type="dxa"/>
            <w:vAlign w:val="bottom"/>
          </w:tcPr>
          <w:p w:rsidR="003843E7" w:rsidRPr="003843E7" w:rsidRDefault="003843E7" w:rsidP="003843E7">
            <w:pPr>
              <w:jc w:val="right"/>
              <w:rPr>
                <w:rFonts w:ascii="Times New Roman" w:hAnsi="Times New Roman" w:cs="Times New Roman"/>
                <w:sz w:val="23"/>
                <w:szCs w:val="23"/>
              </w:rPr>
            </w:pPr>
            <w:r w:rsidRPr="003843E7">
              <w:rPr>
                <w:rFonts w:ascii="Times New Roman" w:hAnsi="Times New Roman" w:cs="Times New Roman"/>
                <w:sz w:val="23"/>
                <w:szCs w:val="23"/>
              </w:rPr>
              <w:t xml:space="preserve">                   407,000 </w:t>
            </w:r>
          </w:p>
        </w:tc>
      </w:tr>
      <w:tr w:rsidR="003843E7" w:rsidTr="0084219D">
        <w:tc>
          <w:tcPr>
            <w:tcW w:w="7398" w:type="dxa"/>
            <w:vAlign w:val="bottom"/>
          </w:tcPr>
          <w:p w:rsidR="00A00683" w:rsidRDefault="00A00683" w:rsidP="00A00683">
            <w:pPr>
              <w:rPr>
                <w:rFonts w:ascii="Times New Roman" w:hAnsi="Times New Roman" w:cs="Times New Roman"/>
                <w:b/>
                <w:bCs/>
                <w:sz w:val="23"/>
                <w:szCs w:val="23"/>
              </w:rPr>
            </w:pPr>
          </w:p>
          <w:p w:rsidR="003843E7" w:rsidRPr="003843E7" w:rsidRDefault="003843E7" w:rsidP="00A00683">
            <w:pPr>
              <w:rPr>
                <w:rFonts w:ascii="Times New Roman" w:hAnsi="Times New Roman" w:cs="Times New Roman"/>
                <w:b/>
                <w:bCs/>
                <w:sz w:val="23"/>
                <w:szCs w:val="23"/>
              </w:rPr>
            </w:pPr>
            <w:r w:rsidRPr="003843E7">
              <w:rPr>
                <w:rFonts w:ascii="Times New Roman" w:hAnsi="Times New Roman" w:cs="Times New Roman"/>
                <w:b/>
                <w:bCs/>
                <w:sz w:val="23"/>
                <w:szCs w:val="23"/>
              </w:rPr>
              <w:t>T</w:t>
            </w:r>
            <w:r w:rsidR="00A00683">
              <w:rPr>
                <w:rFonts w:ascii="Times New Roman" w:hAnsi="Times New Roman" w:cs="Times New Roman"/>
                <w:b/>
                <w:bCs/>
                <w:sz w:val="23"/>
                <w:szCs w:val="23"/>
              </w:rPr>
              <w:t>OTAL</w:t>
            </w:r>
          </w:p>
        </w:tc>
        <w:tc>
          <w:tcPr>
            <w:tcW w:w="2178" w:type="dxa"/>
            <w:vAlign w:val="bottom"/>
          </w:tcPr>
          <w:p w:rsidR="003843E7" w:rsidRPr="003843E7" w:rsidRDefault="003843E7" w:rsidP="003843E7">
            <w:pPr>
              <w:jc w:val="right"/>
              <w:rPr>
                <w:rFonts w:ascii="Times New Roman" w:hAnsi="Times New Roman" w:cs="Times New Roman"/>
                <w:b/>
                <w:bCs/>
                <w:sz w:val="23"/>
                <w:szCs w:val="23"/>
              </w:rPr>
            </w:pPr>
            <w:r w:rsidRPr="003843E7">
              <w:rPr>
                <w:rFonts w:ascii="Times New Roman" w:hAnsi="Times New Roman" w:cs="Times New Roman"/>
                <w:b/>
                <w:bCs/>
                <w:sz w:val="23"/>
                <w:szCs w:val="23"/>
              </w:rPr>
              <w:t xml:space="preserve">               8,809,000 </w:t>
            </w:r>
          </w:p>
        </w:tc>
      </w:tr>
    </w:tbl>
    <w:p w:rsidR="004B4673" w:rsidRPr="004B4673" w:rsidRDefault="004B4673" w:rsidP="004B4673">
      <w:pPr>
        <w:rPr>
          <w:b/>
          <w:bCs/>
          <w:sz w:val="24"/>
          <w:szCs w:val="24"/>
        </w:rPr>
      </w:pPr>
    </w:p>
    <w:p w:rsidR="001F14D1" w:rsidRDefault="001F14D1" w:rsidP="005145F1">
      <w:pPr>
        <w:pStyle w:val="BodyText"/>
        <w:jc w:val="both"/>
        <w:rPr>
          <w:szCs w:val="23"/>
        </w:rPr>
      </w:pPr>
    </w:p>
    <w:p w:rsidR="0021798C" w:rsidRDefault="005145F1" w:rsidP="005145F1">
      <w:pPr>
        <w:pStyle w:val="BodyText"/>
        <w:jc w:val="both"/>
        <w:rPr>
          <w:szCs w:val="23"/>
        </w:rPr>
      </w:pPr>
      <w:r>
        <w:rPr>
          <w:szCs w:val="23"/>
        </w:rPr>
        <w:t>The FY</w:t>
      </w:r>
      <w:r w:rsidR="00BA5D22">
        <w:rPr>
          <w:szCs w:val="23"/>
        </w:rPr>
        <w:t xml:space="preserve"> </w:t>
      </w:r>
      <w:r>
        <w:rPr>
          <w:szCs w:val="23"/>
        </w:rPr>
        <w:t>201</w:t>
      </w:r>
      <w:r w:rsidR="00DE0C9D">
        <w:rPr>
          <w:szCs w:val="23"/>
        </w:rPr>
        <w:t>1</w:t>
      </w:r>
      <w:r w:rsidR="000B0F91">
        <w:rPr>
          <w:szCs w:val="23"/>
        </w:rPr>
        <w:t xml:space="preserve"> </w:t>
      </w:r>
      <w:r>
        <w:rPr>
          <w:szCs w:val="23"/>
        </w:rPr>
        <w:t>budgeted expenditures, by major classification of expenditure, are summarized as follows:</w:t>
      </w:r>
    </w:p>
    <w:p w:rsidR="0021798C" w:rsidRDefault="0021798C" w:rsidP="005145F1">
      <w:pPr>
        <w:pStyle w:val="BodyText"/>
        <w:jc w:val="both"/>
        <w:rPr>
          <w:szCs w:val="23"/>
        </w:rPr>
      </w:pPr>
    </w:p>
    <w:p w:rsidR="002454FA" w:rsidRDefault="002454FA" w:rsidP="005145F1">
      <w:pPr>
        <w:pStyle w:val="BodyText"/>
        <w:jc w:val="both"/>
        <w:rPr>
          <w:szCs w:val="23"/>
        </w:rPr>
      </w:pPr>
    </w:p>
    <w:p w:rsidR="00DE0C9D" w:rsidRDefault="00C0223B" w:rsidP="00DE0C9D">
      <w:pPr>
        <w:pStyle w:val="BodyText"/>
        <w:tabs>
          <w:tab w:val="clear" w:pos="360"/>
          <w:tab w:val="clear" w:pos="1440"/>
          <w:tab w:val="clear" w:pos="4320"/>
          <w:tab w:val="left" w:pos="540"/>
          <w:tab w:val="left" w:pos="720"/>
          <w:tab w:val="right" w:pos="6480"/>
        </w:tabs>
        <w:jc w:val="center"/>
        <w:rPr>
          <w:szCs w:val="23"/>
        </w:rPr>
      </w:pPr>
      <w:r w:rsidRPr="00C0223B">
        <w:rPr>
          <w:noProof/>
          <w:szCs w:val="23"/>
        </w:rPr>
        <w:drawing>
          <wp:inline distT="0" distB="0" distL="0" distR="0">
            <wp:extent cx="5534025" cy="28098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45F1" w:rsidRDefault="005145F1" w:rsidP="00C8196F">
      <w:pPr>
        <w:pStyle w:val="BodyText"/>
        <w:tabs>
          <w:tab w:val="clear" w:pos="360"/>
          <w:tab w:val="clear" w:pos="1440"/>
          <w:tab w:val="clear" w:pos="4320"/>
          <w:tab w:val="left" w:pos="540"/>
          <w:tab w:val="left" w:pos="720"/>
          <w:tab w:val="right" w:pos="6480"/>
        </w:tabs>
        <w:jc w:val="center"/>
        <w:rPr>
          <w:b/>
          <w:sz w:val="21"/>
          <w:szCs w:val="21"/>
        </w:rPr>
      </w:pPr>
      <w:r w:rsidRPr="00DE0C9D">
        <w:rPr>
          <w:b/>
          <w:sz w:val="21"/>
          <w:szCs w:val="21"/>
        </w:rPr>
        <w:lastRenderedPageBreak/>
        <w:t>Total Budgeted Expenditures (In Millions)</w:t>
      </w:r>
    </w:p>
    <w:p w:rsidR="002454FA" w:rsidRPr="00DE0C9D" w:rsidRDefault="002454FA" w:rsidP="005145F1">
      <w:pPr>
        <w:pStyle w:val="BodyText"/>
        <w:jc w:val="center"/>
        <w:rPr>
          <w:b/>
          <w:sz w:val="21"/>
          <w:szCs w:val="21"/>
        </w:rPr>
      </w:pPr>
    </w:p>
    <w:p w:rsidR="005145F1" w:rsidRPr="00DE0C9D" w:rsidRDefault="005145F1" w:rsidP="005145F1">
      <w:pPr>
        <w:pStyle w:val="BodyText"/>
        <w:tabs>
          <w:tab w:val="clear" w:pos="1440"/>
          <w:tab w:val="clear" w:pos="2160"/>
          <w:tab w:val="clear" w:pos="2880"/>
          <w:tab w:val="clear" w:pos="4320"/>
          <w:tab w:val="clear" w:pos="6120"/>
          <w:tab w:val="left" w:pos="615"/>
          <w:tab w:val="left" w:pos="720"/>
          <w:tab w:val="left" w:pos="2166"/>
          <w:tab w:val="right" w:pos="6612"/>
        </w:tabs>
        <w:rPr>
          <w:b/>
          <w:sz w:val="21"/>
          <w:szCs w:val="21"/>
        </w:rPr>
      </w:pP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rPr>
      </w:pPr>
      <w:r w:rsidRPr="00DE0C9D">
        <w:rPr>
          <w:b/>
          <w:sz w:val="21"/>
          <w:szCs w:val="21"/>
        </w:rPr>
        <w:tab/>
      </w:r>
      <w:r w:rsidR="005145F1" w:rsidRPr="00DE0C9D">
        <w:rPr>
          <w:b/>
          <w:sz w:val="21"/>
          <w:szCs w:val="21"/>
          <w:u w:val="single"/>
        </w:rPr>
        <w:t>Major Classification</w:t>
      </w:r>
      <w:r w:rsidR="005145F1" w:rsidRPr="00DE0C9D">
        <w:rPr>
          <w:b/>
          <w:sz w:val="21"/>
          <w:szCs w:val="21"/>
        </w:rPr>
        <w:tab/>
      </w:r>
      <w:r w:rsidR="005145F1" w:rsidRPr="00DE0C9D">
        <w:rPr>
          <w:b/>
          <w:sz w:val="21"/>
          <w:szCs w:val="21"/>
          <w:u w:val="single"/>
        </w:rPr>
        <w:t>Unrestricted</w:t>
      </w:r>
      <w:r w:rsidR="005145F1" w:rsidRPr="00DE0C9D">
        <w:rPr>
          <w:b/>
          <w:sz w:val="21"/>
          <w:szCs w:val="21"/>
        </w:rPr>
        <w:tab/>
      </w:r>
      <w:r w:rsidR="005145F1" w:rsidRPr="00DE0C9D">
        <w:rPr>
          <w:b/>
          <w:sz w:val="21"/>
          <w:szCs w:val="21"/>
          <w:u w:val="single"/>
        </w:rPr>
        <w:t>Restricted</w:t>
      </w:r>
      <w:r w:rsidR="005145F1" w:rsidRPr="00DE0C9D">
        <w:rPr>
          <w:b/>
          <w:sz w:val="21"/>
          <w:szCs w:val="21"/>
        </w:rPr>
        <w:tab/>
      </w:r>
      <w:r w:rsidR="005145F1" w:rsidRPr="00DE0C9D">
        <w:rPr>
          <w:b/>
          <w:sz w:val="21"/>
          <w:szCs w:val="21"/>
          <w:u w:val="single"/>
        </w:rPr>
        <w:t>Auxiliary</w:t>
      </w:r>
      <w:r w:rsidR="005145F1" w:rsidRPr="00DE0C9D">
        <w:rPr>
          <w:b/>
          <w:sz w:val="21"/>
          <w:szCs w:val="21"/>
        </w:rPr>
        <w:tab/>
      </w:r>
      <w:r w:rsidR="005145F1" w:rsidRPr="00DE0C9D">
        <w:rPr>
          <w:b/>
          <w:sz w:val="21"/>
          <w:szCs w:val="21"/>
          <w:u w:val="single"/>
        </w:rPr>
        <w:t>Total</w:t>
      </w:r>
    </w:p>
    <w:p w:rsidR="005145F1" w:rsidRPr="00DE0C9D" w:rsidRDefault="005145F1"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u w:val="single"/>
        </w:rPr>
      </w:pPr>
      <w:r w:rsidRPr="00DE0C9D">
        <w:rPr>
          <w:sz w:val="21"/>
          <w:szCs w:val="21"/>
        </w:rPr>
        <w:tab/>
      </w:r>
      <w:r w:rsidR="005145F1" w:rsidRPr="00DE0C9D">
        <w:rPr>
          <w:sz w:val="21"/>
          <w:szCs w:val="21"/>
        </w:rPr>
        <w:t>Personnel</w:t>
      </w:r>
      <w:r w:rsidR="005145F1" w:rsidRPr="00DE0C9D">
        <w:rPr>
          <w:sz w:val="21"/>
          <w:szCs w:val="21"/>
        </w:rPr>
        <w:tab/>
        <w:t>$</w:t>
      </w:r>
      <w:r w:rsidR="00C0223B">
        <w:rPr>
          <w:sz w:val="21"/>
          <w:szCs w:val="21"/>
        </w:rPr>
        <w:t>158</w:t>
      </w:r>
      <w:r w:rsidR="00C31E8D">
        <w:rPr>
          <w:sz w:val="21"/>
          <w:szCs w:val="21"/>
        </w:rPr>
        <w:t>.</w:t>
      </w:r>
      <w:r w:rsidR="00C0223B">
        <w:rPr>
          <w:sz w:val="21"/>
          <w:szCs w:val="21"/>
        </w:rPr>
        <w:t>6</w:t>
      </w:r>
      <w:r w:rsidR="005145F1" w:rsidRPr="00DE0C9D">
        <w:rPr>
          <w:sz w:val="21"/>
          <w:szCs w:val="21"/>
        </w:rPr>
        <w:tab/>
        <w:t>$</w:t>
      </w:r>
      <w:r w:rsidR="00041496">
        <w:rPr>
          <w:sz w:val="21"/>
          <w:szCs w:val="21"/>
        </w:rPr>
        <w:t>0.1</w:t>
      </w:r>
      <w:r w:rsidR="005145F1" w:rsidRPr="00DE0C9D">
        <w:rPr>
          <w:sz w:val="21"/>
          <w:szCs w:val="21"/>
        </w:rPr>
        <w:tab/>
        <w:t>$</w:t>
      </w:r>
      <w:r w:rsidR="00C31E8D">
        <w:rPr>
          <w:sz w:val="21"/>
          <w:szCs w:val="21"/>
        </w:rPr>
        <w:t>7.9</w:t>
      </w:r>
      <w:r w:rsidR="005145F1" w:rsidRPr="00DE0C9D">
        <w:rPr>
          <w:sz w:val="21"/>
          <w:szCs w:val="21"/>
        </w:rPr>
        <w:tab/>
        <w:t>$</w:t>
      </w:r>
      <w:r w:rsidR="00041496">
        <w:rPr>
          <w:sz w:val="21"/>
          <w:szCs w:val="21"/>
        </w:rPr>
        <w:t>166.6</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b/>
          <w:sz w:val="21"/>
          <w:szCs w:val="21"/>
          <w:u w:val="single"/>
        </w:rPr>
      </w:pPr>
      <w:r w:rsidRPr="00DE0C9D">
        <w:rPr>
          <w:sz w:val="21"/>
          <w:szCs w:val="21"/>
        </w:rPr>
        <w:tab/>
      </w:r>
      <w:r w:rsidR="005145F1" w:rsidRPr="00DE0C9D">
        <w:rPr>
          <w:sz w:val="21"/>
          <w:szCs w:val="21"/>
        </w:rPr>
        <w:t>Operating Expenses</w:t>
      </w:r>
      <w:r w:rsidR="005145F1" w:rsidRPr="00DE0C9D">
        <w:rPr>
          <w:sz w:val="21"/>
          <w:szCs w:val="21"/>
        </w:rPr>
        <w:tab/>
      </w:r>
      <w:r w:rsidR="00C0223B">
        <w:rPr>
          <w:sz w:val="21"/>
          <w:szCs w:val="21"/>
        </w:rPr>
        <w:t>6</w:t>
      </w:r>
      <w:r w:rsidR="00C31E8D">
        <w:rPr>
          <w:sz w:val="21"/>
          <w:szCs w:val="21"/>
        </w:rPr>
        <w:t>6.0</w:t>
      </w:r>
      <w:r w:rsidR="005145F1" w:rsidRPr="00DE0C9D">
        <w:rPr>
          <w:sz w:val="21"/>
          <w:szCs w:val="21"/>
        </w:rPr>
        <w:tab/>
      </w:r>
      <w:r w:rsidR="00041496">
        <w:rPr>
          <w:sz w:val="21"/>
          <w:szCs w:val="21"/>
        </w:rPr>
        <w:t>26.3</w:t>
      </w:r>
      <w:r w:rsidR="005145F1" w:rsidRPr="00DE0C9D">
        <w:rPr>
          <w:sz w:val="21"/>
          <w:szCs w:val="21"/>
        </w:rPr>
        <w:tab/>
      </w:r>
      <w:r w:rsidR="00C31E8D">
        <w:rPr>
          <w:sz w:val="21"/>
          <w:szCs w:val="21"/>
        </w:rPr>
        <w:t>11.1</w:t>
      </w:r>
      <w:r w:rsidR="005145F1" w:rsidRPr="00DE0C9D">
        <w:rPr>
          <w:sz w:val="21"/>
          <w:szCs w:val="21"/>
        </w:rPr>
        <w:tab/>
      </w:r>
      <w:r w:rsidR="00041496">
        <w:rPr>
          <w:sz w:val="21"/>
          <w:szCs w:val="21"/>
        </w:rPr>
        <w:t>103.4</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r>
      <w:r w:rsidR="005145F1" w:rsidRPr="00DE0C9D">
        <w:rPr>
          <w:sz w:val="21"/>
          <w:szCs w:val="21"/>
        </w:rPr>
        <w:t>Budget Reduction Reserve</w:t>
      </w:r>
      <w:r w:rsidR="005145F1" w:rsidRPr="00DE0C9D">
        <w:rPr>
          <w:sz w:val="21"/>
          <w:szCs w:val="21"/>
        </w:rPr>
        <w:tab/>
      </w:r>
      <w:r w:rsidR="00C31E8D">
        <w:rPr>
          <w:sz w:val="21"/>
          <w:szCs w:val="21"/>
        </w:rPr>
        <w:t>(1.</w:t>
      </w:r>
      <w:r w:rsidR="00C0223B">
        <w:rPr>
          <w:sz w:val="21"/>
          <w:szCs w:val="21"/>
        </w:rPr>
        <w:t>1)</w:t>
      </w:r>
      <w:r w:rsidR="005145F1" w:rsidRPr="00DE0C9D">
        <w:rPr>
          <w:sz w:val="21"/>
          <w:szCs w:val="21"/>
        </w:rPr>
        <w:tab/>
        <w:t>0</w:t>
      </w:r>
      <w:r w:rsidR="005145F1" w:rsidRPr="00DE0C9D">
        <w:rPr>
          <w:sz w:val="21"/>
          <w:szCs w:val="21"/>
        </w:rPr>
        <w:tab/>
        <w:t>0</w:t>
      </w:r>
      <w:r w:rsidR="005145F1" w:rsidRPr="00DE0C9D">
        <w:rPr>
          <w:sz w:val="21"/>
          <w:szCs w:val="21"/>
        </w:rPr>
        <w:tab/>
      </w:r>
      <w:r w:rsidR="00041496">
        <w:rPr>
          <w:sz w:val="21"/>
          <w:szCs w:val="21"/>
        </w:rPr>
        <w:t>(1.1)</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r>
      <w:r w:rsidR="005145F1" w:rsidRPr="00DE0C9D">
        <w:rPr>
          <w:sz w:val="21"/>
          <w:szCs w:val="21"/>
        </w:rPr>
        <w:t>Utilities</w:t>
      </w:r>
      <w:r w:rsidR="005145F1" w:rsidRPr="00DE0C9D">
        <w:rPr>
          <w:sz w:val="21"/>
          <w:szCs w:val="21"/>
        </w:rPr>
        <w:tab/>
      </w:r>
      <w:r w:rsidR="00C0223B">
        <w:rPr>
          <w:sz w:val="21"/>
          <w:szCs w:val="21"/>
        </w:rPr>
        <w:t>9</w:t>
      </w:r>
      <w:r w:rsidR="00C31E8D">
        <w:rPr>
          <w:sz w:val="21"/>
          <w:szCs w:val="21"/>
        </w:rPr>
        <w:t>.</w:t>
      </w:r>
      <w:r w:rsidR="00C0223B">
        <w:rPr>
          <w:sz w:val="21"/>
          <w:szCs w:val="21"/>
        </w:rPr>
        <w:t>3</w:t>
      </w:r>
      <w:r w:rsidR="005145F1" w:rsidRPr="00DE0C9D">
        <w:rPr>
          <w:sz w:val="21"/>
          <w:szCs w:val="21"/>
        </w:rPr>
        <w:tab/>
        <w:t>0</w:t>
      </w:r>
      <w:r w:rsidR="005145F1" w:rsidRPr="00DE0C9D">
        <w:rPr>
          <w:sz w:val="21"/>
          <w:szCs w:val="21"/>
        </w:rPr>
        <w:tab/>
      </w:r>
      <w:r w:rsidR="00C31E8D">
        <w:rPr>
          <w:sz w:val="21"/>
          <w:szCs w:val="21"/>
        </w:rPr>
        <w:t>2.9</w:t>
      </w:r>
      <w:r w:rsidR="005145F1" w:rsidRPr="00DE0C9D">
        <w:rPr>
          <w:sz w:val="21"/>
          <w:szCs w:val="21"/>
        </w:rPr>
        <w:tab/>
      </w:r>
      <w:r w:rsidR="00041496">
        <w:rPr>
          <w:sz w:val="21"/>
          <w:szCs w:val="21"/>
        </w:rPr>
        <w:t>12.2</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r>
      <w:r w:rsidR="005145F1" w:rsidRPr="00DE0C9D">
        <w:rPr>
          <w:sz w:val="21"/>
          <w:szCs w:val="21"/>
        </w:rPr>
        <w:t>Capital Outlay</w:t>
      </w:r>
      <w:r w:rsidR="005145F1" w:rsidRPr="00DE0C9D">
        <w:rPr>
          <w:sz w:val="21"/>
          <w:szCs w:val="21"/>
        </w:rPr>
        <w:tab/>
      </w:r>
      <w:r w:rsidR="00C31E8D">
        <w:rPr>
          <w:sz w:val="21"/>
          <w:szCs w:val="21"/>
        </w:rPr>
        <w:t>5.1</w:t>
      </w:r>
      <w:r w:rsidR="005145F1" w:rsidRPr="00DE0C9D">
        <w:rPr>
          <w:sz w:val="21"/>
          <w:szCs w:val="21"/>
        </w:rPr>
        <w:tab/>
        <w:t>0</w:t>
      </w:r>
      <w:r w:rsidR="005145F1" w:rsidRPr="00DE0C9D">
        <w:rPr>
          <w:sz w:val="21"/>
          <w:szCs w:val="21"/>
        </w:rPr>
        <w:tab/>
      </w:r>
      <w:r w:rsidR="00041496">
        <w:rPr>
          <w:sz w:val="21"/>
          <w:szCs w:val="21"/>
        </w:rPr>
        <w:t>0.6</w:t>
      </w:r>
      <w:r w:rsidR="005145F1" w:rsidRPr="00DE0C9D">
        <w:rPr>
          <w:sz w:val="21"/>
          <w:szCs w:val="21"/>
        </w:rPr>
        <w:tab/>
      </w:r>
      <w:r w:rsidR="00041496">
        <w:rPr>
          <w:sz w:val="21"/>
          <w:szCs w:val="21"/>
        </w:rPr>
        <w:t>5.7</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r>
      <w:r w:rsidR="005145F1" w:rsidRPr="00DE0C9D">
        <w:rPr>
          <w:sz w:val="21"/>
          <w:szCs w:val="21"/>
        </w:rPr>
        <w:t>Student Aid</w:t>
      </w:r>
      <w:r w:rsidR="005145F1" w:rsidRPr="00DE0C9D">
        <w:rPr>
          <w:sz w:val="21"/>
          <w:szCs w:val="21"/>
        </w:rPr>
        <w:tab/>
      </w:r>
      <w:r w:rsidR="00C0223B">
        <w:rPr>
          <w:sz w:val="21"/>
          <w:szCs w:val="21"/>
        </w:rPr>
        <w:t>20</w:t>
      </w:r>
      <w:r w:rsidR="00C31E8D">
        <w:rPr>
          <w:sz w:val="21"/>
          <w:szCs w:val="21"/>
        </w:rPr>
        <w:t>.3</w:t>
      </w:r>
      <w:r w:rsidR="005145F1" w:rsidRPr="00DE0C9D">
        <w:rPr>
          <w:sz w:val="21"/>
          <w:szCs w:val="21"/>
        </w:rPr>
        <w:tab/>
      </w:r>
      <w:r w:rsidR="00041496">
        <w:rPr>
          <w:sz w:val="21"/>
          <w:szCs w:val="21"/>
        </w:rPr>
        <w:t>61.4</w:t>
      </w:r>
      <w:r w:rsidR="005145F1" w:rsidRPr="00DE0C9D">
        <w:rPr>
          <w:sz w:val="21"/>
          <w:szCs w:val="21"/>
        </w:rPr>
        <w:tab/>
      </w:r>
      <w:r w:rsidR="00041496">
        <w:rPr>
          <w:sz w:val="21"/>
          <w:szCs w:val="21"/>
        </w:rPr>
        <w:t>0</w:t>
      </w:r>
      <w:r w:rsidR="005145F1" w:rsidRPr="00DE0C9D">
        <w:rPr>
          <w:sz w:val="21"/>
          <w:szCs w:val="21"/>
        </w:rPr>
        <w:tab/>
      </w:r>
      <w:r w:rsidR="00041496">
        <w:rPr>
          <w:sz w:val="21"/>
          <w:szCs w:val="21"/>
        </w:rPr>
        <w:t>81.7</w:t>
      </w:r>
    </w:p>
    <w:p w:rsidR="005145F1" w:rsidRPr="00DE0C9D"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1"/>
          <w:szCs w:val="21"/>
        </w:rPr>
      </w:pPr>
      <w:r w:rsidRPr="00DE0C9D">
        <w:rPr>
          <w:sz w:val="21"/>
          <w:szCs w:val="21"/>
        </w:rPr>
        <w:tab/>
      </w:r>
      <w:r w:rsidR="005145F1" w:rsidRPr="00DE0C9D">
        <w:rPr>
          <w:sz w:val="21"/>
          <w:szCs w:val="21"/>
        </w:rPr>
        <w:t>Debt Service</w:t>
      </w:r>
      <w:r w:rsidR="005145F1" w:rsidRPr="00DE0C9D">
        <w:rPr>
          <w:sz w:val="21"/>
          <w:szCs w:val="21"/>
        </w:rPr>
        <w:tab/>
      </w:r>
      <w:r w:rsidR="00C0223B" w:rsidRPr="00C31E8D">
        <w:rPr>
          <w:sz w:val="21"/>
          <w:szCs w:val="21"/>
          <w:u w:val="single"/>
        </w:rPr>
        <w:t>12</w:t>
      </w:r>
      <w:r w:rsidR="00C31E8D">
        <w:rPr>
          <w:sz w:val="21"/>
          <w:szCs w:val="21"/>
          <w:u w:val="single"/>
        </w:rPr>
        <w:t>.</w:t>
      </w:r>
      <w:r w:rsidR="00C0223B" w:rsidRPr="00C31E8D">
        <w:rPr>
          <w:sz w:val="21"/>
          <w:szCs w:val="21"/>
          <w:u w:val="single"/>
        </w:rPr>
        <w:t>7</w:t>
      </w:r>
      <w:r w:rsidRPr="00C31E8D">
        <w:rPr>
          <w:sz w:val="21"/>
          <w:szCs w:val="21"/>
          <w:u w:val="single"/>
        </w:rPr>
        <w:t xml:space="preserve">                    </w:t>
      </w:r>
      <w:r w:rsidR="005145F1" w:rsidRPr="00C31E8D">
        <w:rPr>
          <w:sz w:val="21"/>
          <w:szCs w:val="21"/>
          <w:u w:val="single"/>
        </w:rPr>
        <w:tab/>
      </w:r>
      <w:r w:rsidR="00041496">
        <w:rPr>
          <w:sz w:val="21"/>
          <w:szCs w:val="21"/>
          <w:u w:val="single"/>
        </w:rPr>
        <w:t>0</w:t>
      </w:r>
      <w:r w:rsidR="005145F1" w:rsidRPr="00C31E8D">
        <w:rPr>
          <w:sz w:val="21"/>
          <w:szCs w:val="21"/>
          <w:u w:val="single"/>
        </w:rPr>
        <w:tab/>
      </w:r>
      <w:r w:rsidR="00041496">
        <w:rPr>
          <w:sz w:val="21"/>
          <w:szCs w:val="21"/>
          <w:u w:val="single"/>
        </w:rPr>
        <w:t>0.5</w:t>
      </w:r>
      <w:r w:rsidR="005145F1" w:rsidRPr="00C31E8D">
        <w:rPr>
          <w:sz w:val="21"/>
          <w:szCs w:val="21"/>
          <w:u w:val="single"/>
        </w:rPr>
        <w:tab/>
      </w:r>
      <w:r w:rsidR="00041496">
        <w:rPr>
          <w:sz w:val="21"/>
          <w:szCs w:val="21"/>
          <w:u w:val="single"/>
        </w:rPr>
        <w:t>13.2</w:t>
      </w:r>
    </w:p>
    <w:p w:rsidR="005145F1" w:rsidRPr="00116C99" w:rsidRDefault="008943DF" w:rsidP="008943DF">
      <w:pPr>
        <w:pStyle w:val="BodyText"/>
        <w:tabs>
          <w:tab w:val="clear" w:pos="-1080"/>
          <w:tab w:val="clear" w:pos="-720"/>
          <w:tab w:val="clear" w:pos="360"/>
          <w:tab w:val="clear" w:pos="1440"/>
          <w:tab w:val="clear" w:pos="2160"/>
          <w:tab w:val="clear" w:pos="2880"/>
          <w:tab w:val="clear" w:pos="3600"/>
          <w:tab w:val="clear" w:pos="5040"/>
          <w:tab w:val="clear" w:pos="6120"/>
          <w:tab w:val="clear" w:pos="6840"/>
          <w:tab w:val="left" w:pos="720"/>
          <w:tab w:val="right" w:pos="4320"/>
          <w:tab w:val="right" w:pos="5760"/>
          <w:tab w:val="right" w:pos="7200"/>
          <w:tab w:val="right" w:pos="8640"/>
        </w:tabs>
        <w:rPr>
          <w:sz w:val="22"/>
          <w:szCs w:val="22"/>
        </w:rPr>
      </w:pPr>
      <w:r w:rsidRPr="00DE0C9D">
        <w:rPr>
          <w:sz w:val="21"/>
          <w:szCs w:val="21"/>
        </w:rPr>
        <w:tab/>
      </w:r>
      <w:r w:rsidR="005145F1" w:rsidRPr="00DE0C9D">
        <w:rPr>
          <w:sz w:val="21"/>
          <w:szCs w:val="21"/>
        </w:rPr>
        <w:t>Total</w:t>
      </w:r>
      <w:r w:rsidR="005145F1">
        <w:rPr>
          <w:sz w:val="22"/>
          <w:szCs w:val="22"/>
        </w:rPr>
        <w:tab/>
        <w:t>$</w:t>
      </w:r>
      <w:r w:rsidR="00C31E8D">
        <w:rPr>
          <w:sz w:val="22"/>
          <w:szCs w:val="22"/>
        </w:rPr>
        <w:t>270.9</w:t>
      </w:r>
      <w:r w:rsidR="005145F1">
        <w:rPr>
          <w:sz w:val="22"/>
          <w:szCs w:val="22"/>
        </w:rPr>
        <w:tab/>
        <w:t>$</w:t>
      </w:r>
      <w:r w:rsidR="00041496">
        <w:rPr>
          <w:sz w:val="22"/>
          <w:szCs w:val="22"/>
        </w:rPr>
        <w:t>87.8</w:t>
      </w:r>
      <w:r w:rsidR="005145F1">
        <w:rPr>
          <w:sz w:val="22"/>
          <w:szCs w:val="22"/>
        </w:rPr>
        <w:tab/>
        <w:t>$</w:t>
      </w:r>
      <w:r w:rsidR="00041496">
        <w:rPr>
          <w:sz w:val="22"/>
          <w:szCs w:val="22"/>
        </w:rPr>
        <w:t>23.0</w:t>
      </w:r>
      <w:r w:rsidR="005145F1">
        <w:rPr>
          <w:sz w:val="22"/>
          <w:szCs w:val="22"/>
        </w:rPr>
        <w:tab/>
        <w:t>$</w:t>
      </w:r>
      <w:r w:rsidR="00041496">
        <w:rPr>
          <w:sz w:val="22"/>
          <w:szCs w:val="22"/>
        </w:rPr>
        <w:t>381.7</w:t>
      </w:r>
    </w:p>
    <w:p w:rsidR="00ED2207" w:rsidRDefault="00ED2207">
      <w:pPr>
        <w:pStyle w:val="BodyText"/>
        <w:tabs>
          <w:tab w:val="clear" w:pos="360"/>
          <w:tab w:val="clear" w:pos="1440"/>
          <w:tab w:val="clear" w:pos="4320"/>
          <w:tab w:val="left" w:pos="540"/>
          <w:tab w:val="left" w:pos="720"/>
          <w:tab w:val="right" w:pos="6480"/>
        </w:tabs>
        <w:jc w:val="both"/>
        <w:rPr>
          <w:szCs w:val="23"/>
        </w:rPr>
      </w:pPr>
    </w:p>
    <w:p w:rsidR="00DE0C9D" w:rsidRDefault="00DE0C9D">
      <w:pPr>
        <w:pStyle w:val="BodyText"/>
        <w:tabs>
          <w:tab w:val="clear" w:pos="360"/>
          <w:tab w:val="clear" w:pos="1440"/>
          <w:tab w:val="clear" w:pos="4320"/>
          <w:tab w:val="left" w:pos="540"/>
          <w:tab w:val="left" w:pos="720"/>
          <w:tab w:val="right" w:pos="6480"/>
        </w:tabs>
        <w:jc w:val="both"/>
        <w:rPr>
          <w:szCs w:val="23"/>
        </w:rPr>
      </w:pPr>
    </w:p>
    <w:p w:rsidR="00B32EF1" w:rsidRPr="0021798C" w:rsidRDefault="002454FA">
      <w:pPr>
        <w:pStyle w:val="BodyText"/>
        <w:tabs>
          <w:tab w:val="clear" w:pos="360"/>
          <w:tab w:val="clear" w:pos="1440"/>
          <w:tab w:val="clear" w:pos="4320"/>
          <w:tab w:val="left" w:pos="540"/>
          <w:tab w:val="left" w:pos="720"/>
          <w:tab w:val="right" w:pos="6480"/>
        </w:tabs>
        <w:jc w:val="both"/>
        <w:rPr>
          <w:szCs w:val="23"/>
        </w:rPr>
      </w:pPr>
      <w:r>
        <w:rPr>
          <w:szCs w:val="23"/>
        </w:rPr>
        <w:t xml:space="preserve">Personnel expenditures include salary and benefits for approximately 2,000 budgeted, full-time filled positions and 150 budgeted, full-time vacant positions.  Also included in personnel costs are pool budgets for part-time faculty and staff, graduate assistants, and student employees.  </w:t>
      </w:r>
      <w:r w:rsidR="0021798C" w:rsidRPr="0021798C">
        <w:rPr>
          <w:szCs w:val="23"/>
        </w:rPr>
        <w:t xml:space="preserve">The </w:t>
      </w:r>
      <w:r w:rsidR="0021798C" w:rsidRPr="0021798C">
        <w:rPr>
          <w:szCs w:val="23"/>
          <w:u w:val="single"/>
        </w:rPr>
        <w:t>Restricted</w:t>
      </w:r>
      <w:r w:rsidR="0021798C">
        <w:rPr>
          <w:szCs w:val="23"/>
        </w:rPr>
        <w:t xml:space="preserve"> Fund budget for grants and contracts are budgeted in pools:  instruction, research, public service, and student financial aid.  Funds are allocated to specific grants and contracts once awards are made by the respective entities.  Thus, the actual distribution of expenditures by major classification will likely be different than the pool budgets.</w:t>
      </w:r>
    </w:p>
    <w:p w:rsidR="0021798C" w:rsidRDefault="0021798C">
      <w:pPr>
        <w:pStyle w:val="BodyText"/>
        <w:tabs>
          <w:tab w:val="clear" w:pos="360"/>
          <w:tab w:val="clear" w:pos="1440"/>
          <w:tab w:val="clear" w:pos="4320"/>
          <w:tab w:val="left" w:pos="540"/>
          <w:tab w:val="left" w:pos="720"/>
          <w:tab w:val="right" w:pos="6480"/>
        </w:tabs>
        <w:jc w:val="both"/>
        <w:rPr>
          <w:szCs w:val="23"/>
        </w:rPr>
      </w:pPr>
    </w:p>
    <w:p w:rsidR="0065229C" w:rsidRDefault="00817E45">
      <w:pPr>
        <w:pStyle w:val="BodyText"/>
        <w:tabs>
          <w:tab w:val="clear" w:pos="360"/>
          <w:tab w:val="clear" w:pos="1440"/>
          <w:tab w:val="clear" w:pos="4320"/>
          <w:tab w:val="left" w:pos="540"/>
          <w:tab w:val="left" w:pos="720"/>
          <w:tab w:val="right" w:pos="6480"/>
        </w:tabs>
        <w:jc w:val="both"/>
        <w:rPr>
          <w:szCs w:val="23"/>
        </w:rPr>
      </w:pPr>
      <w:r>
        <w:rPr>
          <w:szCs w:val="23"/>
        </w:rPr>
        <w:t>The following graph</w:t>
      </w:r>
      <w:r w:rsidR="0065229C" w:rsidRPr="0046773F">
        <w:rPr>
          <w:szCs w:val="23"/>
        </w:rPr>
        <w:t xml:space="preserve"> summarizes</w:t>
      </w:r>
      <w:r w:rsidR="0065229C">
        <w:rPr>
          <w:szCs w:val="23"/>
        </w:rPr>
        <w:t xml:space="preserve"> FY 20</w:t>
      </w:r>
      <w:r w:rsidR="00687F2B">
        <w:rPr>
          <w:szCs w:val="23"/>
        </w:rPr>
        <w:t>11</w:t>
      </w:r>
      <w:r w:rsidR="003902E8">
        <w:rPr>
          <w:szCs w:val="23"/>
        </w:rPr>
        <w:t xml:space="preserve"> </w:t>
      </w:r>
      <w:r w:rsidR="0065229C">
        <w:rPr>
          <w:szCs w:val="23"/>
        </w:rPr>
        <w:t xml:space="preserve">budgeted </w:t>
      </w:r>
      <w:r w:rsidR="0065229C" w:rsidRPr="00855E7E">
        <w:rPr>
          <w:szCs w:val="23"/>
          <w:u w:val="single"/>
        </w:rPr>
        <w:t>unrestricted</w:t>
      </w:r>
      <w:r w:rsidR="0065229C">
        <w:rPr>
          <w:szCs w:val="23"/>
        </w:rPr>
        <w:t xml:space="preserve"> E&amp;G expenditures by organizational area.  The Narrative section of the budget sets forth each division’s strategic priorities for FY 20</w:t>
      </w:r>
      <w:r w:rsidR="009A040D">
        <w:rPr>
          <w:szCs w:val="23"/>
        </w:rPr>
        <w:t>1</w:t>
      </w:r>
      <w:r w:rsidR="003902E8">
        <w:rPr>
          <w:szCs w:val="23"/>
        </w:rPr>
        <w:t>1</w:t>
      </w:r>
      <w:r w:rsidR="0065229C">
        <w:rPr>
          <w:szCs w:val="23"/>
        </w:rPr>
        <w:t>.</w:t>
      </w:r>
    </w:p>
    <w:p w:rsidR="0065229C" w:rsidRPr="00D92F45" w:rsidRDefault="00CD11B7" w:rsidP="00D31F30">
      <w:pPr>
        <w:pStyle w:val="BodyText"/>
        <w:tabs>
          <w:tab w:val="clear" w:pos="360"/>
          <w:tab w:val="clear" w:pos="1440"/>
          <w:tab w:val="clear" w:pos="4320"/>
          <w:tab w:val="left" w:pos="540"/>
          <w:tab w:val="left" w:pos="720"/>
          <w:tab w:val="right" w:pos="6480"/>
        </w:tabs>
        <w:jc w:val="center"/>
        <w:rPr>
          <w:szCs w:val="23"/>
        </w:rPr>
      </w:pPr>
      <w:r w:rsidRPr="00CD11B7">
        <w:rPr>
          <w:noProof/>
          <w:szCs w:val="23"/>
        </w:rPr>
        <w:drawing>
          <wp:inline distT="0" distB="0" distL="0" distR="0">
            <wp:extent cx="5934075" cy="3543299"/>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229C" w:rsidRPr="00E87CDC" w:rsidRDefault="0065229C" w:rsidP="00D31F30">
      <w:pPr>
        <w:pStyle w:val="BodyText"/>
        <w:jc w:val="both"/>
        <w:rPr>
          <w:rFonts w:asciiTheme="minorHAnsi" w:hAnsiTheme="minorHAnsi"/>
          <w:sz w:val="16"/>
          <w:szCs w:val="16"/>
        </w:rPr>
      </w:pPr>
      <w:r w:rsidRPr="00E87CDC">
        <w:rPr>
          <w:rFonts w:asciiTheme="minorHAnsi" w:hAnsiTheme="minorHAnsi"/>
          <w:sz w:val="16"/>
          <w:szCs w:val="16"/>
        </w:rPr>
        <w:t xml:space="preserve">*Other includes Office of the President, </w:t>
      </w:r>
      <w:r w:rsidR="00CD11B7">
        <w:rPr>
          <w:rFonts w:asciiTheme="minorHAnsi" w:hAnsiTheme="minorHAnsi"/>
          <w:sz w:val="16"/>
          <w:szCs w:val="16"/>
        </w:rPr>
        <w:t xml:space="preserve">Chief Diversity Officer, </w:t>
      </w:r>
      <w:r w:rsidRPr="00E87CDC">
        <w:rPr>
          <w:rFonts w:asciiTheme="minorHAnsi" w:hAnsiTheme="minorHAnsi"/>
          <w:sz w:val="16"/>
          <w:szCs w:val="16"/>
        </w:rPr>
        <w:t>Chief of Staff, and University-Wide.</w:t>
      </w:r>
    </w:p>
    <w:p w:rsidR="004D5CD0" w:rsidRPr="004D5CD0" w:rsidRDefault="004D5CD0" w:rsidP="00D31F30">
      <w:pPr>
        <w:pStyle w:val="BodyText"/>
        <w:jc w:val="both"/>
        <w:rPr>
          <w:rFonts w:asciiTheme="minorHAnsi" w:hAnsiTheme="minorHAnsi"/>
          <w:sz w:val="12"/>
          <w:szCs w:val="12"/>
        </w:rPr>
      </w:pPr>
    </w:p>
    <w:p w:rsidR="00D31F30" w:rsidRPr="00E87CDC" w:rsidRDefault="002454FA" w:rsidP="00D31F30">
      <w:pPr>
        <w:pStyle w:val="BodyText"/>
        <w:jc w:val="both"/>
        <w:rPr>
          <w:rFonts w:asciiTheme="minorHAnsi" w:hAnsiTheme="minorHAnsi"/>
          <w:sz w:val="16"/>
          <w:szCs w:val="16"/>
        </w:rPr>
      </w:pPr>
      <w:r>
        <w:rPr>
          <w:rFonts w:asciiTheme="minorHAnsi" w:hAnsiTheme="minorHAnsi"/>
          <w:sz w:val="16"/>
          <w:szCs w:val="16"/>
        </w:rPr>
        <w:t xml:space="preserve">Note:  </w:t>
      </w:r>
      <w:r w:rsidR="004F15F8" w:rsidRPr="00E87CDC">
        <w:rPr>
          <w:rFonts w:asciiTheme="minorHAnsi" w:hAnsiTheme="minorHAnsi"/>
          <w:sz w:val="16"/>
          <w:szCs w:val="16"/>
        </w:rPr>
        <w:t xml:space="preserve">Budgeted expenditures include </w:t>
      </w:r>
      <w:r w:rsidR="00D31F30" w:rsidRPr="00E87CDC">
        <w:rPr>
          <w:rFonts w:asciiTheme="minorHAnsi" w:hAnsiTheme="minorHAnsi"/>
          <w:sz w:val="16"/>
          <w:szCs w:val="16"/>
        </w:rPr>
        <w:t>$6</w:t>
      </w:r>
      <w:r w:rsidR="003902E8">
        <w:rPr>
          <w:rFonts w:asciiTheme="minorHAnsi" w:hAnsiTheme="minorHAnsi"/>
          <w:sz w:val="16"/>
          <w:szCs w:val="16"/>
        </w:rPr>
        <w:t>21,6</w:t>
      </w:r>
      <w:r w:rsidR="00D31F30" w:rsidRPr="00E87CDC">
        <w:rPr>
          <w:rFonts w:asciiTheme="minorHAnsi" w:hAnsiTheme="minorHAnsi"/>
          <w:sz w:val="16"/>
          <w:szCs w:val="16"/>
        </w:rPr>
        <w:t xml:space="preserve">00 of </w:t>
      </w:r>
      <w:r w:rsidR="004F15F8" w:rsidRPr="00E87CDC">
        <w:rPr>
          <w:rFonts w:asciiTheme="minorHAnsi" w:hAnsiTheme="minorHAnsi"/>
          <w:sz w:val="16"/>
          <w:szCs w:val="16"/>
        </w:rPr>
        <w:t>r</w:t>
      </w:r>
      <w:r w:rsidR="00D31F30" w:rsidRPr="00E87CDC">
        <w:rPr>
          <w:rFonts w:asciiTheme="minorHAnsi" w:hAnsiTheme="minorHAnsi"/>
          <w:sz w:val="16"/>
          <w:szCs w:val="16"/>
        </w:rPr>
        <w:t>estricted</w:t>
      </w:r>
      <w:r w:rsidR="004F15F8" w:rsidRPr="00E87CDC">
        <w:rPr>
          <w:rFonts w:asciiTheme="minorHAnsi" w:hAnsiTheme="minorHAnsi"/>
          <w:sz w:val="16"/>
          <w:szCs w:val="16"/>
        </w:rPr>
        <w:t xml:space="preserve">, federally-funded </w:t>
      </w:r>
      <w:r w:rsidR="00D31F30" w:rsidRPr="00E87CDC">
        <w:rPr>
          <w:rFonts w:asciiTheme="minorHAnsi" w:hAnsiTheme="minorHAnsi"/>
          <w:sz w:val="16"/>
          <w:szCs w:val="16"/>
        </w:rPr>
        <w:t>College Work Study</w:t>
      </w:r>
      <w:r w:rsidR="004F15F8" w:rsidRPr="00E87CDC">
        <w:rPr>
          <w:rFonts w:asciiTheme="minorHAnsi" w:hAnsiTheme="minorHAnsi"/>
          <w:sz w:val="16"/>
          <w:szCs w:val="16"/>
        </w:rPr>
        <w:t xml:space="preserve"> </w:t>
      </w:r>
      <w:r w:rsidR="003902E8">
        <w:rPr>
          <w:rFonts w:asciiTheme="minorHAnsi" w:hAnsiTheme="minorHAnsi"/>
          <w:sz w:val="16"/>
          <w:szCs w:val="16"/>
        </w:rPr>
        <w:t xml:space="preserve">and $4,410,900 of Federal State Fiscal Stabilization Funds </w:t>
      </w:r>
      <w:r w:rsidR="004F15F8" w:rsidRPr="00E87CDC">
        <w:rPr>
          <w:rFonts w:asciiTheme="minorHAnsi" w:hAnsiTheme="minorHAnsi"/>
          <w:sz w:val="16"/>
          <w:szCs w:val="16"/>
        </w:rPr>
        <w:t xml:space="preserve">that cannot be separately identified.  </w:t>
      </w: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lastRenderedPageBreak/>
        <w:t>The Division of Academic Affairs, including institutional scholarships and fellowships, t</w:t>
      </w:r>
      <w:r w:rsidR="007C22FA">
        <w:rPr>
          <w:szCs w:val="23"/>
        </w:rPr>
        <w:t>otals $</w:t>
      </w:r>
      <w:r w:rsidR="003902E8">
        <w:rPr>
          <w:szCs w:val="23"/>
        </w:rPr>
        <w:t xml:space="preserve">164.1 </w:t>
      </w:r>
      <w:r w:rsidR="00A71FF4">
        <w:rPr>
          <w:szCs w:val="23"/>
        </w:rPr>
        <w:t xml:space="preserve">million </w:t>
      </w:r>
      <w:r>
        <w:rPr>
          <w:szCs w:val="23"/>
        </w:rPr>
        <w:t xml:space="preserve">or </w:t>
      </w:r>
      <w:r w:rsidR="007C22FA">
        <w:rPr>
          <w:szCs w:val="23"/>
        </w:rPr>
        <w:t xml:space="preserve">about </w:t>
      </w:r>
      <w:r w:rsidR="003902E8">
        <w:rPr>
          <w:szCs w:val="23"/>
        </w:rPr>
        <w:t>61</w:t>
      </w:r>
      <w:r>
        <w:rPr>
          <w:szCs w:val="23"/>
        </w:rPr>
        <w:t xml:space="preserve"> percent of the unrestricted E&amp;G budget.  </w:t>
      </w:r>
    </w:p>
    <w:p w:rsidR="0065229C" w:rsidRDefault="0065229C">
      <w:pPr>
        <w:pStyle w:val="BodyText"/>
        <w:tabs>
          <w:tab w:val="clear" w:pos="360"/>
          <w:tab w:val="clear" w:pos="1440"/>
          <w:tab w:val="clear" w:pos="4320"/>
          <w:tab w:val="left" w:pos="540"/>
          <w:tab w:val="left" w:pos="720"/>
          <w:tab w:val="right" w:pos="6480"/>
        </w:tabs>
        <w:jc w:val="both"/>
        <w:rPr>
          <w:szCs w:val="23"/>
        </w:rPr>
      </w:pP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t xml:space="preserve">The Division of </w:t>
      </w:r>
      <w:r w:rsidR="007C22FA">
        <w:rPr>
          <w:szCs w:val="23"/>
        </w:rPr>
        <w:t>Campus Services and Facilities</w:t>
      </w:r>
      <w:r>
        <w:rPr>
          <w:szCs w:val="23"/>
        </w:rPr>
        <w:t>, the second largest divi</w:t>
      </w:r>
      <w:r w:rsidR="007C22FA">
        <w:rPr>
          <w:szCs w:val="23"/>
        </w:rPr>
        <w:t>sion, has a budget totaling $</w:t>
      </w:r>
      <w:r w:rsidR="003902E8">
        <w:rPr>
          <w:szCs w:val="23"/>
        </w:rPr>
        <w:t>31.6</w:t>
      </w:r>
      <w:r w:rsidR="00A71FF4">
        <w:rPr>
          <w:szCs w:val="23"/>
        </w:rPr>
        <w:t xml:space="preserve"> million </w:t>
      </w:r>
      <w:r w:rsidR="00ED2207">
        <w:rPr>
          <w:szCs w:val="23"/>
        </w:rPr>
        <w:t xml:space="preserve">or about </w:t>
      </w:r>
      <w:r w:rsidR="003902E8">
        <w:rPr>
          <w:szCs w:val="23"/>
        </w:rPr>
        <w:t>12</w:t>
      </w:r>
      <w:r>
        <w:rPr>
          <w:szCs w:val="23"/>
        </w:rPr>
        <w:t xml:space="preserve"> percent of the unrestricted E&amp;G budget.  </w:t>
      </w:r>
    </w:p>
    <w:p w:rsidR="0065229C" w:rsidRDefault="0065229C">
      <w:pPr>
        <w:pStyle w:val="BodyText"/>
        <w:tabs>
          <w:tab w:val="clear" w:pos="360"/>
          <w:tab w:val="clear" w:pos="1440"/>
          <w:tab w:val="clear" w:pos="4320"/>
          <w:tab w:val="left" w:pos="540"/>
          <w:tab w:val="left" w:pos="720"/>
          <w:tab w:val="right" w:pos="6480"/>
        </w:tabs>
        <w:jc w:val="both"/>
        <w:rPr>
          <w:szCs w:val="23"/>
        </w:rPr>
      </w:pPr>
    </w:p>
    <w:p w:rsidR="0065229C" w:rsidRDefault="0065229C">
      <w:pPr>
        <w:pStyle w:val="BodyText"/>
        <w:numPr>
          <w:ilvl w:val="0"/>
          <w:numId w:val="7"/>
        </w:numPr>
        <w:tabs>
          <w:tab w:val="clear" w:pos="360"/>
          <w:tab w:val="clear" w:pos="1440"/>
          <w:tab w:val="clear" w:pos="4320"/>
          <w:tab w:val="left" w:pos="540"/>
          <w:tab w:val="right" w:pos="6480"/>
        </w:tabs>
        <w:jc w:val="both"/>
        <w:rPr>
          <w:szCs w:val="23"/>
        </w:rPr>
      </w:pPr>
      <w:r>
        <w:rPr>
          <w:szCs w:val="23"/>
        </w:rPr>
        <w:t xml:space="preserve">Other includes Office of the President, </w:t>
      </w:r>
      <w:r w:rsidR="004106A2">
        <w:rPr>
          <w:szCs w:val="23"/>
        </w:rPr>
        <w:t xml:space="preserve">Chief Diversity Officer, </w:t>
      </w:r>
      <w:r>
        <w:rPr>
          <w:szCs w:val="23"/>
        </w:rPr>
        <w:t>Chief of Staff,</w:t>
      </w:r>
      <w:r w:rsidR="00A71FF4">
        <w:rPr>
          <w:szCs w:val="23"/>
        </w:rPr>
        <w:t xml:space="preserve"> </w:t>
      </w:r>
      <w:r>
        <w:rPr>
          <w:szCs w:val="23"/>
        </w:rPr>
        <w:t>and University-Wide.  The most significant funding items in Unive</w:t>
      </w:r>
      <w:r w:rsidR="00A71FF4">
        <w:rPr>
          <w:szCs w:val="23"/>
        </w:rPr>
        <w:t>rsity-Wide include funding for statutorily-mandated scholarships, undistributed staff benefits, general institutional expenses</w:t>
      </w:r>
      <w:r>
        <w:rPr>
          <w:szCs w:val="23"/>
        </w:rPr>
        <w:t xml:space="preserve"> and funding for </w:t>
      </w:r>
      <w:r w:rsidR="00ED2207">
        <w:rPr>
          <w:szCs w:val="23"/>
        </w:rPr>
        <w:t>principal and interest payments on bonded debt</w:t>
      </w:r>
      <w:r>
        <w:rPr>
          <w:szCs w:val="23"/>
        </w:rPr>
        <w:t>.</w:t>
      </w:r>
    </w:p>
    <w:p w:rsidR="0065229C" w:rsidRDefault="0065229C">
      <w:pPr>
        <w:pStyle w:val="BodyText"/>
        <w:tabs>
          <w:tab w:val="clear" w:pos="360"/>
          <w:tab w:val="clear" w:pos="1440"/>
          <w:tab w:val="clear" w:pos="4320"/>
          <w:tab w:val="left" w:pos="540"/>
          <w:tab w:val="left" w:pos="720"/>
          <w:tab w:val="right" w:pos="6480"/>
        </w:tabs>
        <w:jc w:val="both"/>
        <w:rPr>
          <w:i/>
          <w:szCs w:val="23"/>
        </w:rPr>
      </w:pPr>
    </w:p>
    <w:p w:rsidR="001D2B11" w:rsidRDefault="001D2B11">
      <w:pPr>
        <w:pStyle w:val="BodyText"/>
        <w:tabs>
          <w:tab w:val="clear" w:pos="360"/>
          <w:tab w:val="clear" w:pos="1440"/>
          <w:tab w:val="clear" w:pos="4320"/>
          <w:tab w:val="left" w:pos="540"/>
          <w:tab w:val="left" w:pos="720"/>
          <w:tab w:val="right" w:pos="6480"/>
        </w:tabs>
        <w:jc w:val="both"/>
        <w:rPr>
          <w:i/>
          <w:szCs w:val="23"/>
        </w:rPr>
      </w:pPr>
    </w:p>
    <w:p w:rsidR="001D2B11" w:rsidRDefault="001D2B11">
      <w:pPr>
        <w:pStyle w:val="BodyText"/>
        <w:tabs>
          <w:tab w:val="clear" w:pos="360"/>
          <w:tab w:val="clear" w:pos="1440"/>
          <w:tab w:val="clear" w:pos="4320"/>
          <w:tab w:val="left" w:pos="540"/>
          <w:tab w:val="left" w:pos="720"/>
          <w:tab w:val="right" w:pos="6480"/>
        </w:tabs>
        <w:jc w:val="both"/>
        <w:rPr>
          <w:i/>
          <w:szCs w:val="23"/>
        </w:rPr>
      </w:pPr>
    </w:p>
    <w:p w:rsidR="0065229C" w:rsidRDefault="0065229C">
      <w:pPr>
        <w:pStyle w:val="BodyText"/>
        <w:jc w:val="both"/>
        <w:rPr>
          <w:b/>
          <w:i/>
          <w:sz w:val="24"/>
          <w:szCs w:val="24"/>
        </w:rPr>
      </w:pPr>
      <w:r>
        <w:rPr>
          <w:b/>
          <w:i/>
          <w:sz w:val="24"/>
          <w:szCs w:val="24"/>
        </w:rPr>
        <w:t>Capital Budget Summary</w:t>
      </w:r>
    </w:p>
    <w:p w:rsidR="0065229C" w:rsidRDefault="0065229C">
      <w:pPr>
        <w:pStyle w:val="BodyText"/>
        <w:jc w:val="both"/>
        <w:rPr>
          <w:szCs w:val="23"/>
        </w:rPr>
      </w:pPr>
    </w:p>
    <w:p w:rsidR="00DD65C6" w:rsidRDefault="006B351B" w:rsidP="006B351B">
      <w:pPr>
        <w:tabs>
          <w:tab w:val="right" w:pos="7200"/>
          <w:tab w:val="left" w:pos="7920"/>
        </w:tabs>
        <w:ind w:right="162"/>
        <w:jc w:val="both"/>
        <w:rPr>
          <w:sz w:val="23"/>
          <w:szCs w:val="23"/>
        </w:rPr>
      </w:pPr>
      <w:r>
        <w:rPr>
          <w:sz w:val="23"/>
          <w:szCs w:val="23"/>
        </w:rPr>
        <w:t xml:space="preserve">The Capital Budget includes legislatively-authorized capital projects that </w:t>
      </w:r>
      <w:r w:rsidRPr="00910E26">
        <w:rPr>
          <w:sz w:val="23"/>
          <w:szCs w:val="23"/>
          <w:u w:val="single"/>
        </w:rPr>
        <w:t>will</w:t>
      </w:r>
      <w:r>
        <w:rPr>
          <w:sz w:val="23"/>
          <w:szCs w:val="23"/>
          <w:u w:val="single"/>
        </w:rPr>
        <w:t xml:space="preserve"> be under way next year or are currently under way</w:t>
      </w:r>
      <w:r>
        <w:rPr>
          <w:sz w:val="23"/>
          <w:szCs w:val="23"/>
        </w:rPr>
        <w:t xml:space="preserve"> including the source of funding, estimated cost, and the status of each respective project.  </w:t>
      </w:r>
      <w:r w:rsidR="006E0EE9">
        <w:rPr>
          <w:sz w:val="23"/>
          <w:szCs w:val="23"/>
        </w:rPr>
        <w:t xml:space="preserve">Projects with a scope less than $600,000 do not require General Assembly approval and are not included in the Capital Budget.  </w:t>
      </w:r>
      <w:r w:rsidR="00DD65C6">
        <w:rPr>
          <w:sz w:val="23"/>
          <w:szCs w:val="23"/>
        </w:rPr>
        <w:t xml:space="preserve">Many </w:t>
      </w:r>
      <w:r w:rsidR="00253F7C">
        <w:rPr>
          <w:sz w:val="23"/>
          <w:szCs w:val="23"/>
        </w:rPr>
        <w:t xml:space="preserve">projects with a scope </w:t>
      </w:r>
      <w:r w:rsidR="00DD65C6">
        <w:rPr>
          <w:sz w:val="23"/>
          <w:szCs w:val="23"/>
        </w:rPr>
        <w:t xml:space="preserve">of less than $600,000 will address deferred maintenance needs and classroom improvements.  </w:t>
      </w:r>
    </w:p>
    <w:p w:rsidR="00DD65C6" w:rsidRDefault="00DD65C6" w:rsidP="006B351B">
      <w:pPr>
        <w:tabs>
          <w:tab w:val="right" w:pos="7200"/>
          <w:tab w:val="left" w:pos="7920"/>
        </w:tabs>
        <w:ind w:right="162"/>
        <w:jc w:val="both"/>
        <w:rPr>
          <w:sz w:val="23"/>
          <w:szCs w:val="23"/>
        </w:rPr>
      </w:pPr>
    </w:p>
    <w:p w:rsidR="00134308" w:rsidRDefault="006B351B" w:rsidP="006B351B">
      <w:pPr>
        <w:tabs>
          <w:tab w:val="right" w:pos="7200"/>
          <w:tab w:val="left" w:pos="7920"/>
        </w:tabs>
        <w:ind w:right="162"/>
        <w:jc w:val="both"/>
        <w:rPr>
          <w:sz w:val="23"/>
          <w:szCs w:val="23"/>
        </w:rPr>
      </w:pPr>
      <w:proofErr w:type="gramStart"/>
      <w:r>
        <w:rPr>
          <w:sz w:val="23"/>
          <w:szCs w:val="23"/>
        </w:rPr>
        <w:t>The 20</w:t>
      </w:r>
      <w:r w:rsidR="00134308">
        <w:rPr>
          <w:sz w:val="23"/>
          <w:szCs w:val="23"/>
        </w:rPr>
        <w:t>10</w:t>
      </w:r>
      <w:r>
        <w:rPr>
          <w:sz w:val="23"/>
          <w:szCs w:val="23"/>
        </w:rPr>
        <w:t>-1</w:t>
      </w:r>
      <w:r w:rsidR="00134308">
        <w:rPr>
          <w:sz w:val="23"/>
          <w:szCs w:val="23"/>
        </w:rPr>
        <w:t>2</w:t>
      </w:r>
      <w:r>
        <w:rPr>
          <w:sz w:val="23"/>
          <w:szCs w:val="23"/>
        </w:rPr>
        <w:t xml:space="preserve"> </w:t>
      </w:r>
      <w:r w:rsidR="00134308">
        <w:rPr>
          <w:sz w:val="23"/>
          <w:szCs w:val="23"/>
        </w:rPr>
        <w:t>Biennial Budget</w:t>
      </w:r>
      <w:proofErr w:type="gramEnd"/>
      <w:r w:rsidR="00134308">
        <w:rPr>
          <w:sz w:val="23"/>
          <w:szCs w:val="23"/>
        </w:rPr>
        <w:t xml:space="preserve"> does not include any state-funded projects for postsecondary education.</w:t>
      </w:r>
    </w:p>
    <w:p w:rsidR="006E0EE9" w:rsidRDefault="00134308" w:rsidP="006B351B">
      <w:pPr>
        <w:tabs>
          <w:tab w:val="right" w:pos="7200"/>
          <w:tab w:val="left" w:pos="7920"/>
        </w:tabs>
        <w:ind w:right="162"/>
        <w:jc w:val="both"/>
        <w:rPr>
          <w:sz w:val="23"/>
          <w:szCs w:val="23"/>
        </w:rPr>
      </w:pPr>
      <w:r>
        <w:rPr>
          <w:sz w:val="23"/>
          <w:szCs w:val="23"/>
        </w:rPr>
        <w:t xml:space="preserve"> </w:t>
      </w:r>
    </w:p>
    <w:p w:rsidR="006B351B" w:rsidRDefault="006B351B" w:rsidP="006B351B">
      <w:pPr>
        <w:tabs>
          <w:tab w:val="right" w:pos="7200"/>
          <w:tab w:val="left" w:pos="7920"/>
        </w:tabs>
        <w:ind w:right="162"/>
        <w:jc w:val="both"/>
        <w:rPr>
          <w:sz w:val="23"/>
          <w:szCs w:val="23"/>
        </w:rPr>
      </w:pPr>
      <w:r>
        <w:rPr>
          <w:sz w:val="23"/>
          <w:szCs w:val="23"/>
        </w:rPr>
        <w:t xml:space="preserve">Most of the capital projects reflect legislative authorization; projects started at an amount less than the authorized amount are displayed at the intended scope.  </w:t>
      </w:r>
      <w:r w:rsidR="00507884">
        <w:rPr>
          <w:sz w:val="23"/>
          <w:szCs w:val="23"/>
        </w:rPr>
        <w:t>Projects authorized but not funded or scheduled for FY 201</w:t>
      </w:r>
      <w:r w:rsidR="00134308">
        <w:rPr>
          <w:sz w:val="23"/>
          <w:szCs w:val="23"/>
        </w:rPr>
        <w:t>1</w:t>
      </w:r>
      <w:r w:rsidR="00507884">
        <w:rPr>
          <w:sz w:val="23"/>
          <w:szCs w:val="23"/>
        </w:rPr>
        <w:t xml:space="preserve"> are identified separately.  </w:t>
      </w:r>
    </w:p>
    <w:p w:rsidR="006E0EE9" w:rsidRDefault="006E0EE9" w:rsidP="006B351B">
      <w:pPr>
        <w:tabs>
          <w:tab w:val="right" w:pos="7200"/>
          <w:tab w:val="left" w:pos="7920"/>
        </w:tabs>
        <w:ind w:right="162"/>
        <w:jc w:val="both"/>
        <w:rPr>
          <w:sz w:val="23"/>
          <w:szCs w:val="23"/>
        </w:rPr>
      </w:pPr>
    </w:p>
    <w:p w:rsidR="004D5CD0" w:rsidRDefault="00B61F10" w:rsidP="004D5CD0">
      <w:pPr>
        <w:tabs>
          <w:tab w:val="right" w:pos="7200"/>
          <w:tab w:val="left" w:pos="7920"/>
        </w:tabs>
        <w:ind w:right="162"/>
        <w:rPr>
          <w:sz w:val="23"/>
          <w:szCs w:val="23"/>
        </w:rPr>
      </w:pPr>
      <w:r>
        <w:rPr>
          <w:sz w:val="23"/>
          <w:szCs w:val="23"/>
        </w:rPr>
        <w:t>The Capital</w:t>
      </w:r>
      <w:r w:rsidR="008D35D0">
        <w:rPr>
          <w:sz w:val="23"/>
          <w:szCs w:val="23"/>
        </w:rPr>
        <w:t xml:space="preserve"> Budget totals $</w:t>
      </w:r>
      <w:r w:rsidR="004D5CD0">
        <w:rPr>
          <w:sz w:val="23"/>
          <w:szCs w:val="23"/>
        </w:rPr>
        <w:t>101,298,000 from all sources of funds</w:t>
      </w:r>
      <w:r w:rsidR="008D35D0">
        <w:rPr>
          <w:sz w:val="23"/>
          <w:szCs w:val="23"/>
        </w:rPr>
        <w:t>.</w:t>
      </w:r>
    </w:p>
    <w:p w:rsidR="004D5CD0" w:rsidRDefault="004D5CD0" w:rsidP="004D5CD0">
      <w:pPr>
        <w:tabs>
          <w:tab w:val="right" w:pos="7200"/>
          <w:tab w:val="left" w:pos="7920"/>
        </w:tabs>
        <w:ind w:right="162"/>
        <w:rPr>
          <w:sz w:val="23"/>
          <w:szCs w:val="23"/>
        </w:rPr>
      </w:pPr>
    </w:p>
    <w:p w:rsidR="0065229C" w:rsidRPr="00047BEE" w:rsidRDefault="00047BEE" w:rsidP="004D5CD0">
      <w:pPr>
        <w:tabs>
          <w:tab w:val="right" w:pos="7200"/>
          <w:tab w:val="left" w:pos="7920"/>
        </w:tabs>
        <w:ind w:right="162"/>
        <w:jc w:val="center"/>
        <w:rPr>
          <w:b/>
          <w:sz w:val="24"/>
        </w:rPr>
      </w:pPr>
      <w:r>
        <w:rPr>
          <w:sz w:val="23"/>
          <w:szCs w:val="23"/>
        </w:rPr>
        <w:br w:type="page"/>
      </w:r>
      <w:r w:rsidR="0065229C" w:rsidRPr="00047BEE">
        <w:rPr>
          <w:b/>
          <w:sz w:val="24"/>
        </w:rPr>
        <w:lastRenderedPageBreak/>
        <w:t>TUITION AND MANDATORY STUDENT FEES SCHEDULE</w:t>
      </w:r>
    </w:p>
    <w:p w:rsidR="0065229C" w:rsidRDefault="0065229C">
      <w:pPr>
        <w:jc w:val="center"/>
        <w:rPr>
          <w:b/>
          <w:sz w:val="24"/>
          <w:szCs w:val="24"/>
        </w:rPr>
      </w:pPr>
      <w:r>
        <w:rPr>
          <w:b/>
          <w:sz w:val="24"/>
          <w:szCs w:val="24"/>
        </w:rPr>
        <w:t>PER SEMESTER</w:t>
      </w:r>
    </w:p>
    <w:p w:rsidR="0065229C" w:rsidRDefault="0065229C">
      <w:pPr>
        <w:jc w:val="center"/>
        <w:rPr>
          <w:b/>
          <w:sz w:val="24"/>
          <w:szCs w:val="24"/>
        </w:rPr>
      </w:pPr>
    </w:p>
    <w:p w:rsidR="0065229C" w:rsidRDefault="0065229C">
      <w:pPr>
        <w:jc w:val="center"/>
        <w:rPr>
          <w:b/>
          <w:sz w:val="24"/>
          <w:szCs w:val="24"/>
        </w:rPr>
      </w:pPr>
    </w:p>
    <w:p w:rsidR="0065229C" w:rsidRDefault="0065229C"/>
    <w:p w:rsidR="0065229C" w:rsidRDefault="0065229C" w:rsidP="005F0CA0">
      <w:pPr>
        <w:pBdr>
          <w:top w:val="single" w:sz="18" w:space="1" w:color="auto"/>
          <w:left w:val="single" w:sz="18" w:space="1" w:color="auto"/>
          <w:bottom w:val="single" w:sz="18" w:space="1" w:color="auto"/>
          <w:right w:val="single" w:sz="18" w:space="1" w:color="auto"/>
        </w:pBdr>
      </w:pPr>
    </w:p>
    <w:p w:rsidR="0065229C" w:rsidRDefault="0065229C" w:rsidP="005F0CA0">
      <w:pPr>
        <w:pBdr>
          <w:top w:val="single" w:sz="18" w:space="1" w:color="auto"/>
          <w:left w:val="single" w:sz="18" w:space="1" w:color="auto"/>
          <w:bottom w:val="single" w:sz="18" w:space="1" w:color="auto"/>
          <w:right w:val="single" w:sz="18" w:space="1" w:color="auto"/>
        </w:pBdr>
        <w:tabs>
          <w:tab w:val="right" w:pos="3591"/>
          <w:tab w:val="right" w:pos="5016"/>
          <w:tab w:val="right" w:pos="6498"/>
        </w:tabs>
      </w:pPr>
      <w:r>
        <w:tab/>
      </w:r>
      <w:r>
        <w:tab/>
      </w:r>
    </w:p>
    <w:p w:rsidR="0065229C" w:rsidRDefault="0065229C" w:rsidP="005F0CA0">
      <w:pPr>
        <w:pBdr>
          <w:top w:val="single" w:sz="18" w:space="1" w:color="auto"/>
          <w:left w:val="single" w:sz="18" w:space="1" w:color="auto"/>
          <w:bottom w:val="single" w:sz="18" w:space="1" w:color="auto"/>
          <w:right w:val="single" w:sz="18" w:space="1" w:color="auto"/>
        </w:pBdr>
        <w:tabs>
          <w:tab w:val="right" w:pos="3591"/>
          <w:tab w:val="right" w:pos="5757"/>
          <w:tab w:val="right" w:pos="8607"/>
        </w:tabs>
        <w:rPr>
          <w:b/>
          <w:sz w:val="23"/>
          <w:szCs w:val="23"/>
        </w:rPr>
      </w:pPr>
      <w:r>
        <w:rPr>
          <w:b/>
        </w:rPr>
        <w:tab/>
      </w:r>
      <w:r>
        <w:rPr>
          <w:b/>
        </w:rPr>
        <w:tab/>
      </w:r>
      <w:r w:rsidR="00353021">
        <w:rPr>
          <w:b/>
          <w:sz w:val="23"/>
          <w:szCs w:val="23"/>
        </w:rPr>
        <w:tab/>
        <w:t>Summer 201</w:t>
      </w:r>
      <w:r w:rsidR="001E5DD7">
        <w:rPr>
          <w:b/>
          <w:sz w:val="23"/>
          <w:szCs w:val="23"/>
        </w:rPr>
        <w:t>1</w:t>
      </w:r>
      <w:r w:rsidR="00353021">
        <w:rPr>
          <w:b/>
          <w:sz w:val="23"/>
          <w:szCs w:val="23"/>
        </w:rPr>
        <w:t>/</w:t>
      </w:r>
    </w:p>
    <w:p w:rsidR="0065229C" w:rsidRDefault="0065229C" w:rsidP="002337AB">
      <w:pPr>
        <w:pBdr>
          <w:top w:val="single" w:sz="18" w:space="1" w:color="auto"/>
          <w:left w:val="single" w:sz="18" w:space="1" w:color="auto"/>
          <w:bottom w:val="single" w:sz="18" w:space="1" w:color="auto"/>
          <w:right w:val="single" w:sz="18" w:space="1" w:color="auto"/>
        </w:pBdr>
        <w:tabs>
          <w:tab w:val="right" w:pos="4500"/>
          <w:tab w:val="right" w:pos="6120"/>
          <w:tab w:val="right" w:pos="8607"/>
        </w:tabs>
        <w:rPr>
          <w:b/>
          <w:sz w:val="23"/>
          <w:szCs w:val="23"/>
          <w:u w:val="single"/>
        </w:rPr>
      </w:pPr>
      <w:r>
        <w:rPr>
          <w:b/>
          <w:sz w:val="23"/>
          <w:szCs w:val="23"/>
          <w:u w:val="single"/>
        </w:rPr>
        <w:t>Student Level</w:t>
      </w:r>
      <w:r w:rsidR="002A7243">
        <w:rPr>
          <w:b/>
          <w:sz w:val="23"/>
          <w:szCs w:val="23"/>
          <w:u w:val="single"/>
        </w:rPr>
        <w:t>/Enrollment</w:t>
      </w:r>
      <w:r>
        <w:rPr>
          <w:b/>
          <w:sz w:val="23"/>
          <w:szCs w:val="23"/>
        </w:rPr>
        <w:tab/>
      </w:r>
      <w:r>
        <w:rPr>
          <w:b/>
          <w:sz w:val="23"/>
          <w:szCs w:val="23"/>
          <w:u w:val="single"/>
        </w:rPr>
        <w:t>FY 20</w:t>
      </w:r>
      <w:r w:rsidR="00353021">
        <w:rPr>
          <w:b/>
          <w:sz w:val="23"/>
          <w:szCs w:val="23"/>
          <w:u w:val="single"/>
        </w:rPr>
        <w:t>10</w:t>
      </w:r>
      <w:r>
        <w:rPr>
          <w:b/>
          <w:sz w:val="23"/>
          <w:szCs w:val="23"/>
        </w:rPr>
        <w:tab/>
      </w:r>
      <w:r>
        <w:rPr>
          <w:b/>
          <w:sz w:val="23"/>
          <w:szCs w:val="23"/>
          <w:u w:val="single"/>
        </w:rPr>
        <w:t>FY 20</w:t>
      </w:r>
      <w:r w:rsidR="00C0074A">
        <w:rPr>
          <w:b/>
          <w:sz w:val="23"/>
          <w:szCs w:val="23"/>
          <w:u w:val="single"/>
        </w:rPr>
        <w:t>1</w:t>
      </w:r>
      <w:r w:rsidR="00353021">
        <w:rPr>
          <w:b/>
          <w:sz w:val="23"/>
          <w:szCs w:val="23"/>
          <w:u w:val="single"/>
        </w:rPr>
        <w:t>1</w:t>
      </w:r>
      <w:r>
        <w:rPr>
          <w:b/>
          <w:sz w:val="23"/>
          <w:szCs w:val="23"/>
        </w:rPr>
        <w:tab/>
      </w:r>
      <w:r>
        <w:rPr>
          <w:b/>
          <w:sz w:val="23"/>
          <w:szCs w:val="23"/>
          <w:u w:val="single"/>
        </w:rPr>
        <w:t>Rate per Credit Hour</w:t>
      </w:r>
    </w:p>
    <w:p w:rsidR="0065229C" w:rsidRDefault="0065229C" w:rsidP="005F0CA0">
      <w:pPr>
        <w:pBdr>
          <w:top w:val="single" w:sz="18" w:space="1" w:color="auto"/>
          <w:left w:val="single" w:sz="18" w:space="1" w:color="auto"/>
          <w:bottom w:val="single" w:sz="18" w:space="1" w:color="auto"/>
          <w:right w:val="single" w:sz="18" w:space="1" w:color="auto"/>
        </w:pBdr>
        <w:tabs>
          <w:tab w:val="right" w:pos="3591"/>
          <w:tab w:val="right" w:pos="5757"/>
          <w:tab w:val="right" w:pos="8607"/>
        </w:tabs>
        <w:rPr>
          <w:sz w:val="23"/>
          <w:szCs w:val="23"/>
          <w:u w:val="single"/>
        </w:rPr>
      </w:pPr>
    </w:p>
    <w:p w:rsidR="0065229C" w:rsidRDefault="0065229C" w:rsidP="005F0CA0">
      <w:pPr>
        <w:pBdr>
          <w:top w:val="single" w:sz="18" w:space="1" w:color="auto"/>
          <w:left w:val="single" w:sz="18" w:space="1" w:color="auto"/>
          <w:bottom w:val="single" w:sz="18" w:space="1" w:color="auto"/>
          <w:right w:val="single" w:sz="18" w:space="1" w:color="auto"/>
        </w:pBdr>
        <w:tabs>
          <w:tab w:val="right" w:pos="3591"/>
          <w:tab w:val="right" w:pos="5757"/>
          <w:tab w:val="right" w:pos="8607"/>
        </w:tabs>
        <w:rPr>
          <w:sz w:val="23"/>
          <w:szCs w:val="23"/>
        </w:rPr>
      </w:pPr>
      <w:r>
        <w:rPr>
          <w:sz w:val="23"/>
          <w:szCs w:val="23"/>
        </w:rPr>
        <w:t>Undergraduate</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Resident</w:t>
      </w:r>
      <w:r>
        <w:rPr>
          <w:sz w:val="23"/>
          <w:szCs w:val="23"/>
        </w:rPr>
        <w:tab/>
        <w:t>$</w:t>
      </w:r>
      <w:r w:rsidR="00C0074A">
        <w:rPr>
          <w:sz w:val="23"/>
          <w:szCs w:val="23"/>
        </w:rPr>
        <w:t>3,</w:t>
      </w:r>
      <w:r w:rsidR="00643B32">
        <w:rPr>
          <w:sz w:val="23"/>
          <w:szCs w:val="23"/>
        </w:rPr>
        <w:t>600</w:t>
      </w:r>
      <w:r>
        <w:rPr>
          <w:sz w:val="23"/>
          <w:szCs w:val="23"/>
        </w:rPr>
        <w:tab/>
        <w:t>$</w:t>
      </w:r>
      <w:r w:rsidR="0089644F">
        <w:rPr>
          <w:sz w:val="23"/>
          <w:szCs w:val="23"/>
        </w:rPr>
        <w:t>3,</w:t>
      </w:r>
      <w:r w:rsidR="00643B32">
        <w:rPr>
          <w:sz w:val="23"/>
          <w:szCs w:val="23"/>
        </w:rPr>
        <w:t>78</w:t>
      </w:r>
      <w:r w:rsidR="00C0074A">
        <w:rPr>
          <w:sz w:val="23"/>
          <w:szCs w:val="23"/>
        </w:rPr>
        <w:t>0</w:t>
      </w:r>
      <w:r>
        <w:rPr>
          <w:sz w:val="23"/>
          <w:szCs w:val="23"/>
        </w:rPr>
        <w:tab/>
        <w:t>$</w:t>
      </w:r>
      <w:r w:rsidR="00643B32">
        <w:rPr>
          <w:sz w:val="23"/>
          <w:szCs w:val="23"/>
        </w:rPr>
        <w:t>315</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Nonresident</w:t>
      </w:r>
      <w:r>
        <w:rPr>
          <w:sz w:val="23"/>
          <w:szCs w:val="23"/>
        </w:rPr>
        <w:tab/>
      </w:r>
      <w:r w:rsidR="00C0074A">
        <w:rPr>
          <w:sz w:val="23"/>
          <w:szCs w:val="23"/>
        </w:rPr>
        <w:t>8,</w:t>
      </w:r>
      <w:r w:rsidR="00643B32">
        <w:rPr>
          <w:sz w:val="23"/>
          <w:szCs w:val="23"/>
        </w:rPr>
        <w:t>892</w:t>
      </w:r>
      <w:r>
        <w:rPr>
          <w:sz w:val="23"/>
          <w:szCs w:val="23"/>
        </w:rPr>
        <w:tab/>
      </w:r>
      <w:r w:rsidR="00643B32">
        <w:rPr>
          <w:sz w:val="23"/>
          <w:szCs w:val="23"/>
        </w:rPr>
        <w:t>9,</w:t>
      </w:r>
      <w:r w:rsidR="00626D76">
        <w:rPr>
          <w:sz w:val="23"/>
          <w:szCs w:val="23"/>
        </w:rPr>
        <w:t>4</w:t>
      </w:r>
      <w:r w:rsidR="002A7243">
        <w:rPr>
          <w:sz w:val="23"/>
          <w:szCs w:val="23"/>
        </w:rPr>
        <w:t>20</w:t>
      </w:r>
      <w:r>
        <w:rPr>
          <w:sz w:val="23"/>
          <w:szCs w:val="23"/>
        </w:rPr>
        <w:tab/>
      </w:r>
      <w:r w:rsidR="002534BC">
        <w:rPr>
          <w:sz w:val="23"/>
          <w:szCs w:val="23"/>
        </w:rPr>
        <w:t>78</w:t>
      </w:r>
      <w:r w:rsidR="002A7243">
        <w:rPr>
          <w:sz w:val="23"/>
          <w:szCs w:val="23"/>
        </w:rPr>
        <w:t>5</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Incentive</w:t>
      </w:r>
      <w:r>
        <w:rPr>
          <w:sz w:val="23"/>
          <w:szCs w:val="23"/>
        </w:rPr>
        <w:tab/>
      </w:r>
      <w:r w:rsidR="00C0074A">
        <w:rPr>
          <w:sz w:val="23"/>
          <w:szCs w:val="23"/>
        </w:rPr>
        <w:t>4,</w:t>
      </w:r>
      <w:r w:rsidR="00643B32">
        <w:rPr>
          <w:sz w:val="23"/>
          <w:szCs w:val="23"/>
        </w:rPr>
        <w:t>560</w:t>
      </w:r>
      <w:r>
        <w:rPr>
          <w:sz w:val="23"/>
          <w:szCs w:val="23"/>
        </w:rPr>
        <w:tab/>
      </w:r>
      <w:r w:rsidR="00643B32">
        <w:rPr>
          <w:sz w:val="23"/>
          <w:szCs w:val="23"/>
        </w:rPr>
        <w:t>4,</w:t>
      </w:r>
      <w:r w:rsidR="002A7243">
        <w:rPr>
          <w:sz w:val="23"/>
          <w:szCs w:val="23"/>
        </w:rPr>
        <w:t>836</w:t>
      </w:r>
      <w:r>
        <w:rPr>
          <w:sz w:val="23"/>
          <w:szCs w:val="23"/>
        </w:rPr>
        <w:tab/>
      </w:r>
      <w:r w:rsidR="002534BC">
        <w:rPr>
          <w:sz w:val="23"/>
          <w:szCs w:val="23"/>
        </w:rPr>
        <w:t>4</w:t>
      </w:r>
      <w:r w:rsidR="002A7243">
        <w:rPr>
          <w:sz w:val="23"/>
          <w:szCs w:val="23"/>
        </w:rPr>
        <w:t>03</w:t>
      </w: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r>
        <w:rPr>
          <w:sz w:val="23"/>
          <w:szCs w:val="23"/>
        </w:rPr>
        <w:t>Graduate</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Resident</w:t>
      </w:r>
      <w:r>
        <w:rPr>
          <w:sz w:val="23"/>
          <w:szCs w:val="23"/>
        </w:rPr>
        <w:tab/>
      </w:r>
      <w:r w:rsidR="00C0074A">
        <w:rPr>
          <w:sz w:val="23"/>
          <w:szCs w:val="23"/>
        </w:rPr>
        <w:t>3,</w:t>
      </w:r>
      <w:r w:rsidR="00643B32">
        <w:rPr>
          <w:sz w:val="23"/>
          <w:szCs w:val="23"/>
        </w:rPr>
        <w:t>960</w:t>
      </w:r>
      <w:r w:rsidR="00C0074A">
        <w:rPr>
          <w:sz w:val="23"/>
          <w:szCs w:val="23"/>
        </w:rPr>
        <w:tab/>
      </w:r>
      <w:r w:rsidR="00643B32">
        <w:rPr>
          <w:sz w:val="23"/>
          <w:szCs w:val="23"/>
        </w:rPr>
        <w:t>4,16</w:t>
      </w:r>
      <w:r w:rsidR="001A4526">
        <w:rPr>
          <w:sz w:val="23"/>
          <w:szCs w:val="23"/>
        </w:rPr>
        <w:t>0</w:t>
      </w:r>
      <w:r w:rsidR="001A4526">
        <w:rPr>
          <w:sz w:val="23"/>
          <w:szCs w:val="23"/>
        </w:rPr>
        <w:tab/>
      </w:r>
      <w:r w:rsidR="00643B32">
        <w:rPr>
          <w:sz w:val="23"/>
          <w:szCs w:val="23"/>
        </w:rPr>
        <w:t>416</w:t>
      </w:r>
      <w:r>
        <w:rPr>
          <w:sz w:val="23"/>
          <w:szCs w:val="23"/>
        </w:rPr>
        <w:tab/>
        <w:t>Nonresident, International</w:t>
      </w:r>
      <w:r w:rsidR="00AD60C8">
        <w:rPr>
          <w:sz w:val="23"/>
          <w:szCs w:val="23"/>
        </w:rPr>
        <w:t>*</w:t>
      </w:r>
      <w:r>
        <w:rPr>
          <w:sz w:val="23"/>
          <w:szCs w:val="23"/>
        </w:rPr>
        <w:tab/>
      </w:r>
      <w:r w:rsidR="00C0074A">
        <w:rPr>
          <w:sz w:val="23"/>
          <w:szCs w:val="23"/>
        </w:rPr>
        <w:t>9,</w:t>
      </w:r>
      <w:r w:rsidR="00643B32">
        <w:rPr>
          <w:sz w:val="23"/>
          <w:szCs w:val="23"/>
        </w:rPr>
        <w:t>550</w:t>
      </w:r>
      <w:r w:rsidR="00C0074A">
        <w:rPr>
          <w:sz w:val="23"/>
          <w:szCs w:val="23"/>
        </w:rPr>
        <w:tab/>
      </w:r>
      <w:r w:rsidR="002A7243">
        <w:rPr>
          <w:sz w:val="23"/>
          <w:szCs w:val="23"/>
        </w:rPr>
        <w:t>9,550</w:t>
      </w:r>
      <w:r w:rsidR="00C0074A">
        <w:rPr>
          <w:sz w:val="23"/>
          <w:szCs w:val="23"/>
        </w:rPr>
        <w:tab/>
      </w:r>
      <w:r w:rsidR="00E95854">
        <w:rPr>
          <w:sz w:val="23"/>
          <w:szCs w:val="23"/>
        </w:rPr>
        <w:t>506</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Nonresident, Domestic</w:t>
      </w:r>
      <w:r>
        <w:rPr>
          <w:sz w:val="23"/>
          <w:szCs w:val="23"/>
        </w:rPr>
        <w:tab/>
      </w:r>
      <w:r w:rsidR="00C0074A">
        <w:rPr>
          <w:sz w:val="23"/>
          <w:szCs w:val="23"/>
        </w:rPr>
        <w:t>4,</w:t>
      </w:r>
      <w:r w:rsidR="00643B32">
        <w:rPr>
          <w:sz w:val="23"/>
          <w:szCs w:val="23"/>
        </w:rPr>
        <w:t>350</w:t>
      </w:r>
      <w:r w:rsidR="00C0074A">
        <w:rPr>
          <w:sz w:val="23"/>
          <w:szCs w:val="23"/>
        </w:rPr>
        <w:tab/>
      </w:r>
      <w:r w:rsidR="00643B32">
        <w:rPr>
          <w:sz w:val="23"/>
          <w:szCs w:val="23"/>
        </w:rPr>
        <w:t>4,</w:t>
      </w:r>
      <w:r w:rsidR="002A7243">
        <w:rPr>
          <w:sz w:val="23"/>
          <w:szCs w:val="23"/>
        </w:rPr>
        <w:t>610</w:t>
      </w:r>
      <w:r w:rsidR="00C0074A">
        <w:rPr>
          <w:sz w:val="23"/>
          <w:szCs w:val="23"/>
        </w:rPr>
        <w:tab/>
        <w:t>4</w:t>
      </w:r>
      <w:r w:rsidR="002A7243">
        <w:rPr>
          <w:sz w:val="23"/>
          <w:szCs w:val="23"/>
        </w:rPr>
        <w:t>61</w:t>
      </w:r>
    </w:p>
    <w:p w:rsidR="00A95A67" w:rsidRDefault="00A95A67"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p>
    <w:p w:rsidR="00A95A67" w:rsidRDefault="00A95A67" w:rsidP="00A95A67">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Professional MBA (Per 6 Credit Hours</w:t>
      </w:r>
      <w:proofErr w:type="gramStart"/>
      <w:r>
        <w:rPr>
          <w:sz w:val="23"/>
          <w:szCs w:val="23"/>
        </w:rPr>
        <w:t>)*</w:t>
      </w:r>
      <w:proofErr w:type="gramEnd"/>
      <w:r>
        <w:rPr>
          <w:sz w:val="23"/>
          <w:szCs w:val="23"/>
        </w:rPr>
        <w:t>*</w:t>
      </w:r>
    </w:p>
    <w:p w:rsidR="00A95A67" w:rsidRDefault="002454FA" w:rsidP="002454FA">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r>
      <w:r w:rsidR="00A95A67">
        <w:rPr>
          <w:sz w:val="23"/>
          <w:szCs w:val="23"/>
        </w:rPr>
        <w:t>Continuing Students</w:t>
      </w:r>
      <w:r w:rsidR="00A95A67">
        <w:rPr>
          <w:sz w:val="23"/>
          <w:szCs w:val="23"/>
        </w:rPr>
        <w:tab/>
        <w:t>4,142</w:t>
      </w:r>
      <w:r w:rsidR="00A95A67">
        <w:rPr>
          <w:sz w:val="23"/>
          <w:szCs w:val="23"/>
        </w:rPr>
        <w:tab/>
        <w:t>4,142</w:t>
      </w:r>
      <w:r w:rsidR="00A95A67">
        <w:rPr>
          <w:sz w:val="23"/>
          <w:szCs w:val="23"/>
        </w:rPr>
        <w:tab/>
        <w:t>690</w:t>
      </w:r>
    </w:p>
    <w:p w:rsidR="00A95A67" w:rsidRDefault="00A95A67" w:rsidP="00A95A67">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0"/>
          <w:tab w:val="right" w:pos="8640"/>
        </w:tabs>
        <w:rPr>
          <w:sz w:val="23"/>
          <w:szCs w:val="23"/>
        </w:rPr>
      </w:pPr>
      <w:r>
        <w:rPr>
          <w:sz w:val="23"/>
          <w:szCs w:val="23"/>
        </w:rPr>
        <w:tab/>
        <w:t>New Students</w:t>
      </w:r>
      <w:r>
        <w:rPr>
          <w:sz w:val="23"/>
          <w:szCs w:val="23"/>
        </w:rPr>
        <w:tab/>
        <w:t>4,142</w:t>
      </w:r>
      <w:r>
        <w:rPr>
          <w:sz w:val="23"/>
          <w:szCs w:val="23"/>
        </w:rPr>
        <w:tab/>
        <w:t>4,350</w:t>
      </w:r>
      <w:r>
        <w:rPr>
          <w:sz w:val="23"/>
          <w:szCs w:val="23"/>
        </w:rPr>
        <w:tab/>
        <w:t>725</w:t>
      </w:r>
    </w:p>
    <w:p w:rsidR="00A95A67" w:rsidRDefault="00A95A67"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r>
        <w:rPr>
          <w:sz w:val="23"/>
          <w:szCs w:val="23"/>
        </w:rPr>
        <w:t>Distance Learning (Per Credit Hour</w:t>
      </w:r>
      <w:proofErr w:type="gramStart"/>
      <w:r>
        <w:rPr>
          <w:sz w:val="23"/>
          <w:szCs w:val="23"/>
        </w:rPr>
        <w:t>)</w:t>
      </w:r>
      <w:r w:rsidR="00AD60C8">
        <w:rPr>
          <w:sz w:val="23"/>
          <w:szCs w:val="23"/>
        </w:rPr>
        <w:t>*</w:t>
      </w:r>
      <w:proofErr w:type="gramEnd"/>
      <w:r w:rsidR="00AD60C8">
        <w:rPr>
          <w:sz w:val="23"/>
          <w:szCs w:val="23"/>
        </w:rPr>
        <w:t>*</w:t>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Undergraduate</w:t>
      </w:r>
      <w:r>
        <w:rPr>
          <w:sz w:val="23"/>
          <w:szCs w:val="23"/>
        </w:rPr>
        <w:tab/>
      </w:r>
      <w:r w:rsidR="00C0074A">
        <w:rPr>
          <w:sz w:val="23"/>
          <w:szCs w:val="23"/>
        </w:rPr>
        <w:t>3</w:t>
      </w:r>
      <w:r w:rsidR="00643B32">
        <w:rPr>
          <w:sz w:val="23"/>
          <w:szCs w:val="23"/>
        </w:rPr>
        <w:t>60</w:t>
      </w:r>
      <w:r w:rsidR="00C0074A">
        <w:rPr>
          <w:sz w:val="23"/>
          <w:szCs w:val="23"/>
        </w:rPr>
        <w:tab/>
        <w:t>3</w:t>
      </w:r>
      <w:r w:rsidR="006973EE">
        <w:rPr>
          <w:sz w:val="23"/>
          <w:szCs w:val="23"/>
        </w:rPr>
        <w:t>78</w:t>
      </w:r>
      <w:r w:rsidR="00C0074A">
        <w:rPr>
          <w:sz w:val="23"/>
          <w:szCs w:val="23"/>
        </w:rPr>
        <w:tab/>
        <w:t>3</w:t>
      </w:r>
      <w:r w:rsidR="006973EE">
        <w:rPr>
          <w:sz w:val="23"/>
          <w:szCs w:val="23"/>
        </w:rPr>
        <w:t>78</w:t>
      </w:r>
      <w:r>
        <w:rPr>
          <w:sz w:val="23"/>
          <w:szCs w:val="23"/>
        </w:rPr>
        <w:tab/>
      </w: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 xml:space="preserve">Graduate </w:t>
      </w:r>
      <w:r>
        <w:rPr>
          <w:sz w:val="23"/>
          <w:szCs w:val="23"/>
        </w:rPr>
        <w:tab/>
        <w:t xml:space="preserve">   </w:t>
      </w:r>
      <w:r w:rsidR="00A52022">
        <w:rPr>
          <w:sz w:val="23"/>
          <w:szCs w:val="23"/>
        </w:rPr>
        <w:t>4</w:t>
      </w:r>
      <w:r w:rsidR="00643B32">
        <w:rPr>
          <w:sz w:val="23"/>
          <w:szCs w:val="23"/>
        </w:rPr>
        <w:t>75</w:t>
      </w:r>
      <w:r w:rsidR="00A52022">
        <w:rPr>
          <w:sz w:val="23"/>
          <w:szCs w:val="23"/>
        </w:rPr>
        <w:tab/>
        <w:t>4</w:t>
      </w:r>
      <w:r w:rsidR="006973EE">
        <w:rPr>
          <w:sz w:val="23"/>
          <w:szCs w:val="23"/>
        </w:rPr>
        <w:t>99</w:t>
      </w:r>
      <w:r w:rsidR="00A52022">
        <w:rPr>
          <w:sz w:val="23"/>
          <w:szCs w:val="23"/>
        </w:rPr>
        <w:tab/>
        <w:t>4</w:t>
      </w:r>
      <w:r w:rsidR="006973EE">
        <w:rPr>
          <w:sz w:val="23"/>
          <w:szCs w:val="23"/>
        </w:rPr>
        <w:t>99</w:t>
      </w:r>
      <w:r>
        <w:rPr>
          <w:sz w:val="23"/>
          <w:szCs w:val="23"/>
        </w:rPr>
        <w:tab/>
      </w: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65229C" w:rsidRDefault="0065229C"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GoArmyEd (</w:t>
      </w:r>
      <w:r w:rsidR="00271DFD">
        <w:rPr>
          <w:sz w:val="23"/>
          <w:szCs w:val="23"/>
        </w:rPr>
        <w:t xml:space="preserve">MOA, </w:t>
      </w:r>
      <w:r>
        <w:rPr>
          <w:sz w:val="23"/>
          <w:szCs w:val="23"/>
        </w:rPr>
        <w:t>Per Credit Hour</w:t>
      </w:r>
      <w:proofErr w:type="gramStart"/>
      <w:r>
        <w:rPr>
          <w:sz w:val="23"/>
          <w:szCs w:val="23"/>
        </w:rPr>
        <w:t>)</w:t>
      </w:r>
      <w:r w:rsidR="002337AB">
        <w:rPr>
          <w:sz w:val="23"/>
          <w:szCs w:val="23"/>
        </w:rPr>
        <w:t>*</w:t>
      </w:r>
      <w:proofErr w:type="gramEnd"/>
      <w:r w:rsidR="00AD60C8">
        <w:rPr>
          <w:sz w:val="23"/>
          <w:szCs w:val="23"/>
        </w:rPr>
        <w:t>*</w:t>
      </w:r>
      <w:r>
        <w:rPr>
          <w:sz w:val="23"/>
          <w:szCs w:val="23"/>
        </w:rPr>
        <w:tab/>
        <w:t>250</w:t>
      </w:r>
      <w:r>
        <w:rPr>
          <w:sz w:val="23"/>
          <w:szCs w:val="23"/>
        </w:rPr>
        <w:tab/>
        <w:t>250</w:t>
      </w:r>
      <w:r>
        <w:rPr>
          <w:sz w:val="23"/>
          <w:szCs w:val="23"/>
        </w:rPr>
        <w:tab/>
        <w:t>250</w:t>
      </w:r>
      <w:r>
        <w:rPr>
          <w:sz w:val="23"/>
          <w:szCs w:val="23"/>
        </w:rPr>
        <w:tab/>
      </w:r>
    </w:p>
    <w:p w:rsidR="006B0880" w:rsidRDefault="006B0880" w:rsidP="005F0CA0">
      <w:pPr>
        <w:pBdr>
          <w:top w:val="single" w:sz="18" w:space="1" w:color="auto"/>
          <w:left w:val="single" w:sz="18" w:space="1" w:color="auto"/>
          <w:bottom w:val="single" w:sz="18" w:space="1" w:color="auto"/>
          <w:right w:val="single" w:sz="18" w:space="1" w:color="auto"/>
        </w:pBdr>
        <w:tabs>
          <w:tab w:val="left" w:pos="342"/>
          <w:tab w:val="right" w:pos="4104"/>
          <w:tab w:val="right" w:pos="5757"/>
          <w:tab w:val="right" w:pos="7923"/>
        </w:tabs>
        <w:rPr>
          <w:sz w:val="23"/>
          <w:szCs w:val="23"/>
        </w:rPr>
      </w:pPr>
    </w:p>
    <w:p w:rsidR="006B0880" w:rsidRDefault="006B0880"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 xml:space="preserve">Dual Credit (Per </w:t>
      </w:r>
      <w:r w:rsidR="002E5324">
        <w:rPr>
          <w:sz w:val="23"/>
          <w:szCs w:val="23"/>
        </w:rPr>
        <w:t xml:space="preserve">Credit </w:t>
      </w:r>
      <w:r>
        <w:rPr>
          <w:sz w:val="23"/>
          <w:szCs w:val="23"/>
        </w:rPr>
        <w:t>Course</w:t>
      </w:r>
      <w:proofErr w:type="gramStart"/>
      <w:r>
        <w:rPr>
          <w:sz w:val="23"/>
          <w:szCs w:val="23"/>
        </w:rPr>
        <w:t>)</w:t>
      </w:r>
      <w:r w:rsidR="002337AB">
        <w:rPr>
          <w:sz w:val="23"/>
          <w:szCs w:val="23"/>
        </w:rPr>
        <w:t>*</w:t>
      </w:r>
      <w:proofErr w:type="gramEnd"/>
      <w:r w:rsidR="00AD60C8">
        <w:rPr>
          <w:sz w:val="23"/>
          <w:szCs w:val="23"/>
        </w:rPr>
        <w:t>*</w:t>
      </w:r>
      <w:r>
        <w:rPr>
          <w:sz w:val="23"/>
          <w:szCs w:val="23"/>
        </w:rPr>
        <w:tab/>
        <w:t>200</w:t>
      </w:r>
      <w:r>
        <w:rPr>
          <w:sz w:val="23"/>
          <w:szCs w:val="23"/>
        </w:rPr>
        <w:tab/>
        <w:t>200</w:t>
      </w:r>
      <w:r>
        <w:rPr>
          <w:sz w:val="23"/>
          <w:szCs w:val="23"/>
        </w:rPr>
        <w:tab/>
        <w:t>200</w:t>
      </w:r>
    </w:p>
    <w:p w:rsidR="006B0880" w:rsidRDefault="006B0880" w:rsidP="005F0CA0">
      <w:pPr>
        <w:pBdr>
          <w:top w:val="single" w:sz="18" w:space="1" w:color="auto"/>
          <w:left w:val="single" w:sz="18" w:space="1" w:color="auto"/>
          <w:bottom w:val="single" w:sz="18" w:space="1" w:color="auto"/>
          <w:right w:val="single" w:sz="18" w:space="1" w:color="auto"/>
        </w:pBdr>
        <w:tabs>
          <w:tab w:val="left" w:pos="342"/>
          <w:tab w:val="right" w:pos="4104"/>
          <w:tab w:val="right" w:pos="5757"/>
          <w:tab w:val="right" w:pos="7923"/>
        </w:tabs>
        <w:rPr>
          <w:sz w:val="23"/>
          <w:szCs w:val="23"/>
        </w:rPr>
      </w:pPr>
    </w:p>
    <w:p w:rsidR="00B871C0" w:rsidRDefault="00090F85"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Independent Learning</w:t>
      </w:r>
      <w:r w:rsidR="006B0880">
        <w:rPr>
          <w:sz w:val="23"/>
          <w:szCs w:val="23"/>
        </w:rPr>
        <w:t xml:space="preserve"> (Per </w:t>
      </w:r>
      <w:r w:rsidR="00C31279">
        <w:rPr>
          <w:sz w:val="23"/>
          <w:szCs w:val="23"/>
        </w:rPr>
        <w:t xml:space="preserve">Credit </w:t>
      </w:r>
      <w:r w:rsidR="006B0880">
        <w:rPr>
          <w:sz w:val="23"/>
          <w:szCs w:val="23"/>
        </w:rPr>
        <w:t>Hour</w:t>
      </w:r>
      <w:proofErr w:type="gramStart"/>
      <w:r w:rsidR="006B0880">
        <w:rPr>
          <w:sz w:val="23"/>
          <w:szCs w:val="23"/>
        </w:rPr>
        <w:t>)</w:t>
      </w:r>
      <w:r w:rsidR="002337AB">
        <w:rPr>
          <w:sz w:val="23"/>
          <w:szCs w:val="23"/>
        </w:rPr>
        <w:t>*</w:t>
      </w:r>
      <w:proofErr w:type="gramEnd"/>
      <w:r w:rsidR="00AD60C8">
        <w:rPr>
          <w:sz w:val="23"/>
          <w:szCs w:val="23"/>
        </w:rPr>
        <w:t>*</w:t>
      </w:r>
      <w:r w:rsidR="006B0880">
        <w:rPr>
          <w:sz w:val="23"/>
          <w:szCs w:val="23"/>
        </w:rPr>
        <w:tab/>
      </w:r>
    </w:p>
    <w:p w:rsidR="006B0880" w:rsidRDefault="00B871C0"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Undergraduate</w:t>
      </w:r>
      <w:r>
        <w:rPr>
          <w:sz w:val="23"/>
          <w:szCs w:val="23"/>
        </w:rPr>
        <w:tab/>
      </w:r>
      <w:r w:rsidR="00643B32">
        <w:rPr>
          <w:sz w:val="23"/>
          <w:szCs w:val="23"/>
        </w:rPr>
        <w:t>300</w:t>
      </w:r>
      <w:r w:rsidR="006B0880">
        <w:rPr>
          <w:sz w:val="23"/>
          <w:szCs w:val="23"/>
        </w:rPr>
        <w:tab/>
        <w:t>3</w:t>
      </w:r>
      <w:r w:rsidR="00050CB2">
        <w:rPr>
          <w:sz w:val="23"/>
          <w:szCs w:val="23"/>
        </w:rPr>
        <w:t>15</w:t>
      </w:r>
      <w:r w:rsidR="006B0880">
        <w:rPr>
          <w:sz w:val="23"/>
          <w:szCs w:val="23"/>
        </w:rPr>
        <w:tab/>
        <w:t>3</w:t>
      </w:r>
      <w:r w:rsidR="00050CB2">
        <w:rPr>
          <w:sz w:val="23"/>
          <w:szCs w:val="23"/>
        </w:rPr>
        <w:t>15</w:t>
      </w:r>
    </w:p>
    <w:p w:rsidR="00B871C0" w:rsidRDefault="00B871C0" w:rsidP="002337AB">
      <w:pPr>
        <w:pBdr>
          <w:top w:val="single" w:sz="18" w:space="1" w:color="auto"/>
          <w:left w:val="single" w:sz="18" w:space="1" w:color="auto"/>
          <w:bottom w:val="single" w:sz="18" w:space="1" w:color="auto"/>
          <w:right w:val="single" w:sz="18" w:space="1" w:color="auto"/>
        </w:pBdr>
        <w:tabs>
          <w:tab w:val="left" w:pos="342"/>
          <w:tab w:val="right" w:pos="4500"/>
          <w:tab w:val="right" w:pos="6120"/>
          <w:tab w:val="right" w:pos="7923"/>
        </w:tabs>
        <w:rPr>
          <w:sz w:val="23"/>
          <w:szCs w:val="23"/>
        </w:rPr>
      </w:pPr>
      <w:r>
        <w:rPr>
          <w:sz w:val="23"/>
          <w:szCs w:val="23"/>
        </w:rPr>
        <w:tab/>
        <w:t>Graduate</w:t>
      </w:r>
      <w:r>
        <w:rPr>
          <w:sz w:val="23"/>
          <w:szCs w:val="23"/>
        </w:rPr>
        <w:tab/>
        <w:t>396</w:t>
      </w:r>
      <w:r>
        <w:rPr>
          <w:sz w:val="23"/>
          <w:szCs w:val="23"/>
        </w:rPr>
        <w:tab/>
        <w:t>416</w:t>
      </w:r>
      <w:r>
        <w:rPr>
          <w:sz w:val="23"/>
          <w:szCs w:val="23"/>
        </w:rPr>
        <w:tab/>
        <w:t>416</w:t>
      </w: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6B0880" w:rsidRDefault="006B0880"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65229C" w:rsidRDefault="0065229C" w:rsidP="005F0CA0">
      <w:pPr>
        <w:pBdr>
          <w:top w:val="single" w:sz="18" w:space="1" w:color="auto"/>
          <w:left w:val="single" w:sz="18" w:space="1" w:color="auto"/>
          <w:bottom w:val="single" w:sz="18" w:space="1" w:color="auto"/>
          <w:right w:val="single" w:sz="18" w:space="1" w:color="auto"/>
        </w:pBdr>
        <w:tabs>
          <w:tab w:val="left" w:pos="342"/>
          <w:tab w:val="right" w:pos="3591"/>
          <w:tab w:val="right" w:pos="5757"/>
          <w:tab w:val="right" w:pos="8607"/>
        </w:tabs>
        <w:rPr>
          <w:sz w:val="23"/>
          <w:szCs w:val="23"/>
        </w:rPr>
      </w:pPr>
    </w:p>
    <w:p w:rsidR="00271DFD" w:rsidRDefault="00271DFD">
      <w:pPr>
        <w:tabs>
          <w:tab w:val="left" w:pos="342"/>
          <w:tab w:val="right" w:pos="3591"/>
          <w:tab w:val="right" w:pos="5757"/>
          <w:tab w:val="right" w:pos="8607"/>
        </w:tabs>
        <w:rPr>
          <w:sz w:val="23"/>
          <w:szCs w:val="23"/>
        </w:rPr>
      </w:pPr>
    </w:p>
    <w:p w:rsidR="0065229C" w:rsidRPr="00A95A67" w:rsidRDefault="002A7243">
      <w:pPr>
        <w:tabs>
          <w:tab w:val="left" w:pos="342"/>
          <w:tab w:val="right" w:pos="3591"/>
          <w:tab w:val="right" w:pos="5757"/>
          <w:tab w:val="right" w:pos="8607"/>
        </w:tabs>
        <w:rPr>
          <w:b/>
          <w:sz w:val="23"/>
          <w:szCs w:val="23"/>
        </w:rPr>
      </w:pPr>
      <w:r w:rsidRPr="00A95A67">
        <w:rPr>
          <w:b/>
          <w:sz w:val="23"/>
          <w:szCs w:val="23"/>
        </w:rPr>
        <w:t>Mandatory Student Fees:</w:t>
      </w:r>
    </w:p>
    <w:p w:rsidR="0065229C" w:rsidRDefault="0065229C">
      <w:pPr>
        <w:tabs>
          <w:tab w:val="left" w:pos="342"/>
          <w:tab w:val="right" w:pos="3591"/>
          <w:tab w:val="right" w:pos="5757"/>
          <w:tab w:val="right" w:pos="8607"/>
        </w:tabs>
        <w:rPr>
          <w:sz w:val="23"/>
          <w:szCs w:val="23"/>
        </w:rPr>
      </w:pPr>
      <w:r>
        <w:rPr>
          <w:sz w:val="23"/>
          <w:szCs w:val="23"/>
        </w:rPr>
        <w:t>Student Athletics Fee</w:t>
      </w:r>
      <w:r>
        <w:rPr>
          <w:sz w:val="23"/>
          <w:szCs w:val="23"/>
        </w:rPr>
        <w:tab/>
        <w:t>$</w:t>
      </w:r>
      <w:r w:rsidR="002337AB">
        <w:rPr>
          <w:sz w:val="23"/>
          <w:szCs w:val="23"/>
        </w:rPr>
        <w:t>205</w:t>
      </w:r>
    </w:p>
    <w:p w:rsidR="0065229C" w:rsidRDefault="002337AB">
      <w:pPr>
        <w:tabs>
          <w:tab w:val="left" w:pos="342"/>
          <w:tab w:val="right" w:pos="3591"/>
          <w:tab w:val="right" w:pos="5757"/>
          <w:tab w:val="right" w:pos="8607"/>
        </w:tabs>
        <w:rPr>
          <w:sz w:val="23"/>
          <w:szCs w:val="23"/>
        </w:rPr>
      </w:pPr>
      <w:r>
        <w:rPr>
          <w:sz w:val="23"/>
          <w:szCs w:val="23"/>
        </w:rPr>
        <w:t>Student Centers Fee</w:t>
      </w:r>
      <w:r>
        <w:rPr>
          <w:sz w:val="23"/>
          <w:szCs w:val="23"/>
        </w:rPr>
        <w:tab/>
        <w:t xml:space="preserve"> </w:t>
      </w:r>
      <w:proofErr w:type="gramStart"/>
      <w:r>
        <w:rPr>
          <w:sz w:val="23"/>
          <w:szCs w:val="23"/>
        </w:rPr>
        <w:t>$  59</w:t>
      </w:r>
      <w:proofErr w:type="gramEnd"/>
    </w:p>
    <w:p w:rsidR="00AD60C8" w:rsidRDefault="00AD60C8">
      <w:pPr>
        <w:tabs>
          <w:tab w:val="left" w:pos="342"/>
          <w:tab w:val="right" w:pos="3591"/>
          <w:tab w:val="right" w:pos="5757"/>
          <w:tab w:val="right" w:pos="8607"/>
        </w:tabs>
        <w:rPr>
          <w:sz w:val="23"/>
          <w:szCs w:val="23"/>
        </w:rPr>
      </w:pPr>
    </w:p>
    <w:p w:rsidR="00AD60C8" w:rsidRDefault="00AD60C8">
      <w:pPr>
        <w:tabs>
          <w:tab w:val="left" w:pos="342"/>
          <w:tab w:val="right" w:pos="3591"/>
          <w:tab w:val="right" w:pos="5757"/>
          <w:tab w:val="right" w:pos="8607"/>
        </w:tabs>
        <w:rPr>
          <w:sz w:val="23"/>
          <w:szCs w:val="23"/>
        </w:rPr>
      </w:pPr>
      <w:r>
        <w:rPr>
          <w:sz w:val="23"/>
          <w:szCs w:val="23"/>
        </w:rPr>
        <w:t xml:space="preserve">  *Full-time International graduate students will be awarded graduate fellowship of $4,490 per                             semester.</w:t>
      </w:r>
    </w:p>
    <w:p w:rsidR="006B0880" w:rsidRDefault="006B0880">
      <w:pPr>
        <w:tabs>
          <w:tab w:val="left" w:pos="342"/>
          <w:tab w:val="right" w:pos="3591"/>
          <w:tab w:val="right" w:pos="5757"/>
          <w:tab w:val="right" w:pos="8607"/>
        </w:tabs>
        <w:rPr>
          <w:sz w:val="23"/>
          <w:szCs w:val="23"/>
        </w:rPr>
      </w:pPr>
    </w:p>
    <w:p w:rsidR="006B0880" w:rsidRDefault="00AD60C8">
      <w:pPr>
        <w:tabs>
          <w:tab w:val="left" w:pos="342"/>
          <w:tab w:val="right" w:pos="3591"/>
          <w:tab w:val="right" w:pos="5757"/>
          <w:tab w:val="right" w:pos="8607"/>
        </w:tabs>
        <w:rPr>
          <w:sz w:val="23"/>
          <w:szCs w:val="23"/>
        </w:rPr>
      </w:pPr>
      <w:r>
        <w:rPr>
          <w:sz w:val="23"/>
          <w:szCs w:val="23"/>
        </w:rPr>
        <w:t>*</w:t>
      </w:r>
      <w:r w:rsidR="002A7243">
        <w:rPr>
          <w:sz w:val="23"/>
          <w:szCs w:val="23"/>
        </w:rPr>
        <w:t>*</w:t>
      </w:r>
      <w:r w:rsidR="006B0880">
        <w:rPr>
          <w:sz w:val="23"/>
          <w:szCs w:val="23"/>
        </w:rPr>
        <w:t xml:space="preserve">Mandatory student fees are not assessed to </w:t>
      </w:r>
      <w:r w:rsidR="002A7243">
        <w:rPr>
          <w:sz w:val="23"/>
          <w:szCs w:val="23"/>
        </w:rPr>
        <w:t>these students</w:t>
      </w:r>
      <w:r w:rsidR="006B0880">
        <w:rPr>
          <w:sz w:val="23"/>
          <w:szCs w:val="23"/>
        </w:rPr>
        <w:t>.</w:t>
      </w:r>
    </w:p>
    <w:sectPr w:rsidR="006B0880" w:rsidSect="00047BEE">
      <w:footerReference w:type="even" r:id="rId11"/>
      <w:footerReference w:type="default" r:id="rId12"/>
      <w:footerReference w:type="first" r:id="rId13"/>
      <w:pgSz w:w="12240" w:h="15840" w:code="1"/>
      <w:pgMar w:top="1440" w:right="1440" w:bottom="1440" w:left="1440" w:header="720" w:footer="576"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331" w:rsidRDefault="002F1331">
      <w:r>
        <w:separator/>
      </w:r>
    </w:p>
  </w:endnote>
  <w:endnote w:type="continuationSeparator" w:id="0">
    <w:p w:rsidR="002F1331" w:rsidRDefault="002F13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31" w:rsidRDefault="003C0802" w:rsidP="004E18DF">
    <w:pPr>
      <w:pStyle w:val="Footer"/>
      <w:framePr w:wrap="around" w:vAnchor="text" w:hAnchor="margin" w:xAlign="center" w:y="1"/>
      <w:rPr>
        <w:rStyle w:val="PageNumber"/>
      </w:rPr>
    </w:pPr>
    <w:r>
      <w:rPr>
        <w:rStyle w:val="PageNumber"/>
      </w:rPr>
      <w:fldChar w:fldCharType="begin"/>
    </w:r>
    <w:r w:rsidR="002F1331">
      <w:rPr>
        <w:rStyle w:val="PageNumber"/>
      </w:rPr>
      <w:instrText xml:space="preserve">PAGE  </w:instrText>
    </w:r>
    <w:r>
      <w:rPr>
        <w:rStyle w:val="PageNumber"/>
      </w:rPr>
      <w:fldChar w:fldCharType="end"/>
    </w:r>
  </w:p>
  <w:p w:rsidR="002F1331" w:rsidRDefault="002F1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31" w:rsidRDefault="003C0802" w:rsidP="004E18DF">
    <w:pPr>
      <w:pStyle w:val="Footer"/>
      <w:framePr w:wrap="around" w:vAnchor="text" w:hAnchor="margin" w:xAlign="center" w:y="1"/>
      <w:rPr>
        <w:rStyle w:val="PageNumber"/>
      </w:rPr>
    </w:pPr>
    <w:r>
      <w:rPr>
        <w:rStyle w:val="PageNumber"/>
      </w:rPr>
      <w:fldChar w:fldCharType="begin"/>
    </w:r>
    <w:r w:rsidR="002F1331">
      <w:rPr>
        <w:rStyle w:val="PageNumber"/>
      </w:rPr>
      <w:instrText xml:space="preserve">PAGE  </w:instrText>
    </w:r>
    <w:r>
      <w:rPr>
        <w:rStyle w:val="PageNumber"/>
      </w:rPr>
      <w:fldChar w:fldCharType="separate"/>
    </w:r>
    <w:r w:rsidR="00AE5F84">
      <w:rPr>
        <w:rStyle w:val="PageNumber"/>
        <w:noProof/>
      </w:rPr>
      <w:t>10</w:t>
    </w:r>
    <w:r>
      <w:rPr>
        <w:rStyle w:val="PageNumber"/>
      </w:rPr>
      <w:fldChar w:fldCharType="end"/>
    </w:r>
  </w:p>
  <w:p w:rsidR="002F1331" w:rsidRDefault="002F1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31" w:rsidRDefault="002F1331">
    <w:pPr>
      <w:pStyle w:val="Footer"/>
      <w:jc w:val="center"/>
      <w:rPr>
        <w:rStyle w:val="PageNumber"/>
      </w:rPr>
    </w:pPr>
  </w:p>
  <w:p w:rsidR="002F1331" w:rsidRDefault="002F133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331" w:rsidRDefault="002F1331">
      <w:r>
        <w:separator/>
      </w:r>
    </w:p>
  </w:footnote>
  <w:footnote w:type="continuationSeparator" w:id="0">
    <w:p w:rsidR="002F1331" w:rsidRDefault="002F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62D7"/>
    <w:multiLevelType w:val="hybridMultilevel"/>
    <w:tmpl w:val="2B0CDB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84503"/>
    <w:multiLevelType w:val="hybridMultilevel"/>
    <w:tmpl w:val="85ACA452"/>
    <w:lvl w:ilvl="0" w:tplc="EEF6E924">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35766"/>
    <w:multiLevelType w:val="hybridMultilevel"/>
    <w:tmpl w:val="A3BCDB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E66650"/>
    <w:multiLevelType w:val="hybridMultilevel"/>
    <w:tmpl w:val="8D961C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EF3247"/>
    <w:multiLevelType w:val="hybridMultilevel"/>
    <w:tmpl w:val="96EC41A4"/>
    <w:lvl w:ilvl="0" w:tplc="EEF6E924">
      <w:start w:val="2008"/>
      <w:numFmt w:val="bullet"/>
      <w:lvlText w:val="-"/>
      <w:lvlJc w:val="left"/>
      <w:pPr>
        <w:tabs>
          <w:tab w:val="num" w:pos="3966"/>
        </w:tabs>
        <w:ind w:left="3966" w:hanging="360"/>
      </w:pPr>
      <w:rPr>
        <w:rFonts w:ascii="Times New Roman" w:eastAsia="Times New Roman" w:hAnsi="Times New Roman" w:cs="Times New Roman" w:hint="default"/>
      </w:rPr>
    </w:lvl>
    <w:lvl w:ilvl="1" w:tplc="04090003" w:tentative="1">
      <w:start w:val="1"/>
      <w:numFmt w:val="bullet"/>
      <w:lvlText w:val="o"/>
      <w:lvlJc w:val="left"/>
      <w:pPr>
        <w:tabs>
          <w:tab w:val="num" w:pos="4686"/>
        </w:tabs>
        <w:ind w:left="4686" w:hanging="360"/>
      </w:pPr>
      <w:rPr>
        <w:rFonts w:ascii="Courier New" w:hAnsi="Courier New" w:hint="default"/>
      </w:rPr>
    </w:lvl>
    <w:lvl w:ilvl="2" w:tplc="04090005" w:tentative="1">
      <w:start w:val="1"/>
      <w:numFmt w:val="bullet"/>
      <w:lvlText w:val=""/>
      <w:lvlJc w:val="left"/>
      <w:pPr>
        <w:tabs>
          <w:tab w:val="num" w:pos="5406"/>
        </w:tabs>
        <w:ind w:left="5406" w:hanging="360"/>
      </w:pPr>
      <w:rPr>
        <w:rFonts w:ascii="Wingdings" w:hAnsi="Wingdings" w:hint="default"/>
      </w:rPr>
    </w:lvl>
    <w:lvl w:ilvl="3" w:tplc="04090001" w:tentative="1">
      <w:start w:val="1"/>
      <w:numFmt w:val="bullet"/>
      <w:lvlText w:val=""/>
      <w:lvlJc w:val="left"/>
      <w:pPr>
        <w:tabs>
          <w:tab w:val="num" w:pos="6126"/>
        </w:tabs>
        <w:ind w:left="6126" w:hanging="360"/>
      </w:pPr>
      <w:rPr>
        <w:rFonts w:ascii="Symbol" w:hAnsi="Symbol" w:hint="default"/>
      </w:rPr>
    </w:lvl>
    <w:lvl w:ilvl="4" w:tplc="04090003" w:tentative="1">
      <w:start w:val="1"/>
      <w:numFmt w:val="bullet"/>
      <w:lvlText w:val="o"/>
      <w:lvlJc w:val="left"/>
      <w:pPr>
        <w:tabs>
          <w:tab w:val="num" w:pos="6846"/>
        </w:tabs>
        <w:ind w:left="6846" w:hanging="360"/>
      </w:pPr>
      <w:rPr>
        <w:rFonts w:ascii="Courier New" w:hAnsi="Courier New" w:hint="default"/>
      </w:rPr>
    </w:lvl>
    <w:lvl w:ilvl="5" w:tplc="04090005" w:tentative="1">
      <w:start w:val="1"/>
      <w:numFmt w:val="bullet"/>
      <w:lvlText w:val=""/>
      <w:lvlJc w:val="left"/>
      <w:pPr>
        <w:tabs>
          <w:tab w:val="num" w:pos="7566"/>
        </w:tabs>
        <w:ind w:left="7566" w:hanging="360"/>
      </w:pPr>
      <w:rPr>
        <w:rFonts w:ascii="Wingdings" w:hAnsi="Wingdings" w:hint="default"/>
      </w:rPr>
    </w:lvl>
    <w:lvl w:ilvl="6" w:tplc="04090001" w:tentative="1">
      <w:start w:val="1"/>
      <w:numFmt w:val="bullet"/>
      <w:lvlText w:val=""/>
      <w:lvlJc w:val="left"/>
      <w:pPr>
        <w:tabs>
          <w:tab w:val="num" w:pos="8286"/>
        </w:tabs>
        <w:ind w:left="8286" w:hanging="360"/>
      </w:pPr>
      <w:rPr>
        <w:rFonts w:ascii="Symbol" w:hAnsi="Symbol" w:hint="default"/>
      </w:rPr>
    </w:lvl>
    <w:lvl w:ilvl="7" w:tplc="04090003" w:tentative="1">
      <w:start w:val="1"/>
      <w:numFmt w:val="bullet"/>
      <w:lvlText w:val="o"/>
      <w:lvlJc w:val="left"/>
      <w:pPr>
        <w:tabs>
          <w:tab w:val="num" w:pos="9006"/>
        </w:tabs>
        <w:ind w:left="9006" w:hanging="360"/>
      </w:pPr>
      <w:rPr>
        <w:rFonts w:ascii="Courier New" w:hAnsi="Courier New" w:hint="default"/>
      </w:rPr>
    </w:lvl>
    <w:lvl w:ilvl="8" w:tplc="04090005" w:tentative="1">
      <w:start w:val="1"/>
      <w:numFmt w:val="bullet"/>
      <w:lvlText w:val=""/>
      <w:lvlJc w:val="left"/>
      <w:pPr>
        <w:tabs>
          <w:tab w:val="num" w:pos="9726"/>
        </w:tabs>
        <w:ind w:left="9726" w:hanging="360"/>
      </w:pPr>
      <w:rPr>
        <w:rFonts w:ascii="Wingdings" w:hAnsi="Wingdings" w:hint="default"/>
      </w:rPr>
    </w:lvl>
  </w:abstractNum>
  <w:abstractNum w:abstractNumId="5">
    <w:nsid w:val="282E1A11"/>
    <w:multiLevelType w:val="hybridMultilevel"/>
    <w:tmpl w:val="580297E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E42853"/>
    <w:multiLevelType w:val="singleLevel"/>
    <w:tmpl w:val="ED3CAC40"/>
    <w:lvl w:ilvl="0">
      <w:start w:val="1"/>
      <w:numFmt w:val="bullet"/>
      <w:lvlText w:val="-"/>
      <w:lvlJc w:val="left"/>
      <w:pPr>
        <w:tabs>
          <w:tab w:val="num" w:pos="360"/>
        </w:tabs>
        <w:ind w:left="360" w:hanging="360"/>
      </w:pPr>
      <w:rPr>
        <w:rFonts w:hint="default"/>
      </w:rPr>
    </w:lvl>
  </w:abstractNum>
  <w:abstractNum w:abstractNumId="7">
    <w:nsid w:val="2EFA74E4"/>
    <w:multiLevelType w:val="hybridMultilevel"/>
    <w:tmpl w:val="28F256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026CB"/>
    <w:multiLevelType w:val="hybridMultilevel"/>
    <w:tmpl w:val="06A67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D43AA3"/>
    <w:multiLevelType w:val="hybridMultilevel"/>
    <w:tmpl w:val="7F24E94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131E84"/>
    <w:multiLevelType w:val="hybridMultilevel"/>
    <w:tmpl w:val="E91EC0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42A06"/>
    <w:multiLevelType w:val="singleLevel"/>
    <w:tmpl w:val="1EDC3932"/>
    <w:lvl w:ilvl="0">
      <w:start w:val="1"/>
      <w:numFmt w:val="bullet"/>
      <w:lvlText w:val=""/>
      <w:lvlJc w:val="left"/>
      <w:pPr>
        <w:tabs>
          <w:tab w:val="num" w:pos="360"/>
        </w:tabs>
        <w:ind w:left="360" w:hanging="360"/>
      </w:pPr>
      <w:rPr>
        <w:rFonts w:ascii="Symbol" w:hAnsi="Symbol" w:hint="default"/>
      </w:rPr>
    </w:lvl>
  </w:abstractNum>
  <w:abstractNum w:abstractNumId="12">
    <w:nsid w:val="462005F4"/>
    <w:multiLevelType w:val="hybridMultilevel"/>
    <w:tmpl w:val="3A5AFC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A17C23"/>
    <w:multiLevelType w:val="hybridMultilevel"/>
    <w:tmpl w:val="6A2C88F2"/>
    <w:lvl w:ilvl="0" w:tplc="FFFFFFFF">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2793AAA"/>
    <w:multiLevelType w:val="hybridMultilevel"/>
    <w:tmpl w:val="AC0E256E"/>
    <w:lvl w:ilvl="0" w:tplc="04090009">
      <w:start w:val="1"/>
      <w:numFmt w:val="bullet"/>
      <w:lvlText w:val=""/>
      <w:lvlJc w:val="left"/>
      <w:pPr>
        <w:tabs>
          <w:tab w:val="num" w:pos="987"/>
        </w:tabs>
        <w:ind w:left="98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8051ED"/>
    <w:multiLevelType w:val="hybridMultilevel"/>
    <w:tmpl w:val="56F20C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A800E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7B2D35B4"/>
    <w:multiLevelType w:val="hybridMultilevel"/>
    <w:tmpl w:val="8EDC21D6"/>
    <w:lvl w:ilvl="0" w:tplc="E9863B62">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6"/>
  </w:num>
  <w:num w:numId="2">
    <w:abstractNumId w:val="11"/>
  </w:num>
  <w:num w:numId="3">
    <w:abstractNumId w:val="6"/>
  </w:num>
  <w:num w:numId="4">
    <w:abstractNumId w:val="5"/>
  </w:num>
  <w:num w:numId="5">
    <w:abstractNumId w:val="12"/>
  </w:num>
  <w:num w:numId="6">
    <w:abstractNumId w:val="15"/>
  </w:num>
  <w:num w:numId="7">
    <w:abstractNumId w:val="2"/>
  </w:num>
  <w:num w:numId="8">
    <w:abstractNumId w:val="0"/>
  </w:num>
  <w:num w:numId="9">
    <w:abstractNumId w:val="8"/>
  </w:num>
  <w:num w:numId="10">
    <w:abstractNumId w:val="9"/>
  </w:num>
  <w:num w:numId="11">
    <w:abstractNumId w:val="4"/>
  </w:num>
  <w:num w:numId="12">
    <w:abstractNumId w:val="14"/>
  </w:num>
  <w:num w:numId="13">
    <w:abstractNumId w:val="3"/>
  </w:num>
  <w:num w:numId="14">
    <w:abstractNumId w:val="10"/>
  </w:num>
  <w:num w:numId="15">
    <w:abstractNumId w:val="7"/>
  </w:num>
  <w:num w:numId="16">
    <w:abstractNumId w:val="13"/>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0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00E2"/>
    <w:rsid w:val="0000280B"/>
    <w:rsid w:val="000050AF"/>
    <w:rsid w:val="00010D8A"/>
    <w:rsid w:val="00022ACF"/>
    <w:rsid w:val="00023625"/>
    <w:rsid w:val="00030BB0"/>
    <w:rsid w:val="00030BB1"/>
    <w:rsid w:val="00035432"/>
    <w:rsid w:val="0003786C"/>
    <w:rsid w:val="00041452"/>
    <w:rsid w:val="00041496"/>
    <w:rsid w:val="000418AD"/>
    <w:rsid w:val="00042DD5"/>
    <w:rsid w:val="00047400"/>
    <w:rsid w:val="00047BEE"/>
    <w:rsid w:val="000509B8"/>
    <w:rsid w:val="00050CB2"/>
    <w:rsid w:val="000550B1"/>
    <w:rsid w:val="00062A89"/>
    <w:rsid w:val="00065350"/>
    <w:rsid w:val="00067009"/>
    <w:rsid w:val="000826C6"/>
    <w:rsid w:val="000849B7"/>
    <w:rsid w:val="00084DDF"/>
    <w:rsid w:val="00090F85"/>
    <w:rsid w:val="00094463"/>
    <w:rsid w:val="000A3504"/>
    <w:rsid w:val="000B0F91"/>
    <w:rsid w:val="000B41DB"/>
    <w:rsid w:val="000B562D"/>
    <w:rsid w:val="000C4CE9"/>
    <w:rsid w:val="000D2F94"/>
    <w:rsid w:val="000E2A4C"/>
    <w:rsid w:val="000E3B52"/>
    <w:rsid w:val="000F25D5"/>
    <w:rsid w:val="00107776"/>
    <w:rsid w:val="00113893"/>
    <w:rsid w:val="0011393A"/>
    <w:rsid w:val="00116C99"/>
    <w:rsid w:val="00116E1F"/>
    <w:rsid w:val="00124F2B"/>
    <w:rsid w:val="00130DB3"/>
    <w:rsid w:val="00130FF7"/>
    <w:rsid w:val="00134308"/>
    <w:rsid w:val="001349C2"/>
    <w:rsid w:val="00140985"/>
    <w:rsid w:val="001478E7"/>
    <w:rsid w:val="00150511"/>
    <w:rsid w:val="00150F0A"/>
    <w:rsid w:val="001617E2"/>
    <w:rsid w:val="001709B3"/>
    <w:rsid w:val="00180CCF"/>
    <w:rsid w:val="0018595A"/>
    <w:rsid w:val="0018682D"/>
    <w:rsid w:val="001916E8"/>
    <w:rsid w:val="00194347"/>
    <w:rsid w:val="001A4526"/>
    <w:rsid w:val="001A4A4A"/>
    <w:rsid w:val="001A61DE"/>
    <w:rsid w:val="001A75BE"/>
    <w:rsid w:val="001B0041"/>
    <w:rsid w:val="001B5E8D"/>
    <w:rsid w:val="001B62F2"/>
    <w:rsid w:val="001B7581"/>
    <w:rsid w:val="001C222E"/>
    <w:rsid w:val="001C3DE3"/>
    <w:rsid w:val="001D2B11"/>
    <w:rsid w:val="001D3BAA"/>
    <w:rsid w:val="001D65FF"/>
    <w:rsid w:val="001D6A77"/>
    <w:rsid w:val="001E5DD7"/>
    <w:rsid w:val="001F14D1"/>
    <w:rsid w:val="001F584C"/>
    <w:rsid w:val="001F63D2"/>
    <w:rsid w:val="001F6B8B"/>
    <w:rsid w:val="001F7428"/>
    <w:rsid w:val="00206F73"/>
    <w:rsid w:val="00211F04"/>
    <w:rsid w:val="0021495E"/>
    <w:rsid w:val="0021798C"/>
    <w:rsid w:val="00220153"/>
    <w:rsid w:val="00224A99"/>
    <w:rsid w:val="0023222C"/>
    <w:rsid w:val="002337AB"/>
    <w:rsid w:val="0023635E"/>
    <w:rsid w:val="00236F7A"/>
    <w:rsid w:val="00243B40"/>
    <w:rsid w:val="002454FA"/>
    <w:rsid w:val="0024643A"/>
    <w:rsid w:val="00252226"/>
    <w:rsid w:val="0025275A"/>
    <w:rsid w:val="002534BC"/>
    <w:rsid w:val="00253F7C"/>
    <w:rsid w:val="00255771"/>
    <w:rsid w:val="002623E7"/>
    <w:rsid w:val="002633E4"/>
    <w:rsid w:val="00263CA0"/>
    <w:rsid w:val="00264A7A"/>
    <w:rsid w:val="002661A7"/>
    <w:rsid w:val="00267468"/>
    <w:rsid w:val="00271DFD"/>
    <w:rsid w:val="00276E58"/>
    <w:rsid w:val="0027763E"/>
    <w:rsid w:val="00277E55"/>
    <w:rsid w:val="00283270"/>
    <w:rsid w:val="00287CA3"/>
    <w:rsid w:val="00290E93"/>
    <w:rsid w:val="0029485B"/>
    <w:rsid w:val="002A1380"/>
    <w:rsid w:val="002A3810"/>
    <w:rsid w:val="002A7243"/>
    <w:rsid w:val="002B039B"/>
    <w:rsid w:val="002B4449"/>
    <w:rsid w:val="002B6870"/>
    <w:rsid w:val="002C205E"/>
    <w:rsid w:val="002D1205"/>
    <w:rsid w:val="002D70F6"/>
    <w:rsid w:val="002D7312"/>
    <w:rsid w:val="002E0426"/>
    <w:rsid w:val="002E5324"/>
    <w:rsid w:val="002E5FE4"/>
    <w:rsid w:val="002F1331"/>
    <w:rsid w:val="002F4312"/>
    <w:rsid w:val="002F5A47"/>
    <w:rsid w:val="002F7E63"/>
    <w:rsid w:val="00307620"/>
    <w:rsid w:val="00311ED3"/>
    <w:rsid w:val="00321B91"/>
    <w:rsid w:val="003233E1"/>
    <w:rsid w:val="00325685"/>
    <w:rsid w:val="003347B0"/>
    <w:rsid w:val="00335E96"/>
    <w:rsid w:val="00337F35"/>
    <w:rsid w:val="003453EB"/>
    <w:rsid w:val="00350D1B"/>
    <w:rsid w:val="00351345"/>
    <w:rsid w:val="00353021"/>
    <w:rsid w:val="003544C3"/>
    <w:rsid w:val="0035566C"/>
    <w:rsid w:val="00360CF9"/>
    <w:rsid w:val="0036505A"/>
    <w:rsid w:val="0037321A"/>
    <w:rsid w:val="00376615"/>
    <w:rsid w:val="003843E7"/>
    <w:rsid w:val="003902E8"/>
    <w:rsid w:val="00393E46"/>
    <w:rsid w:val="003944EE"/>
    <w:rsid w:val="003B1398"/>
    <w:rsid w:val="003C0802"/>
    <w:rsid w:val="003C2AAF"/>
    <w:rsid w:val="003C421F"/>
    <w:rsid w:val="003C5BEB"/>
    <w:rsid w:val="003D316E"/>
    <w:rsid w:val="003D4F32"/>
    <w:rsid w:val="003D6934"/>
    <w:rsid w:val="003E6065"/>
    <w:rsid w:val="003F2C2D"/>
    <w:rsid w:val="003F4858"/>
    <w:rsid w:val="004106A2"/>
    <w:rsid w:val="004160D4"/>
    <w:rsid w:val="00420C1F"/>
    <w:rsid w:val="004350B9"/>
    <w:rsid w:val="00440D21"/>
    <w:rsid w:val="004442F9"/>
    <w:rsid w:val="004502E8"/>
    <w:rsid w:val="00450E9F"/>
    <w:rsid w:val="0045602E"/>
    <w:rsid w:val="00460696"/>
    <w:rsid w:val="0046187A"/>
    <w:rsid w:val="004656C6"/>
    <w:rsid w:val="0046773F"/>
    <w:rsid w:val="00474F49"/>
    <w:rsid w:val="00480B8F"/>
    <w:rsid w:val="0048442C"/>
    <w:rsid w:val="004A11F7"/>
    <w:rsid w:val="004A4291"/>
    <w:rsid w:val="004A5F08"/>
    <w:rsid w:val="004A75A7"/>
    <w:rsid w:val="004A7DE4"/>
    <w:rsid w:val="004B10B6"/>
    <w:rsid w:val="004B4673"/>
    <w:rsid w:val="004B5AFF"/>
    <w:rsid w:val="004C2EFF"/>
    <w:rsid w:val="004D05C7"/>
    <w:rsid w:val="004D402B"/>
    <w:rsid w:val="004D5CD0"/>
    <w:rsid w:val="004E0364"/>
    <w:rsid w:val="004E18DF"/>
    <w:rsid w:val="004F0DA3"/>
    <w:rsid w:val="004F135D"/>
    <w:rsid w:val="004F15F8"/>
    <w:rsid w:val="00504B15"/>
    <w:rsid w:val="00507884"/>
    <w:rsid w:val="005108A2"/>
    <w:rsid w:val="005145F1"/>
    <w:rsid w:val="00515E2F"/>
    <w:rsid w:val="0052303F"/>
    <w:rsid w:val="00533BF6"/>
    <w:rsid w:val="00534695"/>
    <w:rsid w:val="005353B7"/>
    <w:rsid w:val="00543149"/>
    <w:rsid w:val="005441DA"/>
    <w:rsid w:val="00552517"/>
    <w:rsid w:val="005805DB"/>
    <w:rsid w:val="00582737"/>
    <w:rsid w:val="00586E8A"/>
    <w:rsid w:val="00590010"/>
    <w:rsid w:val="005A6A0A"/>
    <w:rsid w:val="005B0379"/>
    <w:rsid w:val="005B55A4"/>
    <w:rsid w:val="005B6822"/>
    <w:rsid w:val="005F0CA0"/>
    <w:rsid w:val="005F1D49"/>
    <w:rsid w:val="005F2D9D"/>
    <w:rsid w:val="005F7311"/>
    <w:rsid w:val="00600327"/>
    <w:rsid w:val="00603764"/>
    <w:rsid w:val="0061360F"/>
    <w:rsid w:val="006169A7"/>
    <w:rsid w:val="00621C51"/>
    <w:rsid w:val="00626D76"/>
    <w:rsid w:val="006278D0"/>
    <w:rsid w:val="00637AB4"/>
    <w:rsid w:val="0064191D"/>
    <w:rsid w:val="00642362"/>
    <w:rsid w:val="00643B32"/>
    <w:rsid w:val="00644E24"/>
    <w:rsid w:val="00650D03"/>
    <w:rsid w:val="0065229C"/>
    <w:rsid w:val="00654054"/>
    <w:rsid w:val="00654B7D"/>
    <w:rsid w:val="00665033"/>
    <w:rsid w:val="006679B5"/>
    <w:rsid w:val="00667D46"/>
    <w:rsid w:val="00673636"/>
    <w:rsid w:val="00675828"/>
    <w:rsid w:val="00675838"/>
    <w:rsid w:val="00676355"/>
    <w:rsid w:val="006800E2"/>
    <w:rsid w:val="00681234"/>
    <w:rsid w:val="00683E20"/>
    <w:rsid w:val="00687F2B"/>
    <w:rsid w:val="00692C84"/>
    <w:rsid w:val="00693AA5"/>
    <w:rsid w:val="006973EE"/>
    <w:rsid w:val="006A28D1"/>
    <w:rsid w:val="006B0880"/>
    <w:rsid w:val="006B32E5"/>
    <w:rsid w:val="006B351B"/>
    <w:rsid w:val="006B3F0A"/>
    <w:rsid w:val="006B559C"/>
    <w:rsid w:val="006C6363"/>
    <w:rsid w:val="006D6609"/>
    <w:rsid w:val="006D6983"/>
    <w:rsid w:val="006E0EE9"/>
    <w:rsid w:val="006E5B82"/>
    <w:rsid w:val="006F134F"/>
    <w:rsid w:val="006F1D10"/>
    <w:rsid w:val="007126A5"/>
    <w:rsid w:val="00713EE6"/>
    <w:rsid w:val="00714461"/>
    <w:rsid w:val="007252C5"/>
    <w:rsid w:val="007306EF"/>
    <w:rsid w:val="00732D59"/>
    <w:rsid w:val="007352C6"/>
    <w:rsid w:val="00743361"/>
    <w:rsid w:val="00744D74"/>
    <w:rsid w:val="0074636E"/>
    <w:rsid w:val="00746CC6"/>
    <w:rsid w:val="00775A82"/>
    <w:rsid w:val="00780459"/>
    <w:rsid w:val="00794657"/>
    <w:rsid w:val="00797FFD"/>
    <w:rsid w:val="007A05B4"/>
    <w:rsid w:val="007A24C5"/>
    <w:rsid w:val="007A27F2"/>
    <w:rsid w:val="007A535C"/>
    <w:rsid w:val="007A6345"/>
    <w:rsid w:val="007A6E94"/>
    <w:rsid w:val="007B0E1D"/>
    <w:rsid w:val="007C1E70"/>
    <w:rsid w:val="007C22FA"/>
    <w:rsid w:val="007C674B"/>
    <w:rsid w:val="007E2053"/>
    <w:rsid w:val="007E30F2"/>
    <w:rsid w:val="007E5627"/>
    <w:rsid w:val="007F23C9"/>
    <w:rsid w:val="008018D9"/>
    <w:rsid w:val="00814268"/>
    <w:rsid w:val="008162E2"/>
    <w:rsid w:val="00817E45"/>
    <w:rsid w:val="00820721"/>
    <w:rsid w:val="00820FCE"/>
    <w:rsid w:val="008228D7"/>
    <w:rsid w:val="00830ABA"/>
    <w:rsid w:val="008319E2"/>
    <w:rsid w:val="00833A7E"/>
    <w:rsid w:val="0084219D"/>
    <w:rsid w:val="00844BC0"/>
    <w:rsid w:val="00855E7E"/>
    <w:rsid w:val="00860642"/>
    <w:rsid w:val="00884AA4"/>
    <w:rsid w:val="008863D4"/>
    <w:rsid w:val="0088663F"/>
    <w:rsid w:val="008939CD"/>
    <w:rsid w:val="008943DF"/>
    <w:rsid w:val="00894D51"/>
    <w:rsid w:val="0089644F"/>
    <w:rsid w:val="00897C5F"/>
    <w:rsid w:val="008A2E86"/>
    <w:rsid w:val="008B56C1"/>
    <w:rsid w:val="008B6AD4"/>
    <w:rsid w:val="008C615D"/>
    <w:rsid w:val="008C66C3"/>
    <w:rsid w:val="008D35D0"/>
    <w:rsid w:val="008F43A6"/>
    <w:rsid w:val="008F67AD"/>
    <w:rsid w:val="0090367E"/>
    <w:rsid w:val="0090527F"/>
    <w:rsid w:val="00912EE8"/>
    <w:rsid w:val="0092287E"/>
    <w:rsid w:val="00924F5D"/>
    <w:rsid w:val="00930511"/>
    <w:rsid w:val="00930C59"/>
    <w:rsid w:val="00935043"/>
    <w:rsid w:val="00935A13"/>
    <w:rsid w:val="00935AFE"/>
    <w:rsid w:val="009448D7"/>
    <w:rsid w:val="009526E5"/>
    <w:rsid w:val="00964D03"/>
    <w:rsid w:val="00964F02"/>
    <w:rsid w:val="00965706"/>
    <w:rsid w:val="00971C86"/>
    <w:rsid w:val="00981291"/>
    <w:rsid w:val="00984B48"/>
    <w:rsid w:val="00987B32"/>
    <w:rsid w:val="009A040D"/>
    <w:rsid w:val="009A061C"/>
    <w:rsid w:val="009A1EE8"/>
    <w:rsid w:val="009B165C"/>
    <w:rsid w:val="009B487D"/>
    <w:rsid w:val="009B78DC"/>
    <w:rsid w:val="009C0EF5"/>
    <w:rsid w:val="009C546E"/>
    <w:rsid w:val="009C5712"/>
    <w:rsid w:val="009C7EEF"/>
    <w:rsid w:val="009D1A60"/>
    <w:rsid w:val="009D464A"/>
    <w:rsid w:val="009E3B85"/>
    <w:rsid w:val="009F276A"/>
    <w:rsid w:val="009F3E3E"/>
    <w:rsid w:val="00A00683"/>
    <w:rsid w:val="00A059EF"/>
    <w:rsid w:val="00A07ADC"/>
    <w:rsid w:val="00A13583"/>
    <w:rsid w:val="00A169AF"/>
    <w:rsid w:val="00A17066"/>
    <w:rsid w:val="00A17B01"/>
    <w:rsid w:val="00A25417"/>
    <w:rsid w:val="00A33CAD"/>
    <w:rsid w:val="00A36D69"/>
    <w:rsid w:val="00A422FA"/>
    <w:rsid w:val="00A45673"/>
    <w:rsid w:val="00A52022"/>
    <w:rsid w:val="00A6406F"/>
    <w:rsid w:val="00A66934"/>
    <w:rsid w:val="00A71393"/>
    <w:rsid w:val="00A71FF4"/>
    <w:rsid w:val="00A827DE"/>
    <w:rsid w:val="00A90B0E"/>
    <w:rsid w:val="00A9376A"/>
    <w:rsid w:val="00A95A67"/>
    <w:rsid w:val="00AA1124"/>
    <w:rsid w:val="00AB59EE"/>
    <w:rsid w:val="00AB5BA5"/>
    <w:rsid w:val="00AC6D23"/>
    <w:rsid w:val="00AD31A9"/>
    <w:rsid w:val="00AD5644"/>
    <w:rsid w:val="00AD60C8"/>
    <w:rsid w:val="00AD75C4"/>
    <w:rsid w:val="00AE2C50"/>
    <w:rsid w:val="00AE5AC8"/>
    <w:rsid w:val="00AE5F84"/>
    <w:rsid w:val="00AE76DE"/>
    <w:rsid w:val="00AF216F"/>
    <w:rsid w:val="00B0392F"/>
    <w:rsid w:val="00B04006"/>
    <w:rsid w:val="00B061F9"/>
    <w:rsid w:val="00B125A0"/>
    <w:rsid w:val="00B15510"/>
    <w:rsid w:val="00B2246E"/>
    <w:rsid w:val="00B32109"/>
    <w:rsid w:val="00B32EF1"/>
    <w:rsid w:val="00B36C1F"/>
    <w:rsid w:val="00B42EE5"/>
    <w:rsid w:val="00B449CC"/>
    <w:rsid w:val="00B45D73"/>
    <w:rsid w:val="00B55331"/>
    <w:rsid w:val="00B57369"/>
    <w:rsid w:val="00B61F10"/>
    <w:rsid w:val="00B6481F"/>
    <w:rsid w:val="00B71F7F"/>
    <w:rsid w:val="00B73CC2"/>
    <w:rsid w:val="00B77F15"/>
    <w:rsid w:val="00B8648A"/>
    <w:rsid w:val="00B871C0"/>
    <w:rsid w:val="00B92475"/>
    <w:rsid w:val="00B92FF5"/>
    <w:rsid w:val="00B9466D"/>
    <w:rsid w:val="00B96AE1"/>
    <w:rsid w:val="00B96EA3"/>
    <w:rsid w:val="00BA5D22"/>
    <w:rsid w:val="00BA6217"/>
    <w:rsid w:val="00BB2C76"/>
    <w:rsid w:val="00BB4E34"/>
    <w:rsid w:val="00BB78D5"/>
    <w:rsid w:val="00BC2B29"/>
    <w:rsid w:val="00BC7214"/>
    <w:rsid w:val="00BD178D"/>
    <w:rsid w:val="00BD760F"/>
    <w:rsid w:val="00BD7F6B"/>
    <w:rsid w:val="00BE18AE"/>
    <w:rsid w:val="00BE371E"/>
    <w:rsid w:val="00C0074A"/>
    <w:rsid w:val="00C0223B"/>
    <w:rsid w:val="00C14FB7"/>
    <w:rsid w:val="00C15ED5"/>
    <w:rsid w:val="00C25D99"/>
    <w:rsid w:val="00C302AB"/>
    <w:rsid w:val="00C31279"/>
    <w:rsid w:val="00C316B6"/>
    <w:rsid w:val="00C31E8D"/>
    <w:rsid w:val="00C33CCD"/>
    <w:rsid w:val="00C42533"/>
    <w:rsid w:val="00C631A9"/>
    <w:rsid w:val="00C71667"/>
    <w:rsid w:val="00C718AA"/>
    <w:rsid w:val="00C72180"/>
    <w:rsid w:val="00C74F7C"/>
    <w:rsid w:val="00C75EDE"/>
    <w:rsid w:val="00C77C53"/>
    <w:rsid w:val="00C77C54"/>
    <w:rsid w:val="00C8196F"/>
    <w:rsid w:val="00C83393"/>
    <w:rsid w:val="00C83DD4"/>
    <w:rsid w:val="00C842BD"/>
    <w:rsid w:val="00C92A58"/>
    <w:rsid w:val="00C968C8"/>
    <w:rsid w:val="00C97341"/>
    <w:rsid w:val="00C9794B"/>
    <w:rsid w:val="00CA2208"/>
    <w:rsid w:val="00CA3861"/>
    <w:rsid w:val="00CB19BA"/>
    <w:rsid w:val="00CB7945"/>
    <w:rsid w:val="00CC2E11"/>
    <w:rsid w:val="00CC68BA"/>
    <w:rsid w:val="00CD11B7"/>
    <w:rsid w:val="00CE02C0"/>
    <w:rsid w:val="00CE4893"/>
    <w:rsid w:val="00CE671D"/>
    <w:rsid w:val="00CF74A7"/>
    <w:rsid w:val="00D30133"/>
    <w:rsid w:val="00D31F30"/>
    <w:rsid w:val="00D37795"/>
    <w:rsid w:val="00D519B3"/>
    <w:rsid w:val="00D538B3"/>
    <w:rsid w:val="00D56A3A"/>
    <w:rsid w:val="00D629EF"/>
    <w:rsid w:val="00D67330"/>
    <w:rsid w:val="00D73769"/>
    <w:rsid w:val="00D76F72"/>
    <w:rsid w:val="00D8070F"/>
    <w:rsid w:val="00D85BFA"/>
    <w:rsid w:val="00D86234"/>
    <w:rsid w:val="00D87AC0"/>
    <w:rsid w:val="00D87CF6"/>
    <w:rsid w:val="00D92F45"/>
    <w:rsid w:val="00DA2482"/>
    <w:rsid w:val="00DA5090"/>
    <w:rsid w:val="00DA6F30"/>
    <w:rsid w:val="00DA788B"/>
    <w:rsid w:val="00DB0D8E"/>
    <w:rsid w:val="00DB2806"/>
    <w:rsid w:val="00DB2C1F"/>
    <w:rsid w:val="00DB6B8E"/>
    <w:rsid w:val="00DB753E"/>
    <w:rsid w:val="00DC3587"/>
    <w:rsid w:val="00DC63B7"/>
    <w:rsid w:val="00DD65C6"/>
    <w:rsid w:val="00DE0C9D"/>
    <w:rsid w:val="00DE2830"/>
    <w:rsid w:val="00DE62EA"/>
    <w:rsid w:val="00DE66E5"/>
    <w:rsid w:val="00DE6AF7"/>
    <w:rsid w:val="00DE6E89"/>
    <w:rsid w:val="00DE7818"/>
    <w:rsid w:val="00E00FA9"/>
    <w:rsid w:val="00E17490"/>
    <w:rsid w:val="00E34BA8"/>
    <w:rsid w:val="00E37369"/>
    <w:rsid w:val="00E41579"/>
    <w:rsid w:val="00E429DF"/>
    <w:rsid w:val="00E53EDD"/>
    <w:rsid w:val="00E54271"/>
    <w:rsid w:val="00E54A75"/>
    <w:rsid w:val="00E61A51"/>
    <w:rsid w:val="00E672CA"/>
    <w:rsid w:val="00E67C1B"/>
    <w:rsid w:val="00E719B4"/>
    <w:rsid w:val="00E729EB"/>
    <w:rsid w:val="00E87CDC"/>
    <w:rsid w:val="00E914AA"/>
    <w:rsid w:val="00E95854"/>
    <w:rsid w:val="00EA559A"/>
    <w:rsid w:val="00EC12C8"/>
    <w:rsid w:val="00EC3A80"/>
    <w:rsid w:val="00ED02EC"/>
    <w:rsid w:val="00ED0B25"/>
    <w:rsid w:val="00ED1B6A"/>
    <w:rsid w:val="00ED2207"/>
    <w:rsid w:val="00ED3EB5"/>
    <w:rsid w:val="00ED451A"/>
    <w:rsid w:val="00ED7117"/>
    <w:rsid w:val="00EE39F5"/>
    <w:rsid w:val="00EE61AB"/>
    <w:rsid w:val="00EF0771"/>
    <w:rsid w:val="00EF7C84"/>
    <w:rsid w:val="00F0031B"/>
    <w:rsid w:val="00F154AF"/>
    <w:rsid w:val="00F22FE0"/>
    <w:rsid w:val="00F244E8"/>
    <w:rsid w:val="00F27031"/>
    <w:rsid w:val="00F32845"/>
    <w:rsid w:val="00F37166"/>
    <w:rsid w:val="00F46195"/>
    <w:rsid w:val="00F50106"/>
    <w:rsid w:val="00F5250A"/>
    <w:rsid w:val="00F5377C"/>
    <w:rsid w:val="00F55EBA"/>
    <w:rsid w:val="00F56D90"/>
    <w:rsid w:val="00F70AED"/>
    <w:rsid w:val="00F749A3"/>
    <w:rsid w:val="00F86D00"/>
    <w:rsid w:val="00FA10D3"/>
    <w:rsid w:val="00FA3B65"/>
    <w:rsid w:val="00FA49A8"/>
    <w:rsid w:val="00FA5AC4"/>
    <w:rsid w:val="00FA63A1"/>
    <w:rsid w:val="00FA67C2"/>
    <w:rsid w:val="00FA6B12"/>
    <w:rsid w:val="00FA6E2E"/>
    <w:rsid w:val="00FB0339"/>
    <w:rsid w:val="00FB1CE6"/>
    <w:rsid w:val="00FB7523"/>
    <w:rsid w:val="00FD5DFB"/>
    <w:rsid w:val="00FE50B1"/>
    <w:rsid w:val="00FF0ED1"/>
    <w:rsid w:val="00FF5477"/>
    <w:rsid w:val="00FF74D4"/>
    <w:rsid w:val="00FF7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F73"/>
  </w:style>
  <w:style w:type="paragraph" w:styleId="Heading1">
    <w:name w:val="heading 1"/>
    <w:basedOn w:val="Normal"/>
    <w:next w:val="Normal"/>
    <w:qFormat/>
    <w:rsid w:val="00206F73"/>
    <w:pPr>
      <w:keepNext/>
      <w:outlineLvl w:val="0"/>
    </w:pPr>
    <w:rPr>
      <w:b/>
      <w:bCs/>
      <w:sz w:val="22"/>
    </w:rPr>
  </w:style>
  <w:style w:type="paragraph" w:styleId="Heading2">
    <w:name w:val="heading 2"/>
    <w:basedOn w:val="Normal"/>
    <w:next w:val="Normal"/>
    <w:qFormat/>
    <w:rsid w:val="00206F73"/>
    <w:pPr>
      <w:keepNext/>
      <w:tabs>
        <w:tab w:val="left" w:pos="264"/>
        <w:tab w:val="right" w:pos="8640"/>
        <w:tab w:val="left" w:pos="9413"/>
      </w:tabs>
      <w:outlineLvl w:val="1"/>
    </w:pPr>
    <w:rPr>
      <w:rFonts w:ascii="Arial" w:hAnsi="Arial"/>
      <w:b/>
      <w:snapToGrid w:val="0"/>
      <w:color w:val="000000"/>
      <w:sz w:val="22"/>
    </w:rPr>
  </w:style>
  <w:style w:type="paragraph" w:styleId="Heading3">
    <w:name w:val="heading 3"/>
    <w:basedOn w:val="Normal"/>
    <w:next w:val="Normal"/>
    <w:qFormat/>
    <w:rsid w:val="00206F73"/>
    <w:pPr>
      <w:keepNext/>
      <w:jc w:val="center"/>
      <w:outlineLvl w:val="2"/>
    </w:pPr>
    <w:rPr>
      <w:b/>
      <w:sz w:val="24"/>
    </w:rPr>
  </w:style>
  <w:style w:type="paragraph" w:styleId="Heading4">
    <w:name w:val="heading 4"/>
    <w:basedOn w:val="Normal"/>
    <w:next w:val="Normal"/>
    <w:qFormat/>
    <w:rsid w:val="00206F73"/>
    <w:pPr>
      <w:keepNext/>
      <w:tabs>
        <w:tab w:val="left" w:pos="264"/>
        <w:tab w:val="right" w:pos="8640"/>
        <w:tab w:val="right" w:pos="9413"/>
      </w:tabs>
      <w:outlineLvl w:val="3"/>
    </w:pPr>
    <w:rPr>
      <w:b/>
      <w:sz w:val="24"/>
    </w:rPr>
  </w:style>
  <w:style w:type="paragraph" w:styleId="Heading5">
    <w:name w:val="heading 5"/>
    <w:basedOn w:val="Normal"/>
    <w:next w:val="Normal"/>
    <w:qFormat/>
    <w:rsid w:val="00206F73"/>
    <w:pPr>
      <w:keepNext/>
      <w:tabs>
        <w:tab w:val="left" w:pos="264"/>
        <w:tab w:val="left" w:pos="8138"/>
        <w:tab w:val="left" w:pos="9413"/>
      </w:tabs>
      <w:outlineLvl w:val="4"/>
    </w:pPr>
    <w:rPr>
      <w:rFonts w:ascii="Arial" w:hAnsi="Arial"/>
      <w:b/>
      <w:snapToGrid w:val="0"/>
      <w:color w:val="000000"/>
      <w:sz w:val="21"/>
    </w:rPr>
  </w:style>
  <w:style w:type="paragraph" w:styleId="Heading6">
    <w:name w:val="heading 6"/>
    <w:basedOn w:val="Normal"/>
    <w:next w:val="Normal"/>
    <w:qFormat/>
    <w:rsid w:val="00206F73"/>
    <w:pPr>
      <w:keepNext/>
      <w:tabs>
        <w:tab w:val="right" w:pos="8640"/>
      </w:tabs>
      <w:outlineLvl w:val="5"/>
    </w:pPr>
    <w:rPr>
      <w:snapToGrid w:val="0"/>
      <w:sz w:val="24"/>
    </w:rPr>
  </w:style>
  <w:style w:type="paragraph" w:styleId="Heading8">
    <w:name w:val="heading 8"/>
    <w:basedOn w:val="Normal"/>
    <w:next w:val="Normal"/>
    <w:qFormat/>
    <w:rsid w:val="00206F73"/>
    <w:pPr>
      <w:keepNext/>
      <w:tabs>
        <w:tab w:val="left" w:pos="360"/>
        <w:tab w:val="left" w:pos="720"/>
        <w:tab w:val="right" w:pos="7740"/>
      </w:tabs>
      <w:ind w:left="720" w:hanging="720"/>
      <w:outlineLvl w:val="7"/>
    </w:pPr>
    <w:rPr>
      <w:b/>
      <w:sz w:val="24"/>
    </w:rPr>
  </w:style>
  <w:style w:type="paragraph" w:styleId="Heading9">
    <w:name w:val="heading 9"/>
    <w:basedOn w:val="Normal"/>
    <w:next w:val="Normal"/>
    <w:qFormat/>
    <w:rsid w:val="00206F73"/>
    <w:pPr>
      <w:keepNext/>
      <w:tabs>
        <w:tab w:val="left" w:pos="630"/>
        <w:tab w:val="right" w:pos="7200"/>
        <w:tab w:val="left" w:pos="7920"/>
      </w:tabs>
      <w:ind w:left="-90" w:right="162" w:firstLine="9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6F73"/>
    <w:pPr>
      <w:tabs>
        <w:tab w:val="left" w:pos="-1080"/>
        <w:tab w:val="left" w:pos="-720"/>
        <w:tab w:val="left" w:pos="540"/>
        <w:tab w:val="left" w:pos="1440"/>
        <w:tab w:val="left" w:pos="4230"/>
        <w:tab w:val="left"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28"/>
    </w:rPr>
  </w:style>
  <w:style w:type="paragraph" w:styleId="BodyText">
    <w:name w:val="Body Text"/>
    <w:basedOn w:val="Normal"/>
    <w:link w:val="BodyTextChar"/>
    <w:rsid w:val="00206F73"/>
    <w:pPr>
      <w:tabs>
        <w:tab w:val="left" w:pos="-1080"/>
        <w:tab w:val="left" w:pos="-720"/>
        <w:tab w:val="left" w:pos="360"/>
        <w:tab w:val="left" w:pos="1440"/>
        <w:tab w:val="left" w:pos="2160"/>
        <w:tab w:val="left" w:pos="2880"/>
        <w:tab w:val="left" w:pos="3600"/>
        <w:tab w:val="left" w:pos="4320"/>
        <w:tab w:val="left" w:pos="5040"/>
        <w:tab w:val="left" w:pos="6120"/>
        <w:tab w:val="left" w:pos="6840"/>
      </w:tabs>
    </w:pPr>
    <w:rPr>
      <w:sz w:val="23"/>
    </w:rPr>
  </w:style>
  <w:style w:type="paragraph" w:styleId="BodyTextIndent">
    <w:name w:val="Body Text Indent"/>
    <w:basedOn w:val="Normal"/>
    <w:rsid w:val="00206F73"/>
    <w:pPr>
      <w:spacing w:after="120"/>
      <w:ind w:left="360"/>
    </w:pPr>
  </w:style>
  <w:style w:type="paragraph" w:styleId="BodyText2">
    <w:name w:val="Body Text 2"/>
    <w:basedOn w:val="Normal"/>
    <w:rsid w:val="00206F73"/>
    <w:pPr>
      <w:spacing w:after="120" w:line="480" w:lineRule="auto"/>
    </w:pPr>
  </w:style>
  <w:style w:type="paragraph" w:styleId="Header">
    <w:name w:val="header"/>
    <w:basedOn w:val="Normal"/>
    <w:rsid w:val="00206F73"/>
    <w:pPr>
      <w:tabs>
        <w:tab w:val="center" w:pos="4320"/>
        <w:tab w:val="right" w:pos="8640"/>
      </w:tabs>
    </w:pPr>
  </w:style>
  <w:style w:type="paragraph" w:styleId="Footer">
    <w:name w:val="footer"/>
    <w:basedOn w:val="Normal"/>
    <w:rsid w:val="00206F73"/>
    <w:pPr>
      <w:tabs>
        <w:tab w:val="center" w:pos="4320"/>
        <w:tab w:val="right" w:pos="8640"/>
      </w:tabs>
    </w:pPr>
  </w:style>
  <w:style w:type="character" w:styleId="PageNumber">
    <w:name w:val="page number"/>
    <w:basedOn w:val="DefaultParagraphFont"/>
    <w:rsid w:val="00206F73"/>
  </w:style>
  <w:style w:type="paragraph" w:styleId="BalloonText">
    <w:name w:val="Balloon Text"/>
    <w:basedOn w:val="Normal"/>
    <w:semiHidden/>
    <w:rsid w:val="00206F73"/>
    <w:rPr>
      <w:rFonts w:ascii="Tahoma" w:hAnsi="Tahoma" w:cs="Tahoma"/>
      <w:sz w:val="16"/>
      <w:szCs w:val="16"/>
    </w:rPr>
  </w:style>
  <w:style w:type="paragraph" w:styleId="BodyTextIndent2">
    <w:name w:val="Body Text Indent 2"/>
    <w:basedOn w:val="Normal"/>
    <w:rsid w:val="00206F73"/>
    <w:pPr>
      <w:autoSpaceDE w:val="0"/>
      <w:autoSpaceDN w:val="0"/>
      <w:adjustRightInd w:val="0"/>
      <w:ind w:firstLine="720"/>
      <w:jc w:val="both"/>
    </w:pPr>
    <w:rPr>
      <w:sz w:val="22"/>
      <w:szCs w:val="24"/>
    </w:rPr>
  </w:style>
  <w:style w:type="character" w:styleId="HTMLTypewriter">
    <w:name w:val="HTML Typewriter"/>
    <w:basedOn w:val="DefaultParagraphFont"/>
    <w:rsid w:val="00206F73"/>
    <w:rPr>
      <w:rFonts w:ascii="Arial Unicode MS" w:eastAsia="Arial Unicode MS" w:hAnsi="Arial Unicode MS" w:cs="Arial Unicode MS"/>
      <w:sz w:val="20"/>
      <w:szCs w:val="20"/>
    </w:rPr>
  </w:style>
  <w:style w:type="paragraph" w:customStyle="1" w:styleId="Default">
    <w:name w:val="Default"/>
    <w:rsid w:val="00C71667"/>
    <w:pPr>
      <w:autoSpaceDE w:val="0"/>
      <w:autoSpaceDN w:val="0"/>
      <w:adjustRightInd w:val="0"/>
    </w:pPr>
    <w:rPr>
      <w:rFonts w:ascii="Book Antiqua" w:hAnsi="Book Antiqua" w:cs="Book Antiqua"/>
      <w:color w:val="000000"/>
      <w:sz w:val="24"/>
      <w:szCs w:val="24"/>
    </w:rPr>
  </w:style>
  <w:style w:type="paragraph" w:styleId="ListParagraph">
    <w:name w:val="List Paragraph"/>
    <w:basedOn w:val="Normal"/>
    <w:uiPriority w:val="34"/>
    <w:qFormat/>
    <w:rsid w:val="00440D21"/>
    <w:pPr>
      <w:ind w:left="720"/>
    </w:pPr>
    <w:rPr>
      <w:spacing w:val="-5"/>
      <w:sz w:val="24"/>
    </w:rPr>
  </w:style>
  <w:style w:type="character" w:customStyle="1" w:styleId="style41">
    <w:name w:val="style41"/>
    <w:basedOn w:val="DefaultParagraphFont"/>
    <w:rsid w:val="005F2D9D"/>
    <w:rPr>
      <w:sz w:val="24"/>
      <w:szCs w:val="24"/>
    </w:rPr>
  </w:style>
  <w:style w:type="paragraph" w:styleId="NoSpacing">
    <w:name w:val="No Spacing"/>
    <w:uiPriority w:val="1"/>
    <w:qFormat/>
    <w:rsid w:val="00981291"/>
    <w:rPr>
      <w:rFonts w:asciiTheme="minorHAnsi" w:eastAsiaTheme="minorHAnsi" w:hAnsiTheme="minorHAnsi" w:cstheme="minorBidi"/>
      <w:sz w:val="22"/>
      <w:szCs w:val="22"/>
    </w:rPr>
  </w:style>
  <w:style w:type="table" w:styleId="TableGrid">
    <w:name w:val="Table Grid"/>
    <w:basedOn w:val="TableNormal"/>
    <w:uiPriority w:val="59"/>
    <w:rsid w:val="00EF7C8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77C53"/>
    <w:rPr>
      <w:sz w:val="23"/>
    </w:rPr>
  </w:style>
  <w:style w:type="paragraph" w:styleId="NormalWeb">
    <w:name w:val="Normal (Web)"/>
    <w:basedOn w:val="Normal"/>
    <w:uiPriority w:val="99"/>
    <w:unhideWhenUsed/>
    <w:rsid w:val="00A9376A"/>
    <w:pPr>
      <w:spacing w:before="100" w:beforeAutospacing="1" w:after="100" w:afterAutospacing="1"/>
    </w:pPr>
    <w:rPr>
      <w:sz w:val="24"/>
      <w:szCs w:val="24"/>
    </w:rPr>
  </w:style>
  <w:style w:type="character" w:styleId="Hyperlink">
    <w:name w:val="Hyperlink"/>
    <w:basedOn w:val="DefaultParagraphFont"/>
    <w:uiPriority w:val="99"/>
    <w:unhideWhenUsed/>
    <w:rsid w:val="00A9376A"/>
    <w:rPr>
      <w:color w:val="0000FF"/>
      <w:u w:val="single"/>
    </w:rPr>
  </w:style>
</w:styles>
</file>

<file path=word/webSettings.xml><?xml version="1.0" encoding="utf-8"?>
<w:webSettings xmlns:r="http://schemas.openxmlformats.org/officeDocument/2006/relationships" xmlns:w="http://schemas.openxmlformats.org/wordprocessingml/2006/main">
  <w:divs>
    <w:div w:id="26416974">
      <w:bodyDiv w:val="1"/>
      <w:marLeft w:val="0"/>
      <w:marRight w:val="0"/>
      <w:marTop w:val="0"/>
      <w:marBottom w:val="0"/>
      <w:divBdr>
        <w:top w:val="none" w:sz="0" w:space="0" w:color="auto"/>
        <w:left w:val="none" w:sz="0" w:space="0" w:color="auto"/>
        <w:bottom w:val="none" w:sz="0" w:space="0" w:color="auto"/>
        <w:right w:val="none" w:sz="0" w:space="0" w:color="auto"/>
      </w:divBdr>
    </w:div>
    <w:div w:id="461726774">
      <w:bodyDiv w:val="1"/>
      <w:marLeft w:val="0"/>
      <w:marRight w:val="0"/>
      <w:marTop w:val="0"/>
      <w:marBottom w:val="0"/>
      <w:divBdr>
        <w:top w:val="none" w:sz="0" w:space="0" w:color="auto"/>
        <w:left w:val="none" w:sz="0" w:space="0" w:color="auto"/>
        <w:bottom w:val="none" w:sz="0" w:space="0" w:color="auto"/>
        <w:right w:val="none" w:sz="0" w:space="0" w:color="auto"/>
      </w:divBdr>
    </w:div>
    <w:div w:id="831943781">
      <w:bodyDiv w:val="1"/>
      <w:marLeft w:val="0"/>
      <w:marRight w:val="0"/>
      <w:marTop w:val="0"/>
      <w:marBottom w:val="0"/>
      <w:divBdr>
        <w:top w:val="none" w:sz="0" w:space="0" w:color="auto"/>
        <w:left w:val="none" w:sz="0" w:space="0" w:color="auto"/>
        <w:bottom w:val="none" w:sz="0" w:space="0" w:color="auto"/>
        <w:right w:val="none" w:sz="0" w:space="0" w:color="auto"/>
      </w:divBdr>
    </w:div>
    <w:div w:id="1002857682">
      <w:bodyDiv w:val="1"/>
      <w:marLeft w:val="0"/>
      <w:marRight w:val="0"/>
      <w:marTop w:val="0"/>
      <w:marBottom w:val="0"/>
      <w:divBdr>
        <w:top w:val="none" w:sz="0" w:space="0" w:color="auto"/>
        <w:left w:val="none" w:sz="0" w:space="0" w:color="auto"/>
        <w:bottom w:val="none" w:sz="0" w:space="0" w:color="auto"/>
        <w:right w:val="none" w:sz="0" w:space="0" w:color="auto"/>
      </w:divBdr>
    </w:div>
    <w:div w:id="1063988010">
      <w:bodyDiv w:val="1"/>
      <w:marLeft w:val="0"/>
      <w:marRight w:val="0"/>
      <w:marTop w:val="0"/>
      <w:marBottom w:val="0"/>
      <w:divBdr>
        <w:top w:val="none" w:sz="0" w:space="0" w:color="auto"/>
        <w:left w:val="none" w:sz="0" w:space="0" w:color="auto"/>
        <w:bottom w:val="none" w:sz="0" w:space="0" w:color="auto"/>
        <w:right w:val="none" w:sz="0" w:space="0" w:color="auto"/>
      </w:divBdr>
    </w:div>
    <w:div w:id="1144200200">
      <w:bodyDiv w:val="1"/>
      <w:marLeft w:val="0"/>
      <w:marRight w:val="0"/>
      <w:marTop w:val="0"/>
      <w:marBottom w:val="0"/>
      <w:divBdr>
        <w:top w:val="none" w:sz="0" w:space="0" w:color="auto"/>
        <w:left w:val="none" w:sz="0" w:space="0" w:color="auto"/>
        <w:bottom w:val="none" w:sz="0" w:space="0" w:color="auto"/>
        <w:right w:val="none" w:sz="0" w:space="0" w:color="auto"/>
      </w:divBdr>
    </w:div>
    <w:div w:id="1616519383">
      <w:bodyDiv w:val="1"/>
      <w:marLeft w:val="0"/>
      <w:marRight w:val="0"/>
      <w:marTop w:val="0"/>
      <w:marBottom w:val="0"/>
      <w:divBdr>
        <w:top w:val="none" w:sz="0" w:space="0" w:color="auto"/>
        <w:left w:val="none" w:sz="0" w:space="0" w:color="auto"/>
        <w:bottom w:val="none" w:sz="0" w:space="0" w:color="auto"/>
        <w:right w:val="none" w:sz="0" w:space="0" w:color="auto"/>
      </w:divBdr>
    </w:div>
    <w:div w:id="1641963244">
      <w:bodyDiv w:val="1"/>
      <w:marLeft w:val="0"/>
      <w:marRight w:val="0"/>
      <w:marTop w:val="0"/>
      <w:marBottom w:val="0"/>
      <w:divBdr>
        <w:top w:val="none" w:sz="0" w:space="0" w:color="auto"/>
        <w:left w:val="none" w:sz="0" w:space="0" w:color="auto"/>
        <w:bottom w:val="none" w:sz="0" w:space="0" w:color="auto"/>
        <w:right w:val="none" w:sz="0" w:space="0" w:color="auto"/>
      </w:divBdr>
    </w:div>
    <w:div w:id="21463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scluster2.ad.wku.edu\shared\CUSTOM-SHARED\FA-CON-BUDGET\FY%20Budgets\2010-11%20Budget\Graph%202%20-%20Revenue%20by%20Source%20FY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scluster2.ad.wku.edu\shared\CUSTOM-SHARED\FA-CON-BUDGET\FY%20Budgets\2010-11%20Budget\Graph%203%20-%20Expenditures%20by%20Major%20Classification%20FY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cluster2.ad.wku.edu\shared\CUSTOM-SHARED\FA-CON-BUDGET\FY%20Budgets\2010-11%20Budget\Graph%204%20-%20Budget%20Expenditures%20by%20Organizational%20Area%20FY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Revenue by Source</a:t>
            </a:r>
          </a:p>
        </c:rich>
      </c:tx>
    </c:title>
    <c:view3D>
      <c:rotX val="50"/>
      <c:rotY val="110"/>
      <c:perspective val="30"/>
    </c:view3D>
    <c:plotArea>
      <c:layout>
        <c:manualLayout>
          <c:layoutTarget val="inner"/>
          <c:xMode val="edge"/>
          <c:yMode val="edge"/>
          <c:x val="0.20732762893802362"/>
          <c:y val="0.2663733467856908"/>
          <c:w val="0.59354685165961962"/>
          <c:h val="0.61106397911960153"/>
        </c:manualLayout>
      </c:layout>
      <c:pie3DChart>
        <c:varyColors val="1"/>
        <c:ser>
          <c:idx val="0"/>
          <c:order val="0"/>
          <c:dLbls>
            <c:dLbl>
              <c:idx val="0"/>
              <c:layout>
                <c:manualLayout>
                  <c:x val="1.0319917440660475E-2"/>
                  <c:y val="-2.2284122562674237E-2"/>
                </c:manualLayout>
              </c:layout>
              <c:dLblPos val="bestFit"/>
              <c:showCatName val="1"/>
              <c:showPercent val="1"/>
            </c:dLbl>
            <c:dLbl>
              <c:idx val="1"/>
              <c:layout>
                <c:manualLayout>
                  <c:x val="1.4447884416924682E-2"/>
                  <c:y val="0"/>
                </c:manualLayout>
              </c:layout>
              <c:dLblPos val="bestFit"/>
              <c:showCatName val="1"/>
              <c:showPercent val="1"/>
            </c:dLbl>
            <c:dLbl>
              <c:idx val="2"/>
              <c:layout>
                <c:manualLayout>
                  <c:x val="-4.5407636738906312E-2"/>
                  <c:y val="0"/>
                </c:manualLayout>
              </c:layout>
              <c:dLblPos val="bestFit"/>
              <c:showCatName val="1"/>
              <c:showPercent val="1"/>
            </c:dLbl>
            <c:numFmt formatCode="0.0%" sourceLinked="0"/>
            <c:dLblPos val="outEnd"/>
            <c:showCatName val="1"/>
            <c:showPercent val="1"/>
          </c:dLbls>
          <c:cat>
            <c:strRef>
              <c:f>'10-11'!$A$12:$A$18</c:f>
              <c:strCache>
                <c:ptCount val="7"/>
                <c:pt idx="0">
                  <c:v>SFS Funds*</c:v>
                </c:pt>
                <c:pt idx="1">
                  <c:v>Self Generated</c:v>
                </c:pt>
                <c:pt idx="2">
                  <c:v>Designated State Funding</c:v>
                </c:pt>
                <c:pt idx="3">
                  <c:v>Restricted Funds</c:v>
                </c:pt>
                <c:pt idx="4">
                  <c:v>Auxiliary Enterprises</c:v>
                </c:pt>
                <c:pt idx="5">
                  <c:v>State Appropriation, Operating</c:v>
                </c:pt>
                <c:pt idx="6">
                  <c:v>Tuition &amp; Fees</c:v>
                </c:pt>
              </c:strCache>
            </c:strRef>
          </c:cat>
          <c:val>
            <c:numRef>
              <c:f>'10-11'!$B$12:$B$18</c:f>
              <c:numCache>
                <c:formatCode>0.0%</c:formatCode>
                <c:ptCount val="7"/>
                <c:pt idx="0">
                  <c:v>1.2000000000000019E-2</c:v>
                </c:pt>
                <c:pt idx="1">
                  <c:v>0.10700000000000011</c:v>
                </c:pt>
                <c:pt idx="2">
                  <c:v>8.0000000000000158E-3</c:v>
                </c:pt>
                <c:pt idx="3">
                  <c:v>0.21900000000000025</c:v>
                </c:pt>
                <c:pt idx="4">
                  <c:v>6.0000000000000095E-2</c:v>
                </c:pt>
                <c:pt idx="5">
                  <c:v>0.18600000000000025</c:v>
                </c:pt>
                <c:pt idx="6">
                  <c:v>0.40800000000000008</c:v>
                </c:pt>
              </c:numCache>
            </c:numRef>
          </c:val>
        </c:ser>
        <c:ser>
          <c:idx val="1"/>
          <c:order val="1"/>
          <c:explosion val="25"/>
          <c:dLbls>
            <c:numFmt formatCode="0%" sourceLinked="0"/>
            <c:showCatName val="1"/>
            <c:showPercent val="1"/>
          </c:dLbls>
          <c:cat>
            <c:strRef>
              <c:f>'10-11'!$A$12:$A$18</c:f>
              <c:strCache>
                <c:ptCount val="7"/>
                <c:pt idx="0">
                  <c:v>SFS Funds*</c:v>
                </c:pt>
                <c:pt idx="1">
                  <c:v>Self Generated</c:v>
                </c:pt>
                <c:pt idx="2">
                  <c:v>Designated State Funding</c:v>
                </c:pt>
                <c:pt idx="3">
                  <c:v>Restricted Funds</c:v>
                </c:pt>
                <c:pt idx="4">
                  <c:v>Auxiliary Enterprises</c:v>
                </c:pt>
                <c:pt idx="5">
                  <c:v>State Appropriation, Operating</c:v>
                </c:pt>
                <c:pt idx="6">
                  <c:v>Tuition &amp; Fees</c:v>
                </c:pt>
              </c:strCache>
            </c:strRef>
          </c:cat>
          <c:val>
            <c:numRef>
              <c:f>'10-11'!$C$12:$C$18</c:f>
              <c:numCache>
                <c:formatCode>_(* #,##0_);_(* \(#,##0\);_(* "-"??_);_(@_)</c:formatCode>
                <c:ptCount val="7"/>
                <c:pt idx="0">
                  <c:v>4410900</c:v>
                </c:pt>
                <c:pt idx="1">
                  <c:v>40915300</c:v>
                </c:pt>
                <c:pt idx="2">
                  <c:v>3207400</c:v>
                </c:pt>
                <c:pt idx="3">
                  <c:v>83376000</c:v>
                </c:pt>
                <c:pt idx="4">
                  <c:v>23038000</c:v>
                </c:pt>
                <c:pt idx="5">
                  <c:v>71090400</c:v>
                </c:pt>
                <c:pt idx="6">
                  <c:v>155685000</c:v>
                </c:pt>
              </c:numCache>
            </c:numRef>
          </c:val>
        </c:ser>
        <c:dLbls>
          <c:showCatName val="1"/>
          <c:showPercent val="1"/>
        </c:dLbls>
      </c:pie3DChart>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Unrestricted E&amp;G
Expenditures by Major Classification</a:t>
            </a:r>
          </a:p>
        </c:rich>
      </c:tx>
    </c:title>
    <c:view3D>
      <c:rotX val="40"/>
      <c:rotY val="124"/>
      <c:perspective val="30"/>
    </c:view3D>
    <c:plotArea>
      <c:layout>
        <c:manualLayout>
          <c:layoutTarget val="inner"/>
          <c:xMode val="edge"/>
          <c:yMode val="edge"/>
          <c:x val="0.2093915993619769"/>
          <c:y val="0.3889360208803983"/>
          <c:w val="0.59354685165961951"/>
          <c:h val="0.61106397911960153"/>
        </c:manualLayout>
      </c:layout>
      <c:pie3DChart>
        <c:varyColors val="1"/>
        <c:ser>
          <c:idx val="0"/>
          <c:order val="0"/>
          <c:dLbls>
            <c:dLbl>
              <c:idx val="4"/>
              <c:layout>
                <c:manualLayout>
                  <c:x val="0"/>
                  <c:y val="-7.7994428969359333E-2"/>
                </c:manualLayout>
              </c:layout>
              <c:dLblPos val="bestFit"/>
              <c:showCatName val="1"/>
              <c:showPercent val="1"/>
            </c:dLbl>
            <c:dLbl>
              <c:idx val="5"/>
              <c:layout>
                <c:manualLayout>
                  <c:x val="0"/>
                  <c:y val="-4.4568245125348363E-2"/>
                </c:manualLayout>
              </c:layout>
              <c:dLblPos val="outEnd"/>
              <c:showCatName val="1"/>
              <c:showPercent val="1"/>
            </c:dLbl>
            <c:numFmt formatCode="0.0%" sourceLinked="0"/>
            <c:txPr>
              <a:bodyPr/>
              <a:lstStyle/>
              <a:p>
                <a:pPr>
                  <a:defRPr b="1"/>
                </a:pPr>
                <a:endParaRPr lang="en-US"/>
              </a:p>
            </c:txPr>
            <c:dLblPos val="outEnd"/>
            <c:showCatName val="1"/>
            <c:showPercent val="1"/>
          </c:dLbls>
          <c:cat>
            <c:strRef>
              <c:f>'10-11'!$A$11:$A$16</c:f>
              <c:strCache>
                <c:ptCount val="6"/>
                <c:pt idx="0">
                  <c:v>Personnel</c:v>
                </c:pt>
                <c:pt idx="1">
                  <c:v>Debt Service</c:v>
                </c:pt>
                <c:pt idx="2">
                  <c:v>Utilities</c:v>
                </c:pt>
                <c:pt idx="3">
                  <c:v>Operating Expenses*</c:v>
                </c:pt>
                <c:pt idx="4">
                  <c:v>Capital Outlay</c:v>
                </c:pt>
                <c:pt idx="5">
                  <c:v>Student Aid</c:v>
                </c:pt>
              </c:strCache>
            </c:strRef>
          </c:cat>
          <c:val>
            <c:numRef>
              <c:f>'10-11'!$B$11:$B$16</c:f>
              <c:numCache>
                <c:formatCode>0.0%</c:formatCode>
                <c:ptCount val="6"/>
                <c:pt idx="0">
                  <c:v>0.58557930823435056</c:v>
                </c:pt>
                <c:pt idx="1">
                  <c:v>4.7073501069221341E-2</c:v>
                </c:pt>
                <c:pt idx="2">
                  <c:v>3.4337553493361532E-2</c:v>
                </c:pt>
                <c:pt idx="3">
                  <c:v>0.23945128444976208</c:v>
                </c:pt>
                <c:pt idx="4">
                  <c:v>1.8663320266919595E-2</c:v>
                </c:pt>
                <c:pt idx="5">
                  <c:v>7.4895032486385113E-2</c:v>
                </c:pt>
              </c:numCache>
            </c:numRef>
          </c:val>
        </c:ser>
        <c:ser>
          <c:idx val="1"/>
          <c:order val="1"/>
          <c:explosion val="25"/>
          <c:dLbls>
            <c:numFmt formatCode="0%" sourceLinked="0"/>
            <c:dLblPos val="outEnd"/>
            <c:showCatName val="1"/>
            <c:showPercent val="1"/>
          </c:dLbls>
          <c:cat>
            <c:strRef>
              <c:f>'10-11'!$A$11:$A$16</c:f>
              <c:strCache>
                <c:ptCount val="6"/>
                <c:pt idx="0">
                  <c:v>Personnel</c:v>
                </c:pt>
                <c:pt idx="1">
                  <c:v>Debt Service</c:v>
                </c:pt>
                <c:pt idx="2">
                  <c:v>Utilities</c:v>
                </c:pt>
                <c:pt idx="3">
                  <c:v>Operating Expenses*</c:v>
                </c:pt>
                <c:pt idx="4">
                  <c:v>Capital Outlay</c:v>
                </c:pt>
                <c:pt idx="5">
                  <c:v>Student Aid</c:v>
                </c:pt>
              </c:strCache>
            </c:strRef>
          </c:cat>
          <c:val>
            <c:numRef>
              <c:f>'10-11'!$C$11:$C$16</c:f>
              <c:numCache>
                <c:formatCode>_(* #,##0_);_(* \(#,##0\);_(* "-"??_);_(@_)</c:formatCode>
                <c:ptCount val="6"/>
                <c:pt idx="0">
                  <c:v>158632322</c:v>
                </c:pt>
                <c:pt idx="1">
                  <c:v>12752122</c:v>
                </c:pt>
                <c:pt idx="2">
                  <c:v>9301978</c:v>
                </c:pt>
                <c:pt idx="3">
                  <c:v>64866898</c:v>
                </c:pt>
                <c:pt idx="4">
                  <c:v>5055858</c:v>
                </c:pt>
                <c:pt idx="5">
                  <c:v>20288922</c:v>
                </c:pt>
              </c:numCache>
            </c:numRef>
          </c:val>
        </c:ser>
        <c:dLbls>
          <c:showCatName val="1"/>
          <c:showPercent val="1"/>
        </c:dLbls>
      </c:pie3DChart>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Budgeted</a:t>
            </a:r>
            <a:r>
              <a:rPr lang="en-US" sz="1400" baseline="0"/>
              <a:t> Expenditures by Organizational Area</a:t>
            </a:r>
            <a:endParaRPr lang="en-US" sz="1400"/>
          </a:p>
        </c:rich>
      </c:tx>
    </c:title>
    <c:plotArea>
      <c:layout/>
      <c:barChart>
        <c:barDir val="bar"/>
        <c:grouping val="clustered"/>
        <c:ser>
          <c:idx val="0"/>
          <c:order val="0"/>
          <c:cat>
            <c:strRef>
              <c:f>'10-11'!$A$5:$A$14</c:f>
              <c:strCache>
                <c:ptCount val="10"/>
                <c:pt idx="0">
                  <c:v>Other*</c:v>
                </c:pt>
                <c:pt idx="1">
                  <c:v>Student Affairs</c:v>
                </c:pt>
                <c:pt idx="2">
                  <c:v>Research</c:v>
                </c:pt>
                <c:pt idx="3">
                  <c:v>Public Affairs</c:v>
                </c:pt>
                <c:pt idx="4">
                  <c:v>Institutional Advancement</c:v>
                </c:pt>
                <c:pt idx="5">
                  <c:v>Information Technology</c:v>
                </c:pt>
                <c:pt idx="6">
                  <c:v>Finance &amp; Administration</c:v>
                </c:pt>
                <c:pt idx="7">
                  <c:v>Campus Services &amp; Facilities</c:v>
                </c:pt>
                <c:pt idx="8">
                  <c:v>Athletics</c:v>
                </c:pt>
                <c:pt idx="9">
                  <c:v>Academic Affairs</c:v>
                </c:pt>
              </c:strCache>
            </c:strRef>
          </c:cat>
          <c:val>
            <c:numRef>
              <c:f>'10-11'!$B$5:$B$14</c:f>
              <c:numCache>
                <c:formatCode>General</c:formatCode>
                <c:ptCount val="10"/>
              </c:numCache>
            </c:numRef>
          </c:val>
        </c:ser>
        <c:ser>
          <c:idx val="1"/>
          <c:order val="1"/>
          <c:cat>
            <c:strRef>
              <c:f>'10-11'!$A$5:$A$14</c:f>
              <c:strCache>
                <c:ptCount val="10"/>
                <c:pt idx="0">
                  <c:v>Other*</c:v>
                </c:pt>
                <c:pt idx="1">
                  <c:v>Student Affairs</c:v>
                </c:pt>
                <c:pt idx="2">
                  <c:v>Research</c:v>
                </c:pt>
                <c:pt idx="3">
                  <c:v>Public Affairs</c:v>
                </c:pt>
                <c:pt idx="4">
                  <c:v>Institutional Advancement</c:v>
                </c:pt>
                <c:pt idx="5">
                  <c:v>Information Technology</c:v>
                </c:pt>
                <c:pt idx="6">
                  <c:v>Finance &amp; Administration</c:v>
                </c:pt>
                <c:pt idx="7">
                  <c:v>Campus Services &amp; Facilities</c:v>
                </c:pt>
                <c:pt idx="8">
                  <c:v>Athletics</c:v>
                </c:pt>
                <c:pt idx="9">
                  <c:v>Academic Affairs</c:v>
                </c:pt>
              </c:strCache>
            </c:strRef>
          </c:cat>
          <c:val>
            <c:numRef>
              <c:f>'10-11'!$C$5:$C$14</c:f>
              <c:numCache>
                <c:formatCode>_("$"* #,##0.0_);_("$"* \(#,##0.0\);_("$"* "-"??_);_(@_)</c:formatCode>
                <c:ptCount val="10"/>
                <c:pt idx="0">
                  <c:v>21.8</c:v>
                </c:pt>
                <c:pt idx="1">
                  <c:v>6.2</c:v>
                </c:pt>
                <c:pt idx="2">
                  <c:v>5.6</c:v>
                </c:pt>
                <c:pt idx="3">
                  <c:v>2.5</c:v>
                </c:pt>
                <c:pt idx="4">
                  <c:v>3.6</c:v>
                </c:pt>
                <c:pt idx="5">
                  <c:v>12.5</c:v>
                </c:pt>
                <c:pt idx="6">
                  <c:v>7.6</c:v>
                </c:pt>
                <c:pt idx="7">
                  <c:v>31.6</c:v>
                </c:pt>
                <c:pt idx="8">
                  <c:v>20.399999999999999</c:v>
                </c:pt>
                <c:pt idx="9">
                  <c:v>164.1</c:v>
                </c:pt>
              </c:numCache>
            </c:numRef>
          </c:val>
        </c:ser>
        <c:dLbls>
          <c:showVal val="1"/>
        </c:dLbls>
        <c:axId val="98331264"/>
        <c:axId val="98345344"/>
      </c:barChart>
      <c:catAx>
        <c:axId val="98331264"/>
        <c:scaling>
          <c:orientation val="minMax"/>
        </c:scaling>
        <c:axPos val="l"/>
        <c:tickLblPos val="nextTo"/>
        <c:crossAx val="98345344"/>
        <c:crosses val="autoZero"/>
        <c:auto val="1"/>
        <c:lblAlgn val="ctr"/>
        <c:lblOffset val="100"/>
      </c:catAx>
      <c:valAx>
        <c:axId val="98345344"/>
        <c:scaling>
          <c:orientation val="minMax"/>
          <c:max val="180"/>
        </c:scaling>
        <c:axPos val="b"/>
        <c:majorGridlines/>
        <c:title>
          <c:tx>
            <c:rich>
              <a:bodyPr/>
              <a:lstStyle/>
              <a:p>
                <a:pPr>
                  <a:defRPr/>
                </a:pPr>
                <a:r>
                  <a:rPr lang="en-US"/>
                  <a:t>Dollars (In</a:t>
                </a:r>
                <a:r>
                  <a:rPr lang="en-US" baseline="0"/>
                  <a:t> Millions)</a:t>
                </a:r>
                <a:endParaRPr lang="en-US"/>
              </a:p>
            </c:rich>
          </c:tx>
        </c:title>
        <c:numFmt formatCode="General" sourceLinked="1"/>
        <c:tickLblPos val="nextTo"/>
        <c:crossAx val="98331264"/>
        <c:crosses val="autoZero"/>
        <c:crossBetween val="between"/>
        <c:majorUnit val="20"/>
      </c:valAx>
    </c:plotArea>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0.68731</cdr:x>
      <cdr:y>0.94429</cdr:y>
    </cdr:from>
    <cdr:to>
      <cdr:x>1</cdr:x>
      <cdr:y>1</cdr:y>
    </cdr:to>
    <cdr:sp macro="" textlink="">
      <cdr:nvSpPr>
        <cdr:cNvPr id="2" name="TextBox 1"/>
        <cdr:cNvSpPr txBox="1"/>
      </cdr:nvSpPr>
      <cdr:spPr>
        <a:xfrm xmlns:a="http://schemas.openxmlformats.org/drawingml/2006/main">
          <a:off x="5876926" y="3429000"/>
          <a:ext cx="192405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en-US" sz="800"/>
            <a:t>*State</a:t>
          </a:r>
          <a:r>
            <a:rPr lang="en-US" sz="800" baseline="0"/>
            <a:t> Fiscal Stabilization Funds</a:t>
          </a:r>
          <a:endParaRPr 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0.71222</cdr:x>
      <cdr:y>0.93593</cdr:y>
    </cdr:from>
    <cdr:to>
      <cdr:x>1</cdr:x>
      <cdr:y>1</cdr:y>
    </cdr:to>
    <cdr:sp macro="" textlink="">
      <cdr:nvSpPr>
        <cdr:cNvPr id="2" name="TextBox 1"/>
        <cdr:cNvSpPr txBox="1"/>
      </cdr:nvSpPr>
      <cdr:spPr>
        <a:xfrm xmlns:a="http://schemas.openxmlformats.org/drawingml/2006/main">
          <a:off x="4686302" y="3438525"/>
          <a:ext cx="1704974"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r"/>
          <a:r>
            <a:rPr lang="en-US" sz="800"/>
            <a:t>*Includes Budget Reduction Reserve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1753-B073-4425-A7C7-D7AA5AA2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2895</Words>
  <Characters>18064</Characters>
  <Application>Microsoft Office Word</Application>
  <DocSecurity>4</DocSecurity>
  <Lines>150</Lines>
  <Paragraphs>41</Paragraphs>
  <ScaleCrop>false</ScaleCrop>
  <HeadingPairs>
    <vt:vector size="2" baseType="variant">
      <vt:variant>
        <vt:lpstr>Title</vt:lpstr>
      </vt:variant>
      <vt:variant>
        <vt:i4>1</vt:i4>
      </vt:variant>
    </vt:vector>
  </HeadingPairs>
  <TitlesOfParts>
    <vt:vector size="1" baseType="lpstr">
      <vt:lpstr>EXECUTIVE SUMMARY</vt:lpstr>
    </vt:vector>
  </TitlesOfParts>
  <Company>wku</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Ann Mead</dc:creator>
  <cp:keywords/>
  <dc:description/>
  <cp:lastModifiedBy>Network and Computing Support</cp:lastModifiedBy>
  <cp:revision>2</cp:revision>
  <cp:lastPrinted>2010-06-02T14:22:00Z</cp:lastPrinted>
  <dcterms:created xsi:type="dcterms:W3CDTF">2011-08-23T17:56:00Z</dcterms:created>
  <dcterms:modified xsi:type="dcterms:W3CDTF">2011-08-23T17:56:00Z</dcterms:modified>
</cp:coreProperties>
</file>