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55739A">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55739A">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62E60215" w:rsidR="0017571B" w:rsidRPr="004C0112" w:rsidRDefault="00596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7920" w:type="dxa"/>
          </w:tcPr>
          <w:p w14:paraId="4B219735" w14:textId="5A1754B1" w:rsidR="0017571B" w:rsidRPr="004C0112" w:rsidRDefault="00596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17571B" w14:paraId="3FB6829E" w14:textId="77777777" w:rsidTr="0055739A">
        <w:tc>
          <w:tcPr>
            <w:tcW w:w="14395" w:type="dxa"/>
            <w:gridSpan w:val="2"/>
          </w:tcPr>
          <w:p w14:paraId="7CC57F6D" w14:textId="6DBB69E2" w:rsidR="0017571B" w:rsidRPr="004C0112" w:rsidRDefault="00596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Communicating in Healthcare Graduate Certificate #0475</w:t>
            </w:r>
          </w:p>
        </w:tc>
      </w:tr>
      <w:tr w:rsidR="00141CFC" w14:paraId="56A671A4" w14:textId="77777777" w:rsidTr="0055739A">
        <w:tc>
          <w:tcPr>
            <w:tcW w:w="14395" w:type="dxa"/>
            <w:gridSpan w:val="2"/>
          </w:tcPr>
          <w:p w14:paraId="6AD05DAC" w14:textId="67EC3FC9" w:rsidR="00141CFC" w:rsidRPr="004C0112" w:rsidRDefault="0057363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Jieyoung Kong</w:t>
            </w:r>
          </w:p>
        </w:tc>
      </w:tr>
    </w:tbl>
    <w:p w14:paraId="39312896" w14:textId="2A65359E" w:rsidR="0017571B" w:rsidRDefault="0017571B"/>
    <w:p w14:paraId="07C6A972" w14:textId="1FE022C5"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53B6F">
        <w:rPr>
          <w:rFonts w:ascii="Times New Roman" w:hAnsi="Times New Roman"/>
          <w:sz w:val="22"/>
          <w:szCs w:val="22"/>
        </w:rPr>
        <w:fldChar w:fldCharType="begin">
          <w:ffData>
            <w:name w:val="Check13"/>
            <w:enabled/>
            <w:calcOnExit w:val="0"/>
            <w:checkBox>
              <w:sizeAuto/>
              <w:default w:val="1"/>
            </w:checkBox>
          </w:ffData>
        </w:fldChar>
      </w:r>
      <w:bookmarkStart w:id="0" w:name="Check13"/>
      <w:r w:rsidR="00253B6F">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53B6F">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2432A3"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002432A3"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65EDB0C" w:rsidR="007706BE" w:rsidRPr="00FF3DCE" w:rsidRDefault="007706BE" w:rsidP="0079239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253B6F">
              <w:rPr>
                <w:rFonts w:ascii="Times New Roman" w:hAnsi="Times New Roman"/>
                <w:b/>
                <w:bCs/>
                <w:sz w:val="20"/>
                <w:szCs w:val="20"/>
              </w:rPr>
              <w:t xml:space="preserve"> </w:t>
            </w:r>
            <w:r w:rsidR="00210DB2" w:rsidRPr="00210DB2">
              <w:rPr>
                <w:rFonts w:ascii="Times New Roman" w:hAnsi="Times New Roman"/>
                <w:b/>
                <w:bCs/>
                <w:sz w:val="20"/>
                <w:szCs w:val="20"/>
              </w:rPr>
              <w:t>Evaluate communication behaviors in health care relationships, health care teams (multidisciplinary, interdisciplinary, and transdisciplinary), and health care organizations.</w:t>
            </w:r>
          </w:p>
        </w:tc>
      </w:tr>
      <w:tr w:rsidR="007706BE" w:rsidRPr="00964DD0" w14:paraId="2E4E6283" w14:textId="77777777" w:rsidTr="00210DB2">
        <w:trPr>
          <w:trHeight w:val="328"/>
        </w:trPr>
        <w:tc>
          <w:tcPr>
            <w:tcW w:w="1435" w:type="dxa"/>
            <w:shd w:val="clear" w:color="auto" w:fill="auto"/>
            <w:tcMar>
              <w:top w:w="100" w:type="nil"/>
              <w:right w:w="100" w:type="nil"/>
            </w:tcMar>
          </w:tcPr>
          <w:p w14:paraId="2A01F8CD" w14:textId="6BE6D8C8" w:rsidR="007706BE" w:rsidRPr="0017681D" w:rsidRDefault="007706BE" w:rsidP="0055739A">
            <w:pPr>
              <w:widowControl w:val="0"/>
              <w:autoSpaceDE w:val="0"/>
              <w:autoSpaceDN w:val="0"/>
              <w:adjustRightInd w:val="0"/>
              <w:rPr>
                <w:rFonts w:ascii="Times New Roman" w:hAnsi="Times New Roman"/>
                <w:b/>
                <w:bCs/>
                <w:sz w:val="20"/>
                <w:szCs w:val="20"/>
              </w:rPr>
            </w:pPr>
            <w:r w:rsidRPr="0017681D">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7EF3AEA3" w:rsidR="007706BE" w:rsidRPr="005F7C2E" w:rsidRDefault="005770D6" w:rsidP="00210DB2">
            <w:pPr>
              <w:widowControl w:val="0"/>
              <w:autoSpaceDE w:val="0"/>
              <w:autoSpaceDN w:val="0"/>
              <w:adjustRightInd w:val="0"/>
              <w:rPr>
                <w:rFonts w:ascii="Times New Roman" w:hAnsi="Times New Roman"/>
                <w:b/>
                <w:bCs/>
                <w:sz w:val="20"/>
                <w:szCs w:val="20"/>
              </w:rPr>
            </w:pPr>
            <w:r w:rsidRPr="005F7C2E">
              <w:rPr>
                <w:rFonts w:ascii="Times New Roman" w:hAnsi="Times New Roman"/>
                <w:b/>
                <w:bCs/>
                <w:sz w:val="20"/>
                <w:szCs w:val="20"/>
              </w:rPr>
              <w:t>Direct: Analysis of a course assignment paper.</w:t>
            </w:r>
          </w:p>
        </w:tc>
      </w:tr>
      <w:tr w:rsidR="000B0241" w:rsidRPr="00964DD0" w14:paraId="037ECA22" w14:textId="77777777" w:rsidTr="00210DB2">
        <w:trPr>
          <w:trHeight w:val="328"/>
        </w:trPr>
        <w:tc>
          <w:tcPr>
            <w:tcW w:w="1435" w:type="dxa"/>
            <w:shd w:val="clear" w:color="auto" w:fill="auto"/>
            <w:tcMar>
              <w:top w:w="100" w:type="nil"/>
              <w:right w:w="100" w:type="nil"/>
            </w:tcMar>
          </w:tcPr>
          <w:p w14:paraId="5F4142C6" w14:textId="1C8EBBBC" w:rsidR="000B0241" w:rsidRPr="0017681D" w:rsidRDefault="000B0241" w:rsidP="000B0241">
            <w:pPr>
              <w:widowControl w:val="0"/>
              <w:autoSpaceDE w:val="0"/>
              <w:autoSpaceDN w:val="0"/>
              <w:adjustRightInd w:val="0"/>
              <w:rPr>
                <w:rFonts w:ascii="Times New Roman" w:hAnsi="Times New Roman"/>
                <w:b/>
                <w:bCs/>
                <w:sz w:val="20"/>
                <w:szCs w:val="20"/>
              </w:rPr>
            </w:pPr>
            <w:r w:rsidRPr="0017681D">
              <w:rPr>
                <w:rFonts w:ascii="Times New Roman" w:hAnsi="Times New Roman"/>
                <w:b/>
                <w:bCs/>
                <w:sz w:val="20"/>
                <w:szCs w:val="20"/>
              </w:rPr>
              <w:t xml:space="preserve">Instrument </w:t>
            </w:r>
            <w:r>
              <w:rPr>
                <w:rFonts w:ascii="Times New Roman" w:hAnsi="Times New Roman"/>
                <w:b/>
                <w:bCs/>
                <w:sz w:val="20"/>
                <w:szCs w:val="20"/>
              </w:rPr>
              <w:t>2</w:t>
            </w:r>
          </w:p>
        </w:tc>
        <w:tc>
          <w:tcPr>
            <w:tcW w:w="12960" w:type="dxa"/>
            <w:gridSpan w:val="3"/>
            <w:shd w:val="clear" w:color="auto" w:fill="auto"/>
            <w:tcMar>
              <w:top w:w="100" w:type="nil"/>
              <w:right w:w="100" w:type="nil"/>
            </w:tcMar>
          </w:tcPr>
          <w:p w14:paraId="65AB9BA4" w14:textId="77777777" w:rsidR="000B0241" w:rsidRPr="0017681D" w:rsidRDefault="000B0241" w:rsidP="000B0241">
            <w:pPr>
              <w:widowControl w:val="0"/>
              <w:autoSpaceDE w:val="0"/>
              <w:autoSpaceDN w:val="0"/>
              <w:adjustRightInd w:val="0"/>
              <w:rPr>
                <w:rFonts w:ascii="Times New Roman" w:hAnsi="Times New Roman"/>
                <w:bCs/>
                <w:sz w:val="20"/>
                <w:szCs w:val="20"/>
              </w:rPr>
            </w:pPr>
          </w:p>
        </w:tc>
      </w:tr>
      <w:tr w:rsidR="005F7C2E" w:rsidRPr="00964DD0" w14:paraId="7CDC0560" w14:textId="77777777" w:rsidTr="00210DB2">
        <w:trPr>
          <w:trHeight w:val="328"/>
        </w:trPr>
        <w:tc>
          <w:tcPr>
            <w:tcW w:w="1435" w:type="dxa"/>
            <w:shd w:val="clear" w:color="auto" w:fill="auto"/>
            <w:tcMar>
              <w:top w:w="100" w:type="nil"/>
              <w:right w:w="100" w:type="nil"/>
            </w:tcMar>
          </w:tcPr>
          <w:p w14:paraId="3C46B704" w14:textId="71426DE3" w:rsidR="005F7C2E" w:rsidRPr="0017681D" w:rsidRDefault="005F7C2E" w:rsidP="005F7C2E">
            <w:pPr>
              <w:widowControl w:val="0"/>
              <w:autoSpaceDE w:val="0"/>
              <w:autoSpaceDN w:val="0"/>
              <w:adjustRightInd w:val="0"/>
              <w:rPr>
                <w:rFonts w:ascii="Times New Roman" w:hAnsi="Times New Roman"/>
                <w:b/>
                <w:bCs/>
                <w:sz w:val="20"/>
                <w:szCs w:val="20"/>
              </w:rPr>
            </w:pPr>
            <w:r w:rsidRPr="0017681D">
              <w:rPr>
                <w:rFonts w:ascii="Times New Roman" w:hAnsi="Times New Roman"/>
                <w:b/>
                <w:bCs/>
                <w:sz w:val="20"/>
                <w:szCs w:val="20"/>
              </w:rPr>
              <w:t xml:space="preserve">Instrument </w:t>
            </w:r>
            <w:r>
              <w:rPr>
                <w:rFonts w:ascii="Times New Roman" w:hAnsi="Times New Roman"/>
                <w:b/>
                <w:bCs/>
                <w:sz w:val="20"/>
                <w:szCs w:val="20"/>
              </w:rPr>
              <w:t>3</w:t>
            </w:r>
          </w:p>
        </w:tc>
        <w:tc>
          <w:tcPr>
            <w:tcW w:w="12960" w:type="dxa"/>
            <w:gridSpan w:val="3"/>
            <w:shd w:val="clear" w:color="auto" w:fill="auto"/>
            <w:tcMar>
              <w:top w:w="100" w:type="nil"/>
              <w:right w:w="100" w:type="nil"/>
            </w:tcMar>
          </w:tcPr>
          <w:p w14:paraId="7FE7DB7B" w14:textId="77777777" w:rsidR="005F7C2E" w:rsidRPr="0017681D" w:rsidRDefault="005F7C2E" w:rsidP="005F7C2E">
            <w:pPr>
              <w:widowControl w:val="0"/>
              <w:autoSpaceDE w:val="0"/>
              <w:autoSpaceDN w:val="0"/>
              <w:adjustRightInd w:val="0"/>
              <w:rPr>
                <w:rFonts w:ascii="Times New Roman" w:hAnsi="Times New Roman"/>
                <w:bCs/>
                <w:sz w:val="20"/>
                <w:szCs w:val="20"/>
              </w:rPr>
            </w:pPr>
          </w:p>
        </w:tc>
      </w:tr>
      <w:tr w:rsidR="005F7C2E" w:rsidRPr="00964DD0" w14:paraId="6CB83774" w14:textId="77777777" w:rsidTr="00210DB2">
        <w:trPr>
          <w:trHeight w:val="328"/>
        </w:trPr>
        <w:tc>
          <w:tcPr>
            <w:tcW w:w="11875" w:type="dxa"/>
            <w:gridSpan w:val="2"/>
            <w:shd w:val="clear" w:color="auto" w:fill="auto"/>
            <w:tcMar>
              <w:top w:w="100" w:type="nil"/>
              <w:right w:w="100" w:type="nil"/>
            </w:tcMar>
          </w:tcPr>
          <w:p w14:paraId="33AD5206" w14:textId="4C901E11" w:rsidR="005F7C2E" w:rsidRPr="000B0241" w:rsidRDefault="005F7C2E" w:rsidP="005F7C2E">
            <w:pPr>
              <w:widowControl w:val="0"/>
              <w:autoSpaceDE w:val="0"/>
              <w:autoSpaceDN w:val="0"/>
              <w:adjustRightInd w:val="0"/>
              <w:rPr>
                <w:rFonts w:ascii="Times New Roman" w:hAnsi="Times New Roman"/>
                <w:b/>
                <w:sz w:val="20"/>
                <w:szCs w:val="20"/>
              </w:rPr>
            </w:pPr>
            <w:r w:rsidRPr="000B0241">
              <w:rPr>
                <w:rFonts w:ascii="Times New Roman" w:hAnsi="Times New Roman"/>
                <w:b/>
                <w:bCs/>
                <w:sz w:val="20"/>
                <w:szCs w:val="20"/>
              </w:rPr>
              <w:t>Based on your results, check whether the program met the goal Student Learning Outcome 1.</w:t>
            </w:r>
            <w:r w:rsidRPr="000B0241">
              <w:rPr>
                <w:rFonts w:ascii="Times New Roman" w:hAnsi="Times New Roman"/>
                <w:b/>
                <w:sz w:val="20"/>
                <w:szCs w:val="20"/>
              </w:rPr>
              <w:t xml:space="preserve"> </w:t>
            </w:r>
          </w:p>
        </w:tc>
        <w:tc>
          <w:tcPr>
            <w:tcW w:w="1170" w:type="dxa"/>
            <w:shd w:val="clear" w:color="auto" w:fill="auto"/>
            <w:vAlign w:val="center"/>
          </w:tcPr>
          <w:p w14:paraId="65FB60B5" w14:textId="7BD827C8" w:rsidR="005F7C2E" w:rsidRPr="00FF3DCE" w:rsidRDefault="005F7C2E" w:rsidP="005F7C2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33B62BB5" w:rsidR="005F7C2E" w:rsidRPr="00FF3DCE" w:rsidRDefault="005F7C2E" w:rsidP="005F7C2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5F7C2E" w:rsidRPr="00964DD0" w14:paraId="52A9DEBE" w14:textId="77777777" w:rsidTr="00210DB2">
        <w:trPr>
          <w:trHeight w:val="328"/>
        </w:trPr>
        <w:tc>
          <w:tcPr>
            <w:tcW w:w="14395" w:type="dxa"/>
            <w:gridSpan w:val="4"/>
            <w:shd w:val="clear" w:color="auto" w:fill="auto"/>
            <w:tcMar>
              <w:top w:w="100" w:type="nil"/>
              <w:right w:w="100" w:type="nil"/>
            </w:tcMar>
          </w:tcPr>
          <w:p w14:paraId="666C00EB" w14:textId="7FA09C7F" w:rsidR="005F7C2E" w:rsidRDefault="005F7C2E" w:rsidP="005F7C2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210DB2">
              <w:rPr>
                <w:rFonts w:ascii="Times New Roman" w:hAnsi="Times New Roman"/>
                <w:b/>
                <w:bCs/>
                <w:sz w:val="20"/>
                <w:szCs w:val="20"/>
              </w:rPr>
              <w:t xml:space="preserve"> </w:t>
            </w:r>
            <w:r w:rsidRPr="000B0241">
              <w:rPr>
                <w:rFonts w:ascii="Times New Roman" w:hAnsi="Times New Roman"/>
                <w:b/>
                <w:bCs/>
                <w:sz w:val="20"/>
                <w:szCs w:val="20"/>
              </w:rPr>
              <w:t>Identif</w:t>
            </w:r>
            <w:r w:rsidR="004700A2">
              <w:rPr>
                <w:rFonts w:ascii="Times New Roman" w:hAnsi="Times New Roman"/>
                <w:b/>
                <w:bCs/>
                <w:sz w:val="20"/>
                <w:szCs w:val="20"/>
              </w:rPr>
              <w:t>y</w:t>
            </w:r>
            <w:r w:rsidRPr="000B0241">
              <w:rPr>
                <w:rFonts w:ascii="Times New Roman" w:hAnsi="Times New Roman"/>
                <w:b/>
                <w:bCs/>
                <w:sz w:val="20"/>
                <w:szCs w:val="20"/>
              </w:rPr>
              <w:t xml:space="preserve"> communication variables (including culture, technology) that affect communicating in healthcare contexts.</w:t>
            </w:r>
          </w:p>
          <w:p w14:paraId="2FDD2A3B" w14:textId="779D0DA0" w:rsidR="005F7C2E" w:rsidRPr="000B0241" w:rsidRDefault="005F7C2E" w:rsidP="005F7C2E">
            <w:pPr>
              <w:widowControl w:val="0"/>
              <w:autoSpaceDE w:val="0"/>
              <w:autoSpaceDN w:val="0"/>
              <w:adjustRightInd w:val="0"/>
              <w:rPr>
                <w:rFonts w:ascii="Times New Roman" w:hAnsi="Times New Roman"/>
                <w:b/>
                <w:bCs/>
                <w:sz w:val="20"/>
                <w:szCs w:val="20"/>
              </w:rPr>
            </w:pPr>
          </w:p>
        </w:tc>
      </w:tr>
      <w:tr w:rsidR="005F7C2E" w:rsidRPr="00964DD0" w14:paraId="018E91BF" w14:textId="77777777" w:rsidTr="00210DB2">
        <w:trPr>
          <w:trHeight w:val="328"/>
        </w:trPr>
        <w:tc>
          <w:tcPr>
            <w:tcW w:w="1435" w:type="dxa"/>
            <w:shd w:val="clear" w:color="auto" w:fill="auto"/>
            <w:tcMar>
              <w:top w:w="100" w:type="nil"/>
              <w:right w:w="100" w:type="nil"/>
            </w:tcMar>
          </w:tcPr>
          <w:p w14:paraId="41BC6063" w14:textId="3894BA0D" w:rsidR="005F7C2E" w:rsidRPr="0017681D" w:rsidRDefault="005F7C2E" w:rsidP="005F7C2E">
            <w:pPr>
              <w:widowControl w:val="0"/>
              <w:autoSpaceDE w:val="0"/>
              <w:autoSpaceDN w:val="0"/>
              <w:adjustRightInd w:val="0"/>
              <w:rPr>
                <w:rFonts w:ascii="Times New Roman" w:hAnsi="Times New Roman"/>
                <w:b/>
                <w:sz w:val="20"/>
                <w:szCs w:val="20"/>
              </w:rPr>
            </w:pPr>
            <w:r w:rsidRPr="0017681D">
              <w:rPr>
                <w:rFonts w:ascii="Times New Roman" w:hAnsi="Times New Roman"/>
                <w:b/>
                <w:sz w:val="20"/>
                <w:szCs w:val="20"/>
              </w:rPr>
              <w:t>Instrument 1</w:t>
            </w:r>
          </w:p>
        </w:tc>
        <w:tc>
          <w:tcPr>
            <w:tcW w:w="12960" w:type="dxa"/>
            <w:gridSpan w:val="3"/>
            <w:shd w:val="clear" w:color="auto" w:fill="auto"/>
          </w:tcPr>
          <w:p w14:paraId="7C91D468" w14:textId="0017116B" w:rsidR="005F7C2E" w:rsidRPr="005F7C2E" w:rsidRDefault="005F7C2E" w:rsidP="005F7C2E">
            <w:pPr>
              <w:widowControl w:val="0"/>
              <w:autoSpaceDE w:val="0"/>
              <w:autoSpaceDN w:val="0"/>
              <w:adjustRightInd w:val="0"/>
              <w:rPr>
                <w:rFonts w:ascii="Times New Roman" w:hAnsi="Times New Roman"/>
                <w:b/>
                <w:sz w:val="20"/>
                <w:szCs w:val="20"/>
              </w:rPr>
            </w:pPr>
            <w:r w:rsidRPr="005F7C2E">
              <w:rPr>
                <w:rFonts w:ascii="Times New Roman" w:hAnsi="Times New Roman"/>
                <w:b/>
                <w:bCs/>
                <w:sz w:val="20"/>
                <w:szCs w:val="20"/>
              </w:rPr>
              <w:t>Direct: Analysis of a course assignment paper.</w:t>
            </w:r>
          </w:p>
        </w:tc>
      </w:tr>
      <w:tr w:rsidR="005F7C2E" w:rsidRPr="00964DD0" w14:paraId="7DB71239" w14:textId="77777777" w:rsidTr="00210DB2">
        <w:trPr>
          <w:trHeight w:val="328"/>
        </w:trPr>
        <w:tc>
          <w:tcPr>
            <w:tcW w:w="1435" w:type="dxa"/>
            <w:shd w:val="clear" w:color="auto" w:fill="auto"/>
            <w:tcMar>
              <w:top w:w="100" w:type="nil"/>
              <w:right w:w="100" w:type="nil"/>
            </w:tcMar>
          </w:tcPr>
          <w:p w14:paraId="79A45E06" w14:textId="6FFA00D5" w:rsidR="005F7C2E" w:rsidRPr="0017681D" w:rsidRDefault="005F7C2E" w:rsidP="005F7C2E">
            <w:pPr>
              <w:widowControl w:val="0"/>
              <w:autoSpaceDE w:val="0"/>
              <w:autoSpaceDN w:val="0"/>
              <w:adjustRightInd w:val="0"/>
              <w:rPr>
                <w:rFonts w:ascii="Times New Roman" w:hAnsi="Times New Roman"/>
                <w:b/>
                <w:sz w:val="20"/>
                <w:szCs w:val="20"/>
              </w:rPr>
            </w:pPr>
            <w:r w:rsidRPr="0017681D">
              <w:rPr>
                <w:rFonts w:ascii="Times New Roman" w:hAnsi="Times New Roman"/>
                <w:b/>
                <w:bCs/>
                <w:sz w:val="20"/>
                <w:szCs w:val="20"/>
              </w:rPr>
              <w:t xml:space="preserve">Instrument </w:t>
            </w:r>
            <w:r>
              <w:rPr>
                <w:rFonts w:ascii="Times New Roman" w:hAnsi="Times New Roman"/>
                <w:b/>
                <w:bCs/>
                <w:sz w:val="20"/>
                <w:szCs w:val="20"/>
              </w:rPr>
              <w:t>2</w:t>
            </w:r>
          </w:p>
        </w:tc>
        <w:tc>
          <w:tcPr>
            <w:tcW w:w="12960" w:type="dxa"/>
            <w:gridSpan w:val="3"/>
            <w:shd w:val="clear" w:color="auto" w:fill="auto"/>
          </w:tcPr>
          <w:p w14:paraId="31B812D4" w14:textId="77777777" w:rsidR="005F7C2E" w:rsidRPr="0017681D" w:rsidRDefault="005F7C2E" w:rsidP="005F7C2E">
            <w:pPr>
              <w:widowControl w:val="0"/>
              <w:autoSpaceDE w:val="0"/>
              <w:autoSpaceDN w:val="0"/>
              <w:adjustRightInd w:val="0"/>
              <w:rPr>
                <w:rFonts w:ascii="Times New Roman" w:hAnsi="Times New Roman"/>
                <w:bCs/>
                <w:sz w:val="20"/>
                <w:szCs w:val="20"/>
              </w:rPr>
            </w:pPr>
          </w:p>
        </w:tc>
      </w:tr>
      <w:tr w:rsidR="005F7C2E" w:rsidRPr="00964DD0" w14:paraId="319FD476" w14:textId="77777777" w:rsidTr="00210DB2">
        <w:trPr>
          <w:trHeight w:val="328"/>
        </w:trPr>
        <w:tc>
          <w:tcPr>
            <w:tcW w:w="1435" w:type="dxa"/>
            <w:shd w:val="clear" w:color="auto" w:fill="auto"/>
            <w:tcMar>
              <w:top w:w="100" w:type="nil"/>
              <w:right w:w="100" w:type="nil"/>
            </w:tcMar>
          </w:tcPr>
          <w:p w14:paraId="4815BDA5" w14:textId="5FB138E1" w:rsidR="005F7C2E" w:rsidRPr="0017681D" w:rsidRDefault="005F7C2E" w:rsidP="005F7C2E">
            <w:pPr>
              <w:widowControl w:val="0"/>
              <w:autoSpaceDE w:val="0"/>
              <w:autoSpaceDN w:val="0"/>
              <w:adjustRightInd w:val="0"/>
              <w:rPr>
                <w:rFonts w:ascii="Times New Roman" w:hAnsi="Times New Roman"/>
                <w:b/>
                <w:bCs/>
                <w:sz w:val="20"/>
                <w:szCs w:val="20"/>
              </w:rPr>
            </w:pPr>
            <w:r w:rsidRPr="0017681D">
              <w:rPr>
                <w:rFonts w:ascii="Times New Roman" w:hAnsi="Times New Roman"/>
                <w:b/>
                <w:bCs/>
                <w:sz w:val="20"/>
                <w:szCs w:val="20"/>
              </w:rPr>
              <w:t xml:space="preserve">Instrument </w:t>
            </w:r>
            <w:r>
              <w:rPr>
                <w:rFonts w:ascii="Times New Roman" w:hAnsi="Times New Roman"/>
                <w:b/>
                <w:bCs/>
                <w:sz w:val="20"/>
                <w:szCs w:val="20"/>
              </w:rPr>
              <w:t>3</w:t>
            </w:r>
          </w:p>
        </w:tc>
        <w:tc>
          <w:tcPr>
            <w:tcW w:w="12960" w:type="dxa"/>
            <w:gridSpan w:val="3"/>
            <w:shd w:val="clear" w:color="auto" w:fill="auto"/>
          </w:tcPr>
          <w:p w14:paraId="05192B53" w14:textId="77777777" w:rsidR="005F7C2E" w:rsidRPr="0017681D" w:rsidRDefault="005F7C2E" w:rsidP="005F7C2E">
            <w:pPr>
              <w:widowControl w:val="0"/>
              <w:autoSpaceDE w:val="0"/>
              <w:autoSpaceDN w:val="0"/>
              <w:adjustRightInd w:val="0"/>
              <w:rPr>
                <w:rFonts w:ascii="Times New Roman" w:hAnsi="Times New Roman"/>
                <w:bCs/>
                <w:sz w:val="20"/>
                <w:szCs w:val="20"/>
              </w:rPr>
            </w:pPr>
          </w:p>
        </w:tc>
      </w:tr>
      <w:tr w:rsidR="005F7C2E" w:rsidRPr="00964DD0" w14:paraId="5F8807A0" w14:textId="77777777" w:rsidTr="00210DB2">
        <w:trPr>
          <w:trHeight w:val="328"/>
        </w:trPr>
        <w:tc>
          <w:tcPr>
            <w:tcW w:w="11875" w:type="dxa"/>
            <w:gridSpan w:val="2"/>
            <w:shd w:val="clear" w:color="auto" w:fill="auto"/>
            <w:tcMar>
              <w:top w:w="100" w:type="nil"/>
              <w:right w:w="100" w:type="nil"/>
            </w:tcMar>
          </w:tcPr>
          <w:p w14:paraId="7F82F43B" w14:textId="2E295C64" w:rsidR="005F7C2E" w:rsidRPr="000B0241" w:rsidRDefault="005F7C2E" w:rsidP="005F7C2E">
            <w:pPr>
              <w:widowControl w:val="0"/>
              <w:autoSpaceDE w:val="0"/>
              <w:autoSpaceDN w:val="0"/>
              <w:adjustRightInd w:val="0"/>
              <w:rPr>
                <w:rFonts w:ascii="Times New Roman" w:hAnsi="Times New Roman"/>
                <w:b/>
                <w:bCs/>
                <w:sz w:val="20"/>
                <w:szCs w:val="20"/>
              </w:rPr>
            </w:pPr>
            <w:r w:rsidRPr="000B0241">
              <w:rPr>
                <w:rFonts w:ascii="Times New Roman" w:hAnsi="Times New Roman"/>
                <w:b/>
                <w:bCs/>
                <w:sz w:val="20"/>
                <w:szCs w:val="20"/>
              </w:rPr>
              <w:t>Based on your results, check whether the program met the goal Student Learning Outcome 2.</w:t>
            </w:r>
            <w:r w:rsidRPr="000B0241">
              <w:rPr>
                <w:rFonts w:ascii="Times New Roman" w:hAnsi="Times New Roman"/>
                <w:b/>
                <w:sz w:val="20"/>
                <w:szCs w:val="20"/>
              </w:rPr>
              <w:t xml:space="preserve"> </w:t>
            </w:r>
          </w:p>
        </w:tc>
        <w:tc>
          <w:tcPr>
            <w:tcW w:w="1170" w:type="dxa"/>
            <w:shd w:val="clear" w:color="auto" w:fill="auto"/>
            <w:vAlign w:val="center"/>
          </w:tcPr>
          <w:p w14:paraId="5DE072CB" w14:textId="2F098B64" w:rsidR="005F7C2E" w:rsidRPr="00FF3DCE" w:rsidRDefault="005F7C2E" w:rsidP="005F7C2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50470A2F" w:rsidR="005F7C2E" w:rsidRPr="00FF3DCE" w:rsidRDefault="005F7C2E" w:rsidP="005F7C2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5F7C2E" w:rsidRPr="00964DD0" w14:paraId="67B84758" w14:textId="77777777" w:rsidTr="00210DB2">
        <w:trPr>
          <w:trHeight w:val="328"/>
        </w:trPr>
        <w:tc>
          <w:tcPr>
            <w:tcW w:w="14395" w:type="dxa"/>
            <w:gridSpan w:val="4"/>
            <w:shd w:val="clear" w:color="auto" w:fill="auto"/>
            <w:tcMar>
              <w:top w:w="100" w:type="nil"/>
              <w:right w:w="100" w:type="nil"/>
            </w:tcMar>
          </w:tcPr>
          <w:p w14:paraId="34421F51" w14:textId="4FA0A38E" w:rsidR="005F7C2E" w:rsidRPr="00FF3DCE" w:rsidRDefault="005F7C2E" w:rsidP="005F7C2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210DB2">
              <w:rPr>
                <w:rFonts w:ascii="Times New Roman" w:hAnsi="Times New Roman"/>
                <w:b/>
                <w:bCs/>
                <w:sz w:val="20"/>
                <w:szCs w:val="20"/>
              </w:rPr>
              <w:t xml:space="preserve"> Critique the effectiveness of health communication campaigns.</w:t>
            </w:r>
          </w:p>
        </w:tc>
      </w:tr>
      <w:tr w:rsidR="005F7C2E" w:rsidRPr="00964DD0" w14:paraId="310AA017" w14:textId="77777777" w:rsidTr="00210DB2">
        <w:trPr>
          <w:trHeight w:val="328"/>
        </w:trPr>
        <w:tc>
          <w:tcPr>
            <w:tcW w:w="1435" w:type="dxa"/>
            <w:shd w:val="clear" w:color="auto" w:fill="auto"/>
            <w:tcMar>
              <w:top w:w="100" w:type="nil"/>
              <w:right w:w="100" w:type="nil"/>
            </w:tcMar>
          </w:tcPr>
          <w:p w14:paraId="73A7929F" w14:textId="63F128FE" w:rsidR="005F7C2E" w:rsidRPr="0017681D" w:rsidRDefault="005F7C2E" w:rsidP="005F7C2E">
            <w:pPr>
              <w:widowControl w:val="0"/>
              <w:autoSpaceDE w:val="0"/>
              <w:autoSpaceDN w:val="0"/>
              <w:adjustRightInd w:val="0"/>
              <w:rPr>
                <w:rFonts w:ascii="Times New Roman" w:hAnsi="Times New Roman"/>
                <w:b/>
                <w:sz w:val="20"/>
                <w:szCs w:val="20"/>
              </w:rPr>
            </w:pPr>
            <w:r w:rsidRPr="0017681D">
              <w:rPr>
                <w:rFonts w:ascii="Times New Roman" w:hAnsi="Times New Roman"/>
                <w:b/>
                <w:sz w:val="20"/>
                <w:szCs w:val="20"/>
              </w:rPr>
              <w:t>Instrument 1</w:t>
            </w:r>
          </w:p>
        </w:tc>
        <w:tc>
          <w:tcPr>
            <w:tcW w:w="12960" w:type="dxa"/>
            <w:gridSpan w:val="3"/>
            <w:shd w:val="clear" w:color="auto" w:fill="auto"/>
          </w:tcPr>
          <w:p w14:paraId="0D8B38B1" w14:textId="759BA506" w:rsidR="005F7C2E" w:rsidRPr="005F7C2E" w:rsidRDefault="005F7C2E" w:rsidP="005F7C2E">
            <w:pPr>
              <w:widowControl w:val="0"/>
              <w:autoSpaceDE w:val="0"/>
              <w:autoSpaceDN w:val="0"/>
              <w:adjustRightInd w:val="0"/>
              <w:rPr>
                <w:rFonts w:ascii="Times New Roman" w:hAnsi="Times New Roman"/>
                <w:b/>
                <w:sz w:val="20"/>
                <w:szCs w:val="20"/>
              </w:rPr>
            </w:pPr>
            <w:r w:rsidRPr="005F7C2E">
              <w:rPr>
                <w:rFonts w:ascii="Times New Roman" w:hAnsi="Times New Roman"/>
                <w:b/>
                <w:bCs/>
                <w:sz w:val="20"/>
                <w:szCs w:val="20"/>
              </w:rPr>
              <w:t>Direct: Analysis of a course assignment paper.</w:t>
            </w:r>
          </w:p>
        </w:tc>
      </w:tr>
      <w:tr w:rsidR="005F7C2E" w:rsidRPr="00964DD0" w14:paraId="1A99C219" w14:textId="77777777" w:rsidTr="00210DB2">
        <w:trPr>
          <w:trHeight w:val="328"/>
        </w:trPr>
        <w:tc>
          <w:tcPr>
            <w:tcW w:w="1435" w:type="dxa"/>
            <w:shd w:val="clear" w:color="auto" w:fill="auto"/>
            <w:tcMar>
              <w:top w:w="100" w:type="nil"/>
              <w:right w:w="100" w:type="nil"/>
            </w:tcMar>
          </w:tcPr>
          <w:p w14:paraId="5A2D3B02" w14:textId="2E812249" w:rsidR="005F7C2E" w:rsidRPr="0017681D" w:rsidRDefault="005F7C2E" w:rsidP="005F7C2E">
            <w:pPr>
              <w:widowControl w:val="0"/>
              <w:autoSpaceDE w:val="0"/>
              <w:autoSpaceDN w:val="0"/>
              <w:adjustRightInd w:val="0"/>
              <w:rPr>
                <w:rFonts w:ascii="Times New Roman" w:hAnsi="Times New Roman"/>
                <w:b/>
                <w:sz w:val="20"/>
                <w:szCs w:val="20"/>
              </w:rPr>
            </w:pPr>
            <w:r w:rsidRPr="0017681D">
              <w:rPr>
                <w:rFonts w:ascii="Times New Roman" w:hAnsi="Times New Roman"/>
                <w:b/>
                <w:bCs/>
                <w:sz w:val="20"/>
                <w:szCs w:val="20"/>
              </w:rPr>
              <w:t xml:space="preserve">Instrument </w:t>
            </w:r>
            <w:r>
              <w:rPr>
                <w:rFonts w:ascii="Times New Roman" w:hAnsi="Times New Roman"/>
                <w:b/>
                <w:bCs/>
                <w:sz w:val="20"/>
                <w:szCs w:val="20"/>
              </w:rPr>
              <w:t>2</w:t>
            </w:r>
          </w:p>
        </w:tc>
        <w:tc>
          <w:tcPr>
            <w:tcW w:w="12960" w:type="dxa"/>
            <w:gridSpan w:val="3"/>
            <w:shd w:val="clear" w:color="auto" w:fill="auto"/>
          </w:tcPr>
          <w:p w14:paraId="143D9C16" w14:textId="77777777" w:rsidR="005F7C2E" w:rsidRPr="0017681D" w:rsidRDefault="005F7C2E" w:rsidP="005F7C2E">
            <w:pPr>
              <w:widowControl w:val="0"/>
              <w:autoSpaceDE w:val="0"/>
              <w:autoSpaceDN w:val="0"/>
              <w:adjustRightInd w:val="0"/>
              <w:rPr>
                <w:rFonts w:ascii="Times New Roman" w:hAnsi="Times New Roman"/>
                <w:sz w:val="20"/>
                <w:szCs w:val="20"/>
              </w:rPr>
            </w:pPr>
          </w:p>
        </w:tc>
      </w:tr>
      <w:tr w:rsidR="005F7C2E" w:rsidRPr="00964DD0" w14:paraId="2B94EEE4" w14:textId="77777777" w:rsidTr="00210DB2">
        <w:trPr>
          <w:trHeight w:val="328"/>
        </w:trPr>
        <w:tc>
          <w:tcPr>
            <w:tcW w:w="1435" w:type="dxa"/>
            <w:shd w:val="clear" w:color="auto" w:fill="auto"/>
            <w:tcMar>
              <w:top w:w="100" w:type="nil"/>
              <w:right w:w="100" w:type="nil"/>
            </w:tcMar>
          </w:tcPr>
          <w:p w14:paraId="60077DB8" w14:textId="62AFF6E4" w:rsidR="005F7C2E" w:rsidRPr="0017681D" w:rsidRDefault="005F7C2E" w:rsidP="005F7C2E">
            <w:pPr>
              <w:widowControl w:val="0"/>
              <w:autoSpaceDE w:val="0"/>
              <w:autoSpaceDN w:val="0"/>
              <w:adjustRightInd w:val="0"/>
              <w:rPr>
                <w:rFonts w:ascii="Times New Roman" w:hAnsi="Times New Roman"/>
                <w:b/>
                <w:bCs/>
                <w:sz w:val="20"/>
                <w:szCs w:val="20"/>
              </w:rPr>
            </w:pPr>
            <w:r w:rsidRPr="0017681D">
              <w:rPr>
                <w:rFonts w:ascii="Times New Roman" w:hAnsi="Times New Roman"/>
                <w:b/>
                <w:bCs/>
                <w:sz w:val="20"/>
                <w:szCs w:val="20"/>
              </w:rPr>
              <w:t xml:space="preserve">Instrument </w:t>
            </w:r>
            <w:r>
              <w:rPr>
                <w:rFonts w:ascii="Times New Roman" w:hAnsi="Times New Roman"/>
                <w:b/>
                <w:bCs/>
                <w:sz w:val="20"/>
                <w:szCs w:val="20"/>
              </w:rPr>
              <w:t>3</w:t>
            </w:r>
          </w:p>
        </w:tc>
        <w:tc>
          <w:tcPr>
            <w:tcW w:w="12960" w:type="dxa"/>
            <w:gridSpan w:val="3"/>
            <w:shd w:val="clear" w:color="auto" w:fill="auto"/>
          </w:tcPr>
          <w:p w14:paraId="1A6EE6B2" w14:textId="77777777" w:rsidR="005F7C2E" w:rsidRPr="0017681D" w:rsidRDefault="005F7C2E" w:rsidP="005F7C2E">
            <w:pPr>
              <w:widowControl w:val="0"/>
              <w:autoSpaceDE w:val="0"/>
              <w:autoSpaceDN w:val="0"/>
              <w:adjustRightInd w:val="0"/>
              <w:rPr>
                <w:rFonts w:ascii="Times New Roman" w:hAnsi="Times New Roman"/>
                <w:sz w:val="20"/>
                <w:szCs w:val="20"/>
              </w:rPr>
            </w:pPr>
          </w:p>
        </w:tc>
      </w:tr>
      <w:tr w:rsidR="005F7C2E" w:rsidRPr="00964DD0" w14:paraId="2CD12D7C" w14:textId="77777777" w:rsidTr="00210DB2">
        <w:trPr>
          <w:trHeight w:val="328"/>
        </w:trPr>
        <w:tc>
          <w:tcPr>
            <w:tcW w:w="11875" w:type="dxa"/>
            <w:gridSpan w:val="2"/>
            <w:shd w:val="clear" w:color="auto" w:fill="auto"/>
            <w:tcMar>
              <w:top w:w="100" w:type="nil"/>
              <w:right w:w="100" w:type="nil"/>
            </w:tcMar>
          </w:tcPr>
          <w:p w14:paraId="6131EF46" w14:textId="6BBD204D" w:rsidR="005F7C2E" w:rsidRPr="000B0241" w:rsidRDefault="005F7C2E" w:rsidP="005F7C2E">
            <w:pPr>
              <w:widowControl w:val="0"/>
              <w:autoSpaceDE w:val="0"/>
              <w:autoSpaceDN w:val="0"/>
              <w:adjustRightInd w:val="0"/>
              <w:rPr>
                <w:rFonts w:ascii="Times New Roman" w:hAnsi="Times New Roman"/>
                <w:b/>
                <w:sz w:val="20"/>
                <w:szCs w:val="20"/>
              </w:rPr>
            </w:pPr>
            <w:r w:rsidRPr="000B0241">
              <w:rPr>
                <w:rFonts w:ascii="Times New Roman" w:hAnsi="Times New Roman"/>
                <w:b/>
                <w:bCs/>
                <w:sz w:val="20"/>
                <w:szCs w:val="20"/>
              </w:rPr>
              <w:t>Based on your results, check whether the program met the goal Student Learning Outcome 3.</w:t>
            </w:r>
            <w:r w:rsidRPr="000B0241">
              <w:rPr>
                <w:rFonts w:ascii="Times New Roman" w:hAnsi="Times New Roman"/>
                <w:b/>
                <w:sz w:val="20"/>
                <w:szCs w:val="20"/>
              </w:rPr>
              <w:t xml:space="preserve"> </w:t>
            </w:r>
          </w:p>
        </w:tc>
        <w:tc>
          <w:tcPr>
            <w:tcW w:w="1170" w:type="dxa"/>
            <w:shd w:val="clear" w:color="auto" w:fill="auto"/>
            <w:vAlign w:val="center"/>
          </w:tcPr>
          <w:p w14:paraId="53B545EB" w14:textId="49C92FC7" w:rsidR="005F7C2E" w:rsidRPr="00FF3DCE" w:rsidRDefault="005F7C2E" w:rsidP="005F7C2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6E81145C" w:rsidR="005F7C2E" w:rsidRPr="00FF3DCE" w:rsidRDefault="005F7C2E" w:rsidP="005F7C2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5F7C2E" w:rsidRPr="00964DD0" w14:paraId="5B196B4E" w14:textId="77777777" w:rsidTr="00210DB2">
        <w:trPr>
          <w:trHeight w:val="328"/>
        </w:trPr>
        <w:tc>
          <w:tcPr>
            <w:tcW w:w="14395" w:type="dxa"/>
            <w:gridSpan w:val="4"/>
            <w:shd w:val="clear" w:color="auto" w:fill="auto"/>
            <w:tcMar>
              <w:top w:w="100" w:type="nil"/>
              <w:right w:w="100" w:type="nil"/>
            </w:tcMar>
          </w:tcPr>
          <w:p w14:paraId="72344A75" w14:textId="361D4CE8" w:rsidR="005F7C2E" w:rsidRPr="00FF3DCE" w:rsidRDefault="005F7C2E" w:rsidP="005F7C2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5F7C2E" w:rsidRPr="00964DD0" w14:paraId="3FD47350" w14:textId="77777777" w:rsidTr="007706BE">
        <w:tc>
          <w:tcPr>
            <w:tcW w:w="14395" w:type="dxa"/>
            <w:gridSpan w:val="4"/>
            <w:shd w:val="clear" w:color="auto" w:fill="auto"/>
            <w:tcMar>
              <w:top w:w="100" w:type="nil"/>
              <w:right w:w="100" w:type="nil"/>
            </w:tcMar>
          </w:tcPr>
          <w:p w14:paraId="0BB52837" w14:textId="71949544" w:rsidR="005F7C2E" w:rsidRPr="00FF3DCE" w:rsidRDefault="005F7C2E" w:rsidP="00622117">
            <w:pPr>
              <w:rPr>
                <w:rFonts w:ascii="Times New Roman" w:hAnsi="Times New Roman"/>
                <w:bCs/>
                <w:sz w:val="20"/>
                <w:szCs w:val="20"/>
              </w:rPr>
            </w:pPr>
            <w:r w:rsidRPr="000C2DE0">
              <w:rPr>
                <w:rFonts w:ascii="Times New Roman" w:hAnsi="Times New Roman"/>
                <w:color w:val="000000" w:themeColor="text1"/>
                <w:sz w:val="20"/>
              </w:rPr>
              <w:t xml:space="preserve">The Communicating in Healthcare </w:t>
            </w:r>
            <w:r>
              <w:rPr>
                <w:rFonts w:ascii="Times New Roman" w:hAnsi="Times New Roman"/>
                <w:color w:val="000000" w:themeColor="text1"/>
                <w:sz w:val="20"/>
              </w:rPr>
              <w:t xml:space="preserve">Graduate </w:t>
            </w:r>
            <w:r w:rsidRPr="000C2DE0">
              <w:rPr>
                <w:rFonts w:ascii="Times New Roman" w:hAnsi="Times New Roman"/>
                <w:color w:val="000000" w:themeColor="text1"/>
                <w:sz w:val="20"/>
              </w:rPr>
              <w:t xml:space="preserve">Certificate </w:t>
            </w:r>
            <w:r>
              <w:rPr>
                <w:rFonts w:ascii="Times New Roman" w:hAnsi="Times New Roman"/>
                <w:color w:val="000000" w:themeColor="text1"/>
                <w:sz w:val="20"/>
              </w:rPr>
              <w:t xml:space="preserve">Program is a 12-credit hour program </w:t>
            </w:r>
            <w:r w:rsidRPr="000C2DE0">
              <w:rPr>
                <w:rFonts w:ascii="Times New Roman" w:hAnsi="Times New Roman"/>
                <w:color w:val="000000" w:themeColor="text1"/>
                <w:sz w:val="20"/>
              </w:rPr>
              <w:t>designed to provide students with a</w:t>
            </w:r>
            <w:r>
              <w:rPr>
                <w:rFonts w:ascii="Times New Roman" w:hAnsi="Times New Roman"/>
                <w:color w:val="000000" w:themeColor="text1"/>
                <w:sz w:val="20"/>
              </w:rPr>
              <w:t>n u</w:t>
            </w:r>
            <w:r w:rsidRPr="000C2DE0">
              <w:rPr>
                <w:rFonts w:ascii="Times New Roman" w:hAnsi="Times New Roman"/>
                <w:color w:val="000000" w:themeColor="text1"/>
                <w:sz w:val="20"/>
              </w:rPr>
              <w:t xml:space="preserve">nderstanding of the role of </w:t>
            </w:r>
            <w:r>
              <w:rPr>
                <w:rFonts w:ascii="Times New Roman" w:hAnsi="Times New Roman"/>
                <w:color w:val="000000" w:themeColor="text1"/>
                <w:sz w:val="20"/>
              </w:rPr>
              <w:t>c</w:t>
            </w:r>
            <w:r w:rsidRPr="000C2DE0">
              <w:rPr>
                <w:rFonts w:ascii="Times New Roman" w:hAnsi="Times New Roman"/>
                <w:color w:val="000000" w:themeColor="text1"/>
                <w:sz w:val="20"/>
              </w:rPr>
              <w:t xml:space="preserve">ommunication in healthcare contexts. </w:t>
            </w:r>
            <w:r>
              <w:rPr>
                <w:rFonts w:ascii="Times New Roman" w:hAnsi="Times New Roman"/>
                <w:color w:val="000000" w:themeColor="text1"/>
                <w:sz w:val="20"/>
              </w:rPr>
              <w:t xml:space="preserve">It </w:t>
            </w:r>
            <w:r w:rsidRPr="000C2DE0">
              <w:rPr>
                <w:rFonts w:ascii="Times New Roman" w:hAnsi="Times New Roman"/>
                <w:color w:val="000000" w:themeColor="text1"/>
                <w:sz w:val="20"/>
              </w:rPr>
              <w:t>explores interpersonal as well as organizational factors affecting healthcare and assists students in developing communication strategies and skills. It also prepares students to better understand how culture, including technology and other forms of communication (including printed materials, health communication campaigns, community outreach, and interpersonal communication) are necessary to obtain, process, and understand health information.</w:t>
            </w:r>
            <w:r>
              <w:rPr>
                <w:rFonts w:ascii="Times New Roman" w:hAnsi="Times New Roman"/>
                <w:color w:val="000000" w:themeColor="text1"/>
                <w:sz w:val="20"/>
              </w:rPr>
              <w:t xml:space="preserve"> The program has two core courses students must take and a list of restricted elective courses from communication, public health, health care admin</w:t>
            </w:r>
            <w:r w:rsidR="004700A2">
              <w:rPr>
                <w:rFonts w:ascii="Times New Roman" w:hAnsi="Times New Roman"/>
                <w:color w:val="000000" w:themeColor="text1"/>
                <w:sz w:val="20"/>
              </w:rPr>
              <w:t>is</w:t>
            </w:r>
            <w:r>
              <w:rPr>
                <w:rFonts w:ascii="Times New Roman" w:hAnsi="Times New Roman"/>
                <w:color w:val="000000" w:themeColor="text1"/>
                <w:sz w:val="20"/>
              </w:rPr>
              <w:t>t</w:t>
            </w:r>
            <w:r w:rsidR="004700A2">
              <w:rPr>
                <w:rFonts w:ascii="Times New Roman" w:hAnsi="Times New Roman"/>
                <w:color w:val="000000" w:themeColor="text1"/>
                <w:sz w:val="20"/>
              </w:rPr>
              <w:t>ra</w:t>
            </w:r>
            <w:r>
              <w:rPr>
                <w:rFonts w:ascii="Times New Roman" w:hAnsi="Times New Roman"/>
                <w:color w:val="000000" w:themeColor="text1"/>
                <w:sz w:val="20"/>
              </w:rPr>
              <w:t xml:space="preserve">tion and nursing students can choose from, all of which can be completed fully online. </w:t>
            </w:r>
            <w:r>
              <w:rPr>
                <w:rFonts w:ascii="Times New Roman" w:hAnsi="Times New Roman"/>
                <w:bCs/>
                <w:color w:val="000000" w:themeColor="text1"/>
                <w:sz w:val="20"/>
              </w:rPr>
              <w:t xml:space="preserve"> The student </w:t>
            </w:r>
            <w:r w:rsidRPr="00E912A2">
              <w:rPr>
                <w:rFonts w:ascii="Times New Roman" w:hAnsi="Times New Roman"/>
                <w:bCs/>
                <w:color w:val="000000" w:themeColor="text1"/>
                <w:sz w:val="20"/>
              </w:rPr>
              <w:t>learning objectives for the certificate program</w:t>
            </w:r>
            <w:r>
              <w:rPr>
                <w:rFonts w:ascii="Times New Roman" w:hAnsi="Times New Roman"/>
                <w:bCs/>
                <w:color w:val="000000" w:themeColor="text1"/>
                <w:sz w:val="20"/>
              </w:rPr>
              <w:t xml:space="preserve"> are as follows: </w:t>
            </w:r>
            <w:r w:rsidR="00B64774" w:rsidRPr="00B64774">
              <w:rPr>
                <w:rFonts w:ascii="Times New Roman" w:hAnsi="Times New Roman"/>
                <w:bCs/>
                <w:i/>
                <w:color w:val="000000" w:themeColor="text1"/>
                <w:sz w:val="20"/>
              </w:rPr>
              <w:t>(1)</w:t>
            </w:r>
            <w:r w:rsidR="00B64774">
              <w:rPr>
                <w:rFonts w:ascii="Times New Roman" w:hAnsi="Times New Roman"/>
                <w:bCs/>
                <w:color w:val="000000" w:themeColor="text1"/>
                <w:sz w:val="20"/>
              </w:rPr>
              <w:t xml:space="preserve"> </w:t>
            </w:r>
            <w:r w:rsidRPr="00265027">
              <w:rPr>
                <w:rFonts w:ascii="Times New Roman" w:hAnsi="Times New Roman"/>
                <w:i/>
                <w:color w:val="000000" w:themeColor="text1"/>
                <w:sz w:val="20"/>
              </w:rPr>
              <w:t>Appl</w:t>
            </w:r>
            <w:r w:rsidR="006240B6">
              <w:rPr>
                <w:rFonts w:ascii="Times New Roman" w:hAnsi="Times New Roman"/>
                <w:i/>
                <w:color w:val="000000" w:themeColor="text1"/>
                <w:sz w:val="20"/>
              </w:rPr>
              <w:t>y</w:t>
            </w:r>
            <w:r w:rsidRPr="00265027">
              <w:rPr>
                <w:rFonts w:ascii="Times New Roman" w:hAnsi="Times New Roman"/>
                <w:i/>
                <w:color w:val="000000" w:themeColor="text1"/>
                <w:sz w:val="20"/>
              </w:rPr>
              <w:t xml:space="preserve"> communication and health theories to explain factors that affect the delivery of healthcare,</w:t>
            </w:r>
            <w:r w:rsidR="00B64774">
              <w:rPr>
                <w:rFonts w:ascii="Times New Roman" w:hAnsi="Times New Roman"/>
                <w:i/>
                <w:color w:val="000000" w:themeColor="text1"/>
                <w:sz w:val="20"/>
              </w:rPr>
              <w:t xml:space="preserve"> (2) </w:t>
            </w:r>
            <w:r w:rsidRPr="00265027">
              <w:rPr>
                <w:rFonts w:ascii="Times New Roman" w:hAnsi="Times New Roman"/>
                <w:i/>
                <w:color w:val="000000" w:themeColor="text1"/>
                <w:sz w:val="20"/>
              </w:rPr>
              <w:t>Evaluate communication behaviors in health care r</w:t>
            </w:r>
            <w:r>
              <w:rPr>
                <w:rFonts w:ascii="Times New Roman" w:hAnsi="Times New Roman"/>
                <w:i/>
                <w:color w:val="000000" w:themeColor="text1"/>
                <w:sz w:val="20"/>
              </w:rPr>
              <w:t>elationships, health care teams</w:t>
            </w:r>
            <w:r w:rsidRPr="00265027">
              <w:rPr>
                <w:rFonts w:ascii="Times New Roman" w:hAnsi="Times New Roman"/>
                <w:i/>
                <w:color w:val="000000" w:themeColor="text1"/>
                <w:sz w:val="20"/>
              </w:rPr>
              <w:t>, and health care organizations,</w:t>
            </w:r>
            <w:r w:rsidR="00B64774">
              <w:rPr>
                <w:rFonts w:ascii="Times New Roman" w:hAnsi="Times New Roman"/>
                <w:i/>
                <w:color w:val="000000" w:themeColor="text1"/>
                <w:sz w:val="20"/>
              </w:rPr>
              <w:t xml:space="preserve"> (3) </w:t>
            </w:r>
            <w:r w:rsidRPr="00265027">
              <w:rPr>
                <w:rFonts w:ascii="Times New Roman" w:hAnsi="Times New Roman"/>
                <w:i/>
                <w:color w:val="000000" w:themeColor="text1"/>
                <w:sz w:val="20"/>
              </w:rPr>
              <w:t>Identif</w:t>
            </w:r>
            <w:r w:rsidR="006240B6">
              <w:rPr>
                <w:rFonts w:ascii="Times New Roman" w:hAnsi="Times New Roman"/>
                <w:i/>
                <w:color w:val="000000" w:themeColor="text1"/>
                <w:sz w:val="20"/>
              </w:rPr>
              <w:t>y</w:t>
            </w:r>
            <w:r w:rsidRPr="00265027">
              <w:rPr>
                <w:rFonts w:ascii="Times New Roman" w:hAnsi="Times New Roman"/>
                <w:i/>
                <w:color w:val="000000" w:themeColor="text1"/>
                <w:sz w:val="20"/>
              </w:rPr>
              <w:t xml:space="preserve"> communication variables (including culture, technology) that affect communicating in healthcare contexts, </w:t>
            </w:r>
            <w:r w:rsidR="00B64774">
              <w:rPr>
                <w:rFonts w:ascii="Times New Roman" w:hAnsi="Times New Roman"/>
                <w:i/>
                <w:color w:val="000000" w:themeColor="text1"/>
                <w:sz w:val="20"/>
              </w:rPr>
              <w:t xml:space="preserve">(4) </w:t>
            </w:r>
            <w:r w:rsidRPr="00265027">
              <w:rPr>
                <w:rFonts w:ascii="Times New Roman" w:hAnsi="Times New Roman"/>
                <w:i/>
                <w:color w:val="000000" w:themeColor="text1"/>
                <w:sz w:val="20"/>
              </w:rPr>
              <w:t xml:space="preserve">Critique the effectiveness of health communication campaigns, </w:t>
            </w:r>
            <w:r w:rsidR="00B64774">
              <w:rPr>
                <w:rFonts w:ascii="Times New Roman" w:hAnsi="Times New Roman"/>
                <w:i/>
                <w:color w:val="000000" w:themeColor="text1"/>
                <w:sz w:val="20"/>
              </w:rPr>
              <w:t>(5) D</w:t>
            </w:r>
            <w:r w:rsidRPr="00265027">
              <w:rPr>
                <w:rFonts w:ascii="Times New Roman" w:hAnsi="Times New Roman"/>
                <w:i/>
                <w:color w:val="000000" w:themeColor="text1"/>
                <w:sz w:val="20"/>
              </w:rPr>
              <w:t xml:space="preserve">evelop a well-rounded understanding of communication processes within healthcare context, and </w:t>
            </w:r>
            <w:r w:rsidR="00B64774">
              <w:rPr>
                <w:rFonts w:ascii="Times New Roman" w:hAnsi="Times New Roman"/>
                <w:i/>
                <w:color w:val="000000" w:themeColor="text1"/>
                <w:sz w:val="20"/>
              </w:rPr>
              <w:t xml:space="preserve">(6) </w:t>
            </w:r>
            <w:r w:rsidRPr="00265027">
              <w:rPr>
                <w:rFonts w:ascii="Times New Roman" w:hAnsi="Times New Roman"/>
                <w:i/>
                <w:color w:val="000000" w:themeColor="text1"/>
                <w:sz w:val="20"/>
              </w:rPr>
              <w:t>Understand the centrality of communication in health care administration, public health, and health behavior.</w:t>
            </w:r>
            <w:r w:rsidR="00B64774">
              <w:rPr>
                <w:rFonts w:ascii="Times New Roman" w:hAnsi="Times New Roman"/>
                <w:i/>
                <w:color w:val="000000" w:themeColor="text1"/>
                <w:sz w:val="20"/>
              </w:rPr>
              <w:t xml:space="preserve"> </w:t>
            </w:r>
            <w:r>
              <w:rPr>
                <w:rFonts w:ascii="Times New Roman" w:hAnsi="Times New Roman"/>
                <w:bCs/>
                <w:sz w:val="20"/>
                <w:szCs w:val="20"/>
              </w:rPr>
              <w:t xml:space="preserve">For </w:t>
            </w:r>
            <w:r>
              <w:rPr>
                <w:rFonts w:ascii="Times New Roman" w:hAnsi="Times New Roman"/>
                <w:sz w:val="20"/>
              </w:rPr>
              <w:t>the 2020-2021 ASL assessment, we assessed learning outcomes 1, 5, and 6. And for 2021-2022, we alternated to assess learning outcomes 2, 3, and 4. T</w:t>
            </w:r>
            <w:r w:rsidRPr="00DC6AC5">
              <w:rPr>
                <w:rFonts w:ascii="Times New Roman" w:hAnsi="Times New Roman"/>
                <w:sz w:val="20"/>
              </w:rPr>
              <w:t xml:space="preserve">he </w:t>
            </w:r>
            <w:r>
              <w:rPr>
                <w:rFonts w:ascii="Times New Roman" w:hAnsi="Times New Roman"/>
                <w:sz w:val="20"/>
              </w:rPr>
              <w:t xml:space="preserve">mean scores of the sampled student artifacts for </w:t>
            </w:r>
            <w:r w:rsidRPr="00DC6AC5">
              <w:rPr>
                <w:rFonts w:ascii="Times New Roman" w:hAnsi="Times New Roman"/>
                <w:sz w:val="20"/>
              </w:rPr>
              <w:t>this</w:t>
            </w:r>
            <w:r>
              <w:rPr>
                <w:rFonts w:ascii="Times New Roman" w:hAnsi="Times New Roman"/>
                <w:sz w:val="20"/>
              </w:rPr>
              <w:t xml:space="preserve"> year’s assessment fell slightly below the </w:t>
            </w:r>
            <w:r w:rsidRPr="00DC6AC5">
              <w:rPr>
                <w:rFonts w:ascii="Times New Roman" w:hAnsi="Times New Roman"/>
                <w:sz w:val="20"/>
              </w:rPr>
              <w:t>self-reported goal</w:t>
            </w:r>
            <w:r>
              <w:rPr>
                <w:rFonts w:ascii="Times New Roman" w:hAnsi="Times New Roman"/>
                <w:sz w:val="20"/>
              </w:rPr>
              <w:t xml:space="preserve">s for </w:t>
            </w:r>
            <w:r w:rsidR="00677098">
              <w:rPr>
                <w:rFonts w:ascii="Times New Roman" w:hAnsi="Times New Roman"/>
                <w:sz w:val="20"/>
              </w:rPr>
              <w:t xml:space="preserve">two of the </w:t>
            </w:r>
            <w:r>
              <w:rPr>
                <w:rFonts w:ascii="Times New Roman" w:hAnsi="Times New Roman"/>
                <w:sz w:val="20"/>
              </w:rPr>
              <w:t>three objectives</w:t>
            </w:r>
            <w:r w:rsidR="00677098">
              <w:rPr>
                <w:rFonts w:ascii="Times New Roman" w:hAnsi="Times New Roman"/>
                <w:sz w:val="20"/>
              </w:rPr>
              <w:t xml:space="preserve"> and significantly below for the </w:t>
            </w:r>
            <w:r w:rsidR="00677098">
              <w:rPr>
                <w:rFonts w:ascii="Times New Roman" w:hAnsi="Times New Roman"/>
                <w:sz w:val="20"/>
              </w:rPr>
              <w:lastRenderedPageBreak/>
              <w:t>third</w:t>
            </w:r>
            <w:r>
              <w:rPr>
                <w:rFonts w:ascii="Times New Roman" w:hAnsi="Times New Roman"/>
                <w:sz w:val="20"/>
              </w:rPr>
              <w:t xml:space="preserve">. </w:t>
            </w:r>
            <w:r w:rsidRPr="00CD7433">
              <w:rPr>
                <w:rFonts w:ascii="Times New Roman" w:hAnsi="Times New Roman"/>
                <w:color w:val="000000" w:themeColor="text1"/>
                <w:sz w:val="20"/>
              </w:rPr>
              <w:t xml:space="preserve">The </w:t>
            </w:r>
            <w:r>
              <w:rPr>
                <w:rFonts w:ascii="Times New Roman" w:hAnsi="Times New Roman"/>
                <w:color w:val="000000" w:themeColor="text1"/>
                <w:sz w:val="20"/>
              </w:rPr>
              <w:t xml:space="preserve">assessment result suggest </w:t>
            </w:r>
            <w:r w:rsidR="00262B2F">
              <w:rPr>
                <w:rFonts w:ascii="Times New Roman" w:hAnsi="Times New Roman"/>
                <w:color w:val="000000" w:themeColor="text1"/>
                <w:sz w:val="20"/>
              </w:rPr>
              <w:t xml:space="preserve">the </w:t>
            </w:r>
            <w:r>
              <w:rPr>
                <w:rFonts w:ascii="Times New Roman" w:hAnsi="Times New Roman"/>
                <w:color w:val="000000" w:themeColor="text1"/>
                <w:sz w:val="20"/>
              </w:rPr>
              <w:t>a</w:t>
            </w:r>
            <w:r w:rsidRPr="00CD7433">
              <w:rPr>
                <w:rFonts w:ascii="Times New Roman" w:hAnsi="Times New Roman"/>
                <w:color w:val="000000" w:themeColor="text1"/>
                <w:sz w:val="20"/>
              </w:rPr>
              <w:t>lignment between the selected core course learning outcomes and program learning outcomes</w:t>
            </w:r>
            <w:r w:rsidR="00262B2F">
              <w:rPr>
                <w:rFonts w:ascii="Times New Roman" w:hAnsi="Times New Roman"/>
                <w:color w:val="000000" w:themeColor="text1"/>
                <w:sz w:val="20"/>
              </w:rPr>
              <w:t xml:space="preserve"> need to be reviewed. In addition</w:t>
            </w:r>
            <w:r w:rsidR="00622117">
              <w:rPr>
                <w:rFonts w:ascii="Times New Roman" w:hAnsi="Times New Roman"/>
                <w:color w:val="000000" w:themeColor="text1"/>
                <w:sz w:val="20"/>
              </w:rPr>
              <w:t xml:space="preserve">, not only </w:t>
            </w:r>
            <w:r w:rsidR="0001651F">
              <w:rPr>
                <w:rFonts w:ascii="Times New Roman" w:hAnsi="Times New Roman"/>
                <w:color w:val="000000" w:themeColor="text1"/>
                <w:sz w:val="20"/>
              </w:rPr>
              <w:t xml:space="preserve">is </w:t>
            </w:r>
            <w:r w:rsidR="00622117">
              <w:rPr>
                <w:rFonts w:ascii="Times New Roman" w:hAnsi="Times New Roman"/>
                <w:color w:val="000000" w:themeColor="text1"/>
                <w:sz w:val="20"/>
              </w:rPr>
              <w:t>a review needed f</w:t>
            </w:r>
            <w:r w:rsidRPr="00CD7433">
              <w:rPr>
                <w:rFonts w:ascii="Times New Roman" w:hAnsi="Times New Roman"/>
                <w:color w:val="000000" w:themeColor="text1"/>
                <w:sz w:val="20"/>
              </w:rPr>
              <w:t>or a more robust program learning outcome in the future,</w:t>
            </w:r>
            <w:r w:rsidR="00262B2F">
              <w:rPr>
                <w:rFonts w:ascii="Times New Roman" w:hAnsi="Times New Roman"/>
                <w:color w:val="000000" w:themeColor="text1"/>
                <w:sz w:val="20"/>
              </w:rPr>
              <w:t xml:space="preserve"> </w:t>
            </w:r>
            <w:r w:rsidRPr="004B4978">
              <w:rPr>
                <w:rFonts w:ascii="Times New Roman" w:hAnsi="Times New Roman"/>
                <w:color w:val="000000" w:themeColor="text1"/>
                <w:sz w:val="20"/>
              </w:rPr>
              <w:t xml:space="preserve">the two core </w:t>
            </w:r>
            <w:r>
              <w:rPr>
                <w:rFonts w:ascii="Times New Roman" w:hAnsi="Times New Roman"/>
                <w:color w:val="000000" w:themeColor="text1"/>
                <w:sz w:val="20"/>
              </w:rPr>
              <w:t xml:space="preserve">health communication </w:t>
            </w:r>
            <w:r w:rsidRPr="004B4978">
              <w:rPr>
                <w:rFonts w:ascii="Times New Roman" w:hAnsi="Times New Roman"/>
                <w:color w:val="000000" w:themeColor="text1"/>
                <w:sz w:val="20"/>
              </w:rPr>
              <w:t xml:space="preserve">courses </w:t>
            </w:r>
            <w:r>
              <w:rPr>
                <w:rFonts w:ascii="Times New Roman" w:hAnsi="Times New Roman"/>
                <w:color w:val="000000" w:themeColor="text1"/>
                <w:sz w:val="20"/>
              </w:rPr>
              <w:t>should</w:t>
            </w:r>
            <w:r w:rsidRPr="004B4978">
              <w:rPr>
                <w:rFonts w:ascii="Times New Roman" w:hAnsi="Times New Roman"/>
                <w:color w:val="000000" w:themeColor="text1"/>
                <w:sz w:val="20"/>
              </w:rPr>
              <w:t xml:space="preserve"> be taught by a full-time tenure-track faculty instead of an adjunct instructor</w:t>
            </w:r>
            <w:r>
              <w:rPr>
                <w:rFonts w:ascii="Times New Roman" w:hAnsi="Times New Roman"/>
                <w:color w:val="000000" w:themeColor="text1"/>
                <w:sz w:val="20"/>
              </w:rPr>
              <w:t xml:space="preserve">, because </w:t>
            </w:r>
            <w:r w:rsidRPr="004B4978">
              <w:rPr>
                <w:rFonts w:ascii="Times New Roman" w:hAnsi="Times New Roman"/>
                <w:color w:val="000000" w:themeColor="text1"/>
                <w:sz w:val="20"/>
              </w:rPr>
              <w:t xml:space="preserve">student learning </w:t>
            </w:r>
            <w:r>
              <w:rPr>
                <w:rFonts w:ascii="Times New Roman" w:hAnsi="Times New Roman"/>
                <w:color w:val="000000" w:themeColor="text1"/>
                <w:sz w:val="20"/>
              </w:rPr>
              <w:t>is e</w:t>
            </w:r>
            <w:r w:rsidRPr="004B4978">
              <w:rPr>
                <w:rFonts w:ascii="Times New Roman" w:hAnsi="Times New Roman"/>
                <w:color w:val="000000" w:themeColor="text1"/>
                <w:sz w:val="20"/>
              </w:rPr>
              <w:t xml:space="preserve">nhanced </w:t>
            </w:r>
            <w:r>
              <w:rPr>
                <w:rFonts w:ascii="Times New Roman" w:hAnsi="Times New Roman"/>
                <w:color w:val="000000" w:themeColor="text1"/>
                <w:sz w:val="20"/>
              </w:rPr>
              <w:t xml:space="preserve">by having a faculty </w:t>
            </w:r>
            <w:r w:rsidR="006240B6">
              <w:rPr>
                <w:rFonts w:ascii="Times New Roman" w:hAnsi="Times New Roman"/>
                <w:color w:val="000000" w:themeColor="text1"/>
                <w:sz w:val="20"/>
              </w:rPr>
              <w:t xml:space="preserve">member </w:t>
            </w:r>
            <w:r>
              <w:rPr>
                <w:rFonts w:ascii="Times New Roman" w:hAnsi="Times New Roman"/>
                <w:color w:val="000000" w:themeColor="text1"/>
                <w:sz w:val="20"/>
              </w:rPr>
              <w:t xml:space="preserve">who is on campus to </w:t>
            </w:r>
            <w:r w:rsidRPr="004B4978">
              <w:rPr>
                <w:rFonts w:ascii="Times New Roman" w:hAnsi="Times New Roman"/>
                <w:color w:val="000000" w:themeColor="text1"/>
                <w:sz w:val="20"/>
              </w:rPr>
              <w:t>meaningful mentor and engage</w:t>
            </w:r>
            <w:r>
              <w:rPr>
                <w:rFonts w:ascii="Times New Roman" w:hAnsi="Times New Roman"/>
                <w:color w:val="000000" w:themeColor="text1"/>
                <w:sz w:val="20"/>
              </w:rPr>
              <w:t xml:space="preserve"> with students. </w:t>
            </w:r>
            <w:r w:rsidRPr="004B4978">
              <w:rPr>
                <w:rFonts w:ascii="Times New Roman" w:hAnsi="Times New Roman"/>
                <w:color w:val="000000" w:themeColor="text1"/>
                <w:sz w:val="20"/>
              </w:rPr>
              <w:t>As such, the department will need to do a search for a full-time tenure-track expert in healthcare communication next year in order to make this promising program viable and sustainable.</w:t>
            </w:r>
          </w:p>
        </w:tc>
      </w:tr>
    </w:tbl>
    <w:p w14:paraId="6C4DE3ED" w14:textId="2C125285" w:rsidR="005F7C2E" w:rsidRDefault="005F7C2E"/>
    <w:p w14:paraId="55F4857E" w14:textId="77777777" w:rsidR="0060517E" w:rsidRDefault="0060517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F5837BA" w:rsidR="00A77149" w:rsidRPr="00A77149" w:rsidRDefault="00A77149" w:rsidP="003A32E4">
            <w:pPr>
              <w:widowControl w:val="0"/>
              <w:autoSpaceDE w:val="0"/>
              <w:autoSpaceDN w:val="0"/>
              <w:adjustRightInd w:val="0"/>
              <w:rPr>
                <w:rFonts w:ascii="Times New Roman" w:hAnsi="Times New Roman"/>
                <w:b/>
                <w:bCs/>
                <w:color w:val="000000" w:themeColor="text1"/>
                <w:sz w:val="22"/>
                <w:szCs w:val="20"/>
              </w:rPr>
            </w:pPr>
            <w:r w:rsidRPr="00A77149">
              <w:rPr>
                <w:rFonts w:ascii="Times New Roman" w:hAnsi="Times New Roman"/>
                <w:b/>
                <w:bCs/>
                <w:color w:val="000000" w:themeColor="text1"/>
                <w:sz w:val="22"/>
                <w:szCs w:val="20"/>
              </w:rPr>
              <w:t>Evaluate communication behaviors in health care relationships, health care teams (multidisciplinary, interdisciplinary, and transdisciplinary), and health care organizations.</w:t>
            </w:r>
          </w:p>
        </w:tc>
      </w:tr>
      <w:tr w:rsidR="005770D6" w:rsidRPr="00964DD0" w14:paraId="740B7FDA" w14:textId="77777777" w:rsidTr="005551EF">
        <w:trPr>
          <w:trHeight w:val="52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EA9C522" w14:textId="3DA0505C" w:rsidR="005770D6" w:rsidRDefault="005770D6" w:rsidP="005770D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6BAB27B7" w14:textId="60996BE7" w:rsidR="005770D6" w:rsidRDefault="005770D6" w:rsidP="005770D6">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007E4DA" w14:textId="65286658" w:rsidR="005770D6" w:rsidRDefault="005770D6" w:rsidP="005551EF">
            <w:pPr>
              <w:widowControl w:val="0"/>
              <w:autoSpaceDE w:val="0"/>
              <w:autoSpaceDN w:val="0"/>
              <w:adjustRightInd w:val="0"/>
              <w:rPr>
                <w:rFonts w:ascii="Times New Roman" w:hAnsi="Times New Roman"/>
                <w:bCs/>
                <w:sz w:val="20"/>
                <w:szCs w:val="20"/>
              </w:rPr>
            </w:pPr>
            <w:r w:rsidRPr="00773A2C">
              <w:rPr>
                <w:rFonts w:ascii="Times New Roman" w:hAnsi="Times New Roman"/>
                <w:bCs/>
                <w:sz w:val="20"/>
                <w:szCs w:val="20"/>
              </w:rPr>
              <w:t xml:space="preserve">DIRECT measure of student learning: </w:t>
            </w:r>
            <w:r w:rsidR="00042F4C" w:rsidRPr="004D15B3">
              <w:rPr>
                <w:rFonts w:ascii="Times New Roman" w:hAnsi="Times New Roman"/>
                <w:bCs/>
                <w:sz w:val="20"/>
                <w:szCs w:val="20"/>
              </w:rPr>
              <w:t xml:space="preserve">Student artifacts chosen for this SLO assessment </w:t>
            </w:r>
            <w:r w:rsidR="00042F4C">
              <w:rPr>
                <w:rFonts w:ascii="Times New Roman" w:hAnsi="Times New Roman"/>
                <w:bCs/>
                <w:sz w:val="20"/>
                <w:szCs w:val="20"/>
              </w:rPr>
              <w:t>w</w:t>
            </w:r>
            <w:r w:rsidR="006240B6">
              <w:rPr>
                <w:rFonts w:ascii="Times New Roman" w:hAnsi="Times New Roman"/>
                <w:bCs/>
                <w:sz w:val="20"/>
                <w:szCs w:val="20"/>
              </w:rPr>
              <w:t>ere</w:t>
            </w:r>
            <w:r w:rsidR="00042F4C">
              <w:rPr>
                <w:rFonts w:ascii="Times New Roman" w:hAnsi="Times New Roman"/>
                <w:bCs/>
                <w:sz w:val="20"/>
                <w:szCs w:val="20"/>
              </w:rPr>
              <w:t xml:space="preserve"> a </w:t>
            </w:r>
            <w:r w:rsidRPr="00773A2C">
              <w:rPr>
                <w:rFonts w:ascii="Times New Roman" w:hAnsi="Times New Roman"/>
                <w:bCs/>
                <w:sz w:val="20"/>
                <w:szCs w:val="20"/>
              </w:rPr>
              <w:t xml:space="preserve">5-page paper where they were required to analyze </w:t>
            </w:r>
            <w:r w:rsidR="00042F4C">
              <w:rPr>
                <w:rFonts w:ascii="Times New Roman" w:hAnsi="Times New Roman"/>
                <w:bCs/>
                <w:sz w:val="20"/>
                <w:szCs w:val="20"/>
              </w:rPr>
              <w:t xml:space="preserve">a health campaign </w:t>
            </w:r>
            <w:r w:rsidRPr="00773A2C">
              <w:rPr>
                <w:rFonts w:ascii="Times New Roman" w:hAnsi="Times New Roman"/>
                <w:bCs/>
                <w:sz w:val="20"/>
                <w:szCs w:val="20"/>
              </w:rPr>
              <w:t xml:space="preserve">and its </w:t>
            </w:r>
            <w:r w:rsidR="00042F4C">
              <w:rPr>
                <w:rFonts w:ascii="Times New Roman" w:hAnsi="Times New Roman"/>
                <w:bCs/>
                <w:sz w:val="20"/>
                <w:szCs w:val="20"/>
              </w:rPr>
              <w:t xml:space="preserve">communication </w:t>
            </w:r>
            <w:r w:rsidRPr="00773A2C">
              <w:rPr>
                <w:rFonts w:ascii="Times New Roman" w:hAnsi="Times New Roman"/>
                <w:bCs/>
                <w:sz w:val="20"/>
                <w:szCs w:val="20"/>
              </w:rPr>
              <w:t xml:space="preserve">processes </w:t>
            </w:r>
            <w:r w:rsidR="00042F4C">
              <w:rPr>
                <w:rFonts w:ascii="Times New Roman" w:hAnsi="Times New Roman"/>
                <w:bCs/>
                <w:sz w:val="20"/>
                <w:szCs w:val="20"/>
              </w:rPr>
              <w:t>to evaluate its effectiveness in delivering health information.</w:t>
            </w:r>
          </w:p>
          <w:p w14:paraId="201F83AE" w14:textId="664A00A7" w:rsidR="00422699" w:rsidRPr="00042F4C" w:rsidRDefault="00422699" w:rsidP="005551EF">
            <w:pPr>
              <w:widowControl w:val="0"/>
              <w:autoSpaceDE w:val="0"/>
              <w:autoSpaceDN w:val="0"/>
              <w:adjustRightInd w:val="0"/>
              <w:rPr>
                <w:rFonts w:ascii="Times New Roman" w:hAnsi="Times New Roman"/>
                <w:bCs/>
                <w:sz w:val="20"/>
                <w:szCs w:val="20"/>
              </w:rPr>
            </w:pPr>
          </w:p>
        </w:tc>
      </w:tr>
      <w:tr w:rsidR="005770D6"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5770D6" w:rsidRPr="001160F4" w:rsidRDefault="005770D6" w:rsidP="005770D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594F88E" w14:textId="53FC9459" w:rsidR="005770D6" w:rsidRDefault="006240B6" w:rsidP="00422699">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005770D6"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0296C647" w14:textId="7C5936B7" w:rsidR="00422699" w:rsidRPr="00FF3DCE" w:rsidRDefault="00422699" w:rsidP="00422699">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79A4156A" w14:textId="124CA06D" w:rsidR="00656559" w:rsidRPr="00964DD0" w:rsidRDefault="00C4455B" w:rsidP="005770D6">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26D67387" w14:textId="6AC0922C" w:rsidR="00C4455B" w:rsidRPr="00406B46" w:rsidRDefault="005770D6"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Pr="00002F4A">
              <w:rPr>
                <w:rFonts w:ascii="Times New Roman" w:hAnsi="Times New Roman"/>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F806711" w:rsidR="00C4455B" w:rsidRPr="005551EF" w:rsidRDefault="005551EF" w:rsidP="00406B46">
            <w:pPr>
              <w:widowControl w:val="0"/>
              <w:autoSpaceDE w:val="0"/>
              <w:autoSpaceDN w:val="0"/>
              <w:adjustRightInd w:val="0"/>
              <w:rPr>
                <w:rFonts w:ascii="Times New Roman" w:hAnsi="Times New Roman"/>
                <w:color w:val="000000" w:themeColor="text1"/>
                <w:sz w:val="20"/>
                <w:szCs w:val="20"/>
              </w:rPr>
            </w:pPr>
            <w:r w:rsidRPr="005551EF">
              <w:rPr>
                <w:rFonts w:ascii="Times New Roman" w:hAnsi="Times New Roman"/>
                <w:color w:val="000000" w:themeColor="text1"/>
                <w:sz w:val="20"/>
                <w:szCs w:val="20"/>
              </w:rPr>
              <w:t>62.5%</w:t>
            </w:r>
          </w:p>
        </w:tc>
      </w:tr>
      <w:tr w:rsidR="005770D6" w:rsidRPr="00964DD0" w14:paraId="14853067" w14:textId="77777777" w:rsidTr="00CC5395">
        <w:trPr>
          <w:trHeight w:val="136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5770D6" w:rsidRPr="00EB65C8" w:rsidRDefault="005770D6" w:rsidP="005770D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5F3C51A" w14:textId="10E5DFD7" w:rsidR="005770D6" w:rsidRPr="006240B6" w:rsidRDefault="005770D6" w:rsidP="00CC5395">
            <w:pPr>
              <w:widowControl w:val="0"/>
              <w:autoSpaceDE w:val="0"/>
              <w:autoSpaceDN w:val="0"/>
              <w:adjustRightInd w:val="0"/>
              <w:rPr>
                <w:rFonts w:ascii="Times New Roman" w:hAnsi="Times New Roman"/>
                <w:bCs/>
                <w:color w:val="FF0000"/>
                <w:sz w:val="20"/>
                <w:szCs w:val="20"/>
              </w:rPr>
            </w:pPr>
            <w:r w:rsidRPr="00F42C44">
              <w:rPr>
                <w:rFonts w:ascii="Times New Roman" w:hAnsi="Times New Roman"/>
                <w:bCs/>
                <w:sz w:val="20"/>
                <w:szCs w:val="20"/>
              </w:rPr>
              <w:t xml:space="preserve">Direct: </w:t>
            </w:r>
            <w:r w:rsidRPr="00DC1DF5">
              <w:rPr>
                <w:rFonts w:ascii="Times New Roman" w:hAnsi="Times New Roman"/>
                <w:bCs/>
                <w:sz w:val="20"/>
                <w:szCs w:val="20"/>
              </w:rPr>
              <w:t xml:space="preserve">Artifacts from </w:t>
            </w:r>
            <w:r w:rsidR="00422699">
              <w:rPr>
                <w:rFonts w:ascii="Times New Roman" w:hAnsi="Times New Roman"/>
                <w:bCs/>
                <w:sz w:val="20"/>
                <w:szCs w:val="20"/>
              </w:rPr>
              <w:t xml:space="preserve">one of </w:t>
            </w:r>
            <w:r w:rsidR="00E67735">
              <w:rPr>
                <w:rFonts w:ascii="Times New Roman" w:hAnsi="Times New Roman"/>
                <w:bCs/>
                <w:sz w:val="20"/>
                <w:szCs w:val="20"/>
              </w:rPr>
              <w:t xml:space="preserve">two </w:t>
            </w:r>
            <w:r w:rsidRPr="00DC1DF5">
              <w:rPr>
                <w:rFonts w:ascii="Times New Roman" w:hAnsi="Times New Roman"/>
                <w:bCs/>
                <w:sz w:val="20"/>
                <w:szCs w:val="20"/>
              </w:rPr>
              <w:t>core course</w:t>
            </w:r>
            <w:r w:rsidR="00E77CF5">
              <w:rPr>
                <w:rFonts w:ascii="Times New Roman" w:hAnsi="Times New Roman"/>
                <w:bCs/>
                <w:sz w:val="20"/>
                <w:szCs w:val="20"/>
              </w:rPr>
              <w:t>s</w:t>
            </w:r>
            <w:r w:rsidR="00E67735">
              <w:rPr>
                <w:rFonts w:ascii="Times New Roman" w:hAnsi="Times New Roman"/>
                <w:bCs/>
                <w:sz w:val="20"/>
                <w:szCs w:val="20"/>
              </w:rPr>
              <w:t>, COMM 553,</w:t>
            </w:r>
            <w:r w:rsidR="006240B6">
              <w:rPr>
                <w:rFonts w:ascii="Times New Roman" w:hAnsi="Times New Roman"/>
                <w:bCs/>
                <w:color w:val="FF0000"/>
                <w:sz w:val="20"/>
                <w:szCs w:val="20"/>
              </w:rPr>
              <w:t xml:space="preserve"> </w:t>
            </w:r>
            <w:r w:rsidRPr="00DC1DF5">
              <w:rPr>
                <w:rFonts w:ascii="Times New Roman" w:hAnsi="Times New Roman"/>
                <w:bCs/>
                <w:sz w:val="20"/>
                <w:szCs w:val="20"/>
              </w:rPr>
              <w:t xml:space="preserve">were collected from </w:t>
            </w:r>
            <w:r w:rsidR="00D55C98">
              <w:rPr>
                <w:rFonts w:ascii="Times New Roman" w:hAnsi="Times New Roman"/>
                <w:bCs/>
                <w:sz w:val="20"/>
                <w:szCs w:val="20"/>
              </w:rPr>
              <w:t>8</w:t>
            </w:r>
            <w:r w:rsidRPr="00DC1DF5">
              <w:rPr>
                <w:rFonts w:ascii="Times New Roman" w:hAnsi="Times New Roman"/>
                <w:bCs/>
                <w:sz w:val="20"/>
                <w:szCs w:val="20"/>
              </w:rPr>
              <w:t xml:space="preserve"> students (</w:t>
            </w:r>
            <w:r w:rsidRPr="006240B6">
              <w:rPr>
                <w:rFonts w:ascii="Times New Roman" w:hAnsi="Times New Roman"/>
                <w:bCs/>
                <w:i/>
                <w:iCs/>
                <w:sz w:val="20"/>
                <w:szCs w:val="20"/>
              </w:rPr>
              <w:t>n</w:t>
            </w:r>
            <w:r w:rsidRPr="00DC1DF5">
              <w:rPr>
                <w:rFonts w:ascii="Times New Roman" w:hAnsi="Times New Roman"/>
                <w:bCs/>
                <w:sz w:val="20"/>
                <w:szCs w:val="20"/>
              </w:rPr>
              <w:t xml:space="preserve"> = </w:t>
            </w:r>
            <w:r w:rsidR="00D55C98">
              <w:rPr>
                <w:rFonts w:ascii="Times New Roman" w:hAnsi="Times New Roman"/>
                <w:bCs/>
                <w:sz w:val="20"/>
                <w:szCs w:val="20"/>
              </w:rPr>
              <w:t>8</w:t>
            </w:r>
            <w:r w:rsidRPr="00DC1DF5">
              <w:rPr>
                <w:rFonts w:ascii="Times New Roman" w:hAnsi="Times New Roman"/>
                <w:bCs/>
                <w:sz w:val="20"/>
                <w:szCs w:val="20"/>
              </w:rPr>
              <w:t xml:space="preserve">) </w:t>
            </w:r>
            <w:r w:rsidR="005551EF">
              <w:rPr>
                <w:rFonts w:ascii="Times New Roman" w:hAnsi="Times New Roman"/>
                <w:bCs/>
                <w:sz w:val="20"/>
                <w:szCs w:val="20"/>
              </w:rPr>
              <w:t xml:space="preserve">enrolled in the course during </w:t>
            </w:r>
            <w:r w:rsidRPr="00DC1DF5">
              <w:rPr>
                <w:rFonts w:ascii="Times New Roman" w:hAnsi="Times New Roman"/>
                <w:bCs/>
                <w:sz w:val="20"/>
                <w:szCs w:val="20"/>
              </w:rPr>
              <w:t xml:space="preserve">the assessment </w:t>
            </w:r>
            <w:r w:rsidR="005551EF">
              <w:rPr>
                <w:rFonts w:ascii="Times New Roman" w:hAnsi="Times New Roman"/>
                <w:bCs/>
                <w:sz w:val="20"/>
                <w:szCs w:val="20"/>
              </w:rPr>
              <w:t>p</w:t>
            </w:r>
            <w:r w:rsidRPr="00DC1DF5">
              <w:rPr>
                <w:rFonts w:ascii="Times New Roman" w:hAnsi="Times New Roman"/>
                <w:bCs/>
                <w:sz w:val="20"/>
                <w:szCs w:val="20"/>
              </w:rPr>
              <w:t xml:space="preserve">eriod out of a total of </w:t>
            </w:r>
            <w:r w:rsidR="00A46BB3">
              <w:rPr>
                <w:rFonts w:ascii="Times New Roman" w:hAnsi="Times New Roman"/>
                <w:bCs/>
                <w:sz w:val="20"/>
                <w:szCs w:val="20"/>
              </w:rPr>
              <w:t>12</w:t>
            </w:r>
            <w:r w:rsidRPr="00DC1DF5">
              <w:rPr>
                <w:rFonts w:ascii="Times New Roman" w:hAnsi="Times New Roman"/>
                <w:bCs/>
                <w:sz w:val="20"/>
                <w:szCs w:val="20"/>
              </w:rPr>
              <w:t xml:space="preserve"> students in the certificate program (</w:t>
            </w:r>
            <w:r w:rsidRPr="006240B6">
              <w:rPr>
                <w:rFonts w:ascii="Times New Roman" w:hAnsi="Times New Roman"/>
                <w:bCs/>
                <w:i/>
                <w:iCs/>
                <w:sz w:val="20"/>
                <w:szCs w:val="20"/>
              </w:rPr>
              <w:t>N</w:t>
            </w:r>
            <w:r w:rsidRPr="00DC1DF5">
              <w:rPr>
                <w:rFonts w:ascii="Times New Roman" w:hAnsi="Times New Roman"/>
                <w:bCs/>
                <w:sz w:val="20"/>
                <w:szCs w:val="20"/>
              </w:rPr>
              <w:t xml:space="preserve"> = </w:t>
            </w:r>
            <w:r w:rsidR="00A46BB3">
              <w:rPr>
                <w:rFonts w:ascii="Times New Roman" w:hAnsi="Times New Roman"/>
                <w:bCs/>
                <w:sz w:val="20"/>
                <w:szCs w:val="20"/>
              </w:rPr>
              <w:t>12</w:t>
            </w:r>
            <w:r w:rsidRPr="00DC1DF5">
              <w:rPr>
                <w:rFonts w:ascii="Times New Roman" w:hAnsi="Times New Roman"/>
                <w:bCs/>
                <w:sz w:val="20"/>
                <w:szCs w:val="20"/>
              </w:rPr>
              <w:t>)</w:t>
            </w:r>
            <w:r w:rsidR="00A46BB3">
              <w:rPr>
                <w:rFonts w:ascii="Times New Roman" w:hAnsi="Times New Roman"/>
                <w:bCs/>
                <w:sz w:val="20"/>
                <w:szCs w:val="20"/>
              </w:rPr>
              <w:t xml:space="preserve"> during 2021-22</w:t>
            </w:r>
            <w:r w:rsidRPr="00DC1DF5">
              <w:rPr>
                <w:rFonts w:ascii="Times New Roman" w:hAnsi="Times New Roman"/>
                <w:bCs/>
                <w:sz w:val="20"/>
                <w:szCs w:val="20"/>
              </w:rPr>
              <w:t>. All identifiers were removed (student name, course name, and faculty name) from the artifact and each were assigned to two full-time graduate faculty who teach in the graduate communication program so that each paper was read twice by two different reviewers. The mean of the reviewer scores were used as the final score. The rubric used for scoring was developed from the program learning outcomes; for this SLO, there was a single corresponding rubric item which could be scored along four different levels.</w:t>
            </w:r>
          </w:p>
          <w:p w14:paraId="06BCD006" w14:textId="07E1367B" w:rsidR="00CC5395" w:rsidRPr="00406B46" w:rsidRDefault="00CC5395" w:rsidP="00CC5395">
            <w:pPr>
              <w:widowControl w:val="0"/>
              <w:autoSpaceDE w:val="0"/>
              <w:autoSpaceDN w:val="0"/>
              <w:adjustRightInd w:val="0"/>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9995DB2" w:rsidR="00402256" w:rsidRPr="003A32E4" w:rsidRDefault="00A7714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4141A545" w:rsidR="00402256" w:rsidRPr="0054609C" w:rsidRDefault="00402256" w:rsidP="00E40C7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 xml:space="preserve">program improvement. </w:t>
            </w:r>
            <w:r w:rsidR="00E40C74">
              <w:rPr>
                <w:rFonts w:ascii="Times New Roman" w:hAnsi="Times New Roman"/>
                <w:sz w:val="20"/>
                <w:szCs w:val="20"/>
              </w:rPr>
              <w:t xml:space="preserve"> </w:t>
            </w:r>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975F2" w:rsidRPr="00964DD0" w14:paraId="210CB496" w14:textId="77777777" w:rsidTr="00060BE5">
        <w:trPr>
          <w:trHeight w:val="1340"/>
        </w:trPr>
        <w:tc>
          <w:tcPr>
            <w:tcW w:w="14395" w:type="dxa"/>
            <w:gridSpan w:val="6"/>
            <w:shd w:val="clear" w:color="auto" w:fill="auto"/>
            <w:tcMar>
              <w:top w:w="100" w:type="nil"/>
              <w:right w:w="100" w:type="nil"/>
            </w:tcMar>
          </w:tcPr>
          <w:p w14:paraId="6514941E" w14:textId="09E76A65" w:rsidR="000975F2" w:rsidRDefault="000975F2" w:rsidP="000975F2">
            <w:pPr>
              <w:rPr>
                <w:rFonts w:ascii="Times New Roman" w:hAnsi="Times New Roman"/>
                <w:color w:val="000000" w:themeColor="text1"/>
                <w:sz w:val="20"/>
                <w:szCs w:val="20"/>
              </w:rPr>
            </w:pPr>
            <w:r w:rsidRPr="00583538">
              <w:rPr>
                <w:rFonts w:ascii="Times New Roman" w:hAnsi="Times New Roman"/>
                <w:color w:val="000000" w:themeColor="text1"/>
                <w:sz w:val="20"/>
                <w:szCs w:val="20"/>
              </w:rPr>
              <w:t>Overall, the result from this assessment indicate that</w:t>
            </w:r>
            <w:r>
              <w:rPr>
                <w:rFonts w:ascii="Times New Roman" w:hAnsi="Times New Roman"/>
                <w:color w:val="000000" w:themeColor="text1"/>
                <w:sz w:val="20"/>
                <w:szCs w:val="20"/>
              </w:rPr>
              <w:t xml:space="preserve"> while</w:t>
            </w:r>
            <w:r w:rsidRPr="00583538">
              <w:rPr>
                <w:rFonts w:ascii="Times New Roman" w:hAnsi="Times New Roman"/>
                <w:color w:val="000000" w:themeColor="text1"/>
                <w:sz w:val="20"/>
                <w:szCs w:val="20"/>
              </w:rPr>
              <w:t xml:space="preserve"> the mean scores </w:t>
            </w:r>
            <w:r>
              <w:rPr>
                <w:rFonts w:ascii="Times New Roman" w:hAnsi="Times New Roman"/>
                <w:color w:val="000000" w:themeColor="text1"/>
                <w:sz w:val="20"/>
                <w:szCs w:val="20"/>
              </w:rPr>
              <w:t xml:space="preserve">of </w:t>
            </w:r>
            <w:r w:rsidRPr="00583538">
              <w:rPr>
                <w:rFonts w:ascii="Times New Roman" w:hAnsi="Times New Roman"/>
                <w:color w:val="000000" w:themeColor="text1"/>
                <w:sz w:val="20"/>
                <w:szCs w:val="20"/>
              </w:rPr>
              <w:t xml:space="preserve">the sampled student papers </w:t>
            </w:r>
            <w:r>
              <w:rPr>
                <w:rFonts w:ascii="Times New Roman" w:hAnsi="Times New Roman"/>
                <w:color w:val="000000" w:themeColor="text1"/>
                <w:sz w:val="20"/>
                <w:szCs w:val="20"/>
              </w:rPr>
              <w:t xml:space="preserve">did meet the “proficient” level of achievement, but only that the number of student </w:t>
            </w:r>
            <w:proofErr w:type="spellStart"/>
            <w:r>
              <w:rPr>
                <w:rFonts w:ascii="Times New Roman" w:hAnsi="Times New Roman"/>
                <w:color w:val="000000" w:themeColor="text1"/>
                <w:sz w:val="20"/>
                <w:szCs w:val="20"/>
              </w:rPr>
              <w:t>artifiacts</w:t>
            </w:r>
            <w:proofErr w:type="spellEnd"/>
            <w:r>
              <w:rPr>
                <w:rFonts w:ascii="Times New Roman" w:hAnsi="Times New Roman"/>
                <w:color w:val="000000" w:themeColor="text1"/>
                <w:sz w:val="20"/>
                <w:szCs w:val="20"/>
              </w:rPr>
              <w:t xml:space="preserve"> needed to meet the “proficient” level stated was 5, instead of 6. </w:t>
            </w:r>
            <w:r w:rsidRPr="00583538">
              <w:rPr>
                <w:rFonts w:ascii="Times New Roman" w:hAnsi="Times New Roman"/>
                <w:color w:val="000000" w:themeColor="text1"/>
                <w:sz w:val="20"/>
                <w:szCs w:val="20"/>
              </w:rPr>
              <w:t xml:space="preserve">The assessment result </w:t>
            </w:r>
            <w:proofErr w:type="gramStart"/>
            <w:r w:rsidRPr="00583538">
              <w:rPr>
                <w:rFonts w:ascii="Times New Roman" w:hAnsi="Times New Roman"/>
                <w:color w:val="000000" w:themeColor="text1"/>
                <w:sz w:val="20"/>
                <w:szCs w:val="20"/>
              </w:rPr>
              <w:t>suggest</w:t>
            </w:r>
            <w:proofErr w:type="gramEnd"/>
            <w:r w:rsidRPr="00583538">
              <w:rPr>
                <w:rFonts w:ascii="Times New Roman" w:hAnsi="Times New Roman"/>
                <w:color w:val="000000" w:themeColor="text1"/>
                <w:sz w:val="20"/>
                <w:szCs w:val="20"/>
              </w:rPr>
              <w:t xml:space="preserve"> there </w:t>
            </w:r>
            <w:r>
              <w:rPr>
                <w:rFonts w:ascii="Times New Roman" w:hAnsi="Times New Roman"/>
                <w:color w:val="000000" w:themeColor="text1"/>
                <w:sz w:val="20"/>
                <w:szCs w:val="20"/>
              </w:rPr>
              <w:t>was</w:t>
            </w:r>
            <w:r w:rsidRPr="00583538">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reasonable </w:t>
            </w:r>
            <w:r w:rsidRPr="00583538">
              <w:rPr>
                <w:rFonts w:ascii="Times New Roman" w:hAnsi="Times New Roman"/>
                <w:color w:val="000000" w:themeColor="text1"/>
                <w:sz w:val="20"/>
                <w:szCs w:val="20"/>
              </w:rPr>
              <w:t xml:space="preserve">alignment between the core course learning outcomes and the program learning outcome. </w:t>
            </w:r>
            <w:r>
              <w:rPr>
                <w:rFonts w:ascii="Times New Roman" w:hAnsi="Times New Roman"/>
                <w:color w:val="000000" w:themeColor="text1"/>
                <w:sz w:val="20"/>
                <w:szCs w:val="20"/>
              </w:rPr>
              <w:t xml:space="preserve">While assessment practice needs to be continuously improved in the future, the most meaningful </w:t>
            </w:r>
            <w:r w:rsidRPr="00583538">
              <w:rPr>
                <w:rFonts w:ascii="Times New Roman" w:hAnsi="Times New Roman"/>
                <w:color w:val="000000" w:themeColor="text1"/>
                <w:sz w:val="20"/>
                <w:szCs w:val="20"/>
              </w:rPr>
              <w:t>action for program improvement</w:t>
            </w:r>
            <w:r>
              <w:rPr>
                <w:rFonts w:ascii="Times New Roman" w:hAnsi="Times New Roman"/>
                <w:color w:val="000000" w:themeColor="text1"/>
                <w:sz w:val="20"/>
                <w:szCs w:val="20"/>
              </w:rPr>
              <w:t xml:space="preserve"> is to have </w:t>
            </w:r>
            <w:r w:rsidRPr="00583538">
              <w:rPr>
                <w:rFonts w:ascii="Times New Roman" w:hAnsi="Times New Roman"/>
                <w:color w:val="000000" w:themeColor="text1"/>
                <w:sz w:val="20"/>
                <w:szCs w:val="20"/>
              </w:rPr>
              <w:t xml:space="preserve">a full-time tenure-track faculty </w:t>
            </w:r>
            <w:r>
              <w:rPr>
                <w:rFonts w:ascii="Times New Roman" w:hAnsi="Times New Roman"/>
                <w:color w:val="000000" w:themeColor="text1"/>
                <w:sz w:val="20"/>
                <w:szCs w:val="20"/>
              </w:rPr>
              <w:t xml:space="preserve">teach the two core courses </w:t>
            </w:r>
            <w:r w:rsidRPr="00583538">
              <w:rPr>
                <w:rFonts w:ascii="Times New Roman" w:hAnsi="Times New Roman"/>
                <w:color w:val="000000" w:themeColor="text1"/>
                <w:sz w:val="20"/>
                <w:szCs w:val="20"/>
              </w:rPr>
              <w:t>instead of an adjunct instructor</w:t>
            </w:r>
            <w:r>
              <w:rPr>
                <w:rFonts w:ascii="Times New Roman" w:hAnsi="Times New Roman"/>
                <w:color w:val="000000" w:themeColor="text1"/>
                <w:sz w:val="20"/>
                <w:szCs w:val="20"/>
              </w:rPr>
              <w:t xml:space="preserve">. This is critical </w:t>
            </w:r>
            <w:r>
              <w:rPr>
                <w:rFonts w:ascii="Times New Roman" w:hAnsi="Times New Roman"/>
                <w:color w:val="000000" w:themeColor="text1"/>
                <w:sz w:val="20"/>
              </w:rPr>
              <w:t xml:space="preserve">because </w:t>
            </w:r>
            <w:r w:rsidRPr="004B4978">
              <w:rPr>
                <w:rFonts w:ascii="Times New Roman" w:hAnsi="Times New Roman"/>
                <w:color w:val="000000" w:themeColor="text1"/>
                <w:sz w:val="20"/>
              </w:rPr>
              <w:t xml:space="preserve">student learning </w:t>
            </w:r>
            <w:r>
              <w:rPr>
                <w:rFonts w:ascii="Times New Roman" w:hAnsi="Times New Roman"/>
                <w:color w:val="000000" w:themeColor="text1"/>
                <w:sz w:val="20"/>
              </w:rPr>
              <w:t>is e</w:t>
            </w:r>
            <w:r w:rsidRPr="004B4978">
              <w:rPr>
                <w:rFonts w:ascii="Times New Roman" w:hAnsi="Times New Roman"/>
                <w:color w:val="000000" w:themeColor="text1"/>
                <w:sz w:val="20"/>
              </w:rPr>
              <w:t xml:space="preserve">nhanced </w:t>
            </w:r>
            <w:r>
              <w:rPr>
                <w:rFonts w:ascii="Times New Roman" w:hAnsi="Times New Roman"/>
                <w:color w:val="000000" w:themeColor="text1"/>
                <w:sz w:val="20"/>
              </w:rPr>
              <w:t xml:space="preserve">by having a faculty </w:t>
            </w:r>
            <w:r w:rsidR="006240B6">
              <w:rPr>
                <w:rFonts w:ascii="Times New Roman" w:hAnsi="Times New Roman"/>
                <w:color w:val="000000" w:themeColor="text1"/>
                <w:sz w:val="20"/>
              </w:rPr>
              <w:t xml:space="preserve">member </w:t>
            </w:r>
            <w:r>
              <w:rPr>
                <w:rFonts w:ascii="Times New Roman" w:hAnsi="Times New Roman"/>
                <w:color w:val="000000" w:themeColor="text1"/>
                <w:sz w:val="20"/>
              </w:rPr>
              <w:t xml:space="preserve">who is on campus to </w:t>
            </w:r>
            <w:r w:rsidRPr="004B4978">
              <w:rPr>
                <w:rFonts w:ascii="Times New Roman" w:hAnsi="Times New Roman"/>
                <w:color w:val="000000" w:themeColor="text1"/>
                <w:sz w:val="20"/>
              </w:rPr>
              <w:t>meaningful mentor and engage</w:t>
            </w:r>
            <w:r>
              <w:rPr>
                <w:rFonts w:ascii="Times New Roman" w:hAnsi="Times New Roman"/>
                <w:color w:val="000000" w:themeColor="text1"/>
                <w:sz w:val="20"/>
              </w:rPr>
              <w:t xml:space="preserve"> with </w:t>
            </w:r>
            <w:proofErr w:type="spellStart"/>
            <w:proofErr w:type="gramStart"/>
            <w:r>
              <w:rPr>
                <w:rFonts w:ascii="Times New Roman" w:hAnsi="Times New Roman"/>
                <w:color w:val="000000" w:themeColor="text1"/>
                <w:sz w:val="20"/>
              </w:rPr>
              <w:t>students.</w:t>
            </w:r>
            <w:r w:rsidRPr="00583538">
              <w:rPr>
                <w:rFonts w:ascii="Times New Roman" w:hAnsi="Times New Roman"/>
                <w:color w:val="000000" w:themeColor="text1"/>
                <w:sz w:val="20"/>
                <w:szCs w:val="20"/>
              </w:rPr>
              <w:t>As</w:t>
            </w:r>
            <w:proofErr w:type="spellEnd"/>
            <w:proofErr w:type="gramEnd"/>
            <w:r w:rsidRPr="00583538">
              <w:rPr>
                <w:rFonts w:ascii="Times New Roman" w:hAnsi="Times New Roman"/>
                <w:color w:val="000000" w:themeColor="text1"/>
                <w:sz w:val="20"/>
                <w:szCs w:val="20"/>
              </w:rPr>
              <w:t xml:space="preserve"> such, the department will need to do a search for a full-time tenure-track expert in healthcare communication next year in order to make this promising program viable and sustainable.</w:t>
            </w:r>
          </w:p>
          <w:p w14:paraId="2B3811B9" w14:textId="793296BC" w:rsidR="000975F2" w:rsidRPr="0054609C" w:rsidRDefault="000975F2" w:rsidP="000975F2">
            <w:pPr>
              <w:rPr>
                <w:rFonts w:ascii="Times New Roman" w:hAnsi="Times New Roman"/>
                <w:b/>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843400" w:rsidRPr="00964DD0" w14:paraId="62BA6E53" w14:textId="77777777" w:rsidTr="005907DF">
        <w:tc>
          <w:tcPr>
            <w:tcW w:w="14395" w:type="dxa"/>
            <w:gridSpan w:val="6"/>
            <w:shd w:val="clear" w:color="auto" w:fill="auto"/>
            <w:tcMar>
              <w:top w:w="100" w:type="nil"/>
              <w:right w:w="100" w:type="nil"/>
            </w:tcMar>
          </w:tcPr>
          <w:p w14:paraId="46298120" w14:textId="0A14743C" w:rsidR="00843400" w:rsidRDefault="00843400" w:rsidP="00843400">
            <w:pPr>
              <w:rPr>
                <w:rFonts w:ascii="Times New Roman" w:hAnsi="Times New Roman"/>
                <w:bCs/>
                <w:sz w:val="20"/>
              </w:rPr>
            </w:pPr>
            <w:r>
              <w:rPr>
                <w:rFonts w:ascii="Times New Roman" w:hAnsi="Times New Roman"/>
                <w:bCs/>
                <w:sz w:val="20"/>
              </w:rPr>
              <w:t xml:space="preserve">The adjunct instructor who teaches the core courses in the 0475 graduate certificate program </w:t>
            </w:r>
            <w:r w:rsidR="0060517E">
              <w:rPr>
                <w:rFonts w:ascii="Times New Roman" w:hAnsi="Times New Roman"/>
                <w:bCs/>
                <w:sz w:val="20"/>
              </w:rPr>
              <w:t xml:space="preserve">have been </w:t>
            </w:r>
            <w:r>
              <w:rPr>
                <w:rFonts w:ascii="Times New Roman" w:hAnsi="Times New Roman"/>
                <w:bCs/>
                <w:sz w:val="20"/>
              </w:rPr>
              <w:t xml:space="preserve">consulted before the start of the new AY to assure there is better alignment between course learning objectives, coursework and assignments, and program learning outcomes. </w:t>
            </w:r>
          </w:p>
          <w:p w14:paraId="2C7013F5" w14:textId="77777777" w:rsidR="00843400" w:rsidRPr="006E294C" w:rsidRDefault="00843400" w:rsidP="00843400">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C5395" w:rsidRPr="00964DD0" w14:paraId="5DD967C4" w14:textId="77777777" w:rsidTr="005907DF">
        <w:tc>
          <w:tcPr>
            <w:tcW w:w="14395" w:type="dxa"/>
            <w:gridSpan w:val="6"/>
            <w:shd w:val="clear" w:color="auto" w:fill="auto"/>
            <w:tcMar>
              <w:top w:w="100" w:type="nil"/>
              <w:right w:w="100" w:type="nil"/>
            </w:tcMar>
          </w:tcPr>
          <w:p w14:paraId="36E1A379" w14:textId="5E271FC8" w:rsidR="00CC5395" w:rsidRPr="00923B2D" w:rsidRDefault="00CC5395" w:rsidP="00CC5395">
            <w:pPr>
              <w:rPr>
                <w:rFonts w:ascii="Times New Roman" w:hAnsi="Times New Roman"/>
                <w:color w:val="000000" w:themeColor="text1"/>
                <w:sz w:val="20"/>
              </w:rPr>
            </w:pPr>
            <w:r>
              <w:rPr>
                <w:rFonts w:ascii="Times New Roman" w:hAnsi="Times New Roman"/>
                <w:color w:val="000000" w:themeColor="text1"/>
                <w:sz w:val="20"/>
              </w:rPr>
              <w:t>T</w:t>
            </w:r>
            <w:r w:rsidRPr="00923B2D">
              <w:rPr>
                <w:rFonts w:ascii="Times New Roman" w:hAnsi="Times New Roman"/>
                <w:color w:val="000000" w:themeColor="text1"/>
                <w:sz w:val="20"/>
              </w:rPr>
              <w:t>he Gradu</w:t>
            </w:r>
            <w:r w:rsidR="006240B6">
              <w:rPr>
                <w:rFonts w:ascii="Times New Roman" w:hAnsi="Times New Roman"/>
                <w:color w:val="000000" w:themeColor="text1"/>
                <w:sz w:val="20"/>
              </w:rPr>
              <w:t>a</w:t>
            </w:r>
            <w:r w:rsidRPr="00923B2D">
              <w:rPr>
                <w:rFonts w:ascii="Times New Roman" w:hAnsi="Times New Roman"/>
                <w:color w:val="000000" w:themeColor="text1"/>
                <w:sz w:val="20"/>
              </w:rPr>
              <w:t>te Program Committee and course instructors</w:t>
            </w:r>
            <w:r>
              <w:rPr>
                <w:rFonts w:ascii="Times New Roman" w:hAnsi="Times New Roman"/>
                <w:color w:val="000000" w:themeColor="text1"/>
                <w:sz w:val="20"/>
              </w:rPr>
              <w:t xml:space="preserve"> will be consulted at the start of the next AY for how to best assess the program for 2022-23.</w:t>
            </w:r>
          </w:p>
          <w:p w14:paraId="170CB71C" w14:textId="7F47F88A" w:rsidR="00CC5395" w:rsidRPr="007531CA" w:rsidRDefault="00CC5395" w:rsidP="00CC5395">
            <w:pPr>
              <w:jc w:val="both"/>
              <w:rPr>
                <w:rFonts w:ascii="Times New Roman" w:hAnsi="Times New Roman"/>
                <w:color w:val="767171" w:themeColor="background2" w:themeShade="80"/>
                <w:sz w:val="20"/>
              </w:rPr>
            </w:pPr>
          </w:p>
        </w:tc>
      </w:tr>
    </w:tbl>
    <w:p w14:paraId="634A4F2D" w14:textId="77777777" w:rsidR="00422699" w:rsidRDefault="0042269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55739A">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55739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49446AC" w:rsidR="00A77149" w:rsidRPr="00A77149" w:rsidRDefault="00A77149" w:rsidP="0055739A">
            <w:pPr>
              <w:widowControl w:val="0"/>
              <w:autoSpaceDE w:val="0"/>
              <w:autoSpaceDN w:val="0"/>
              <w:adjustRightInd w:val="0"/>
              <w:rPr>
                <w:rFonts w:ascii="Times New Roman" w:hAnsi="Times New Roman"/>
                <w:b/>
                <w:bCs/>
                <w:color w:val="000000" w:themeColor="text1"/>
                <w:sz w:val="22"/>
                <w:szCs w:val="22"/>
              </w:rPr>
            </w:pPr>
            <w:r w:rsidRPr="00A77149">
              <w:rPr>
                <w:rFonts w:ascii="Times New Roman" w:hAnsi="Times New Roman"/>
                <w:b/>
                <w:bCs/>
                <w:color w:val="000000" w:themeColor="text1"/>
                <w:sz w:val="22"/>
                <w:szCs w:val="22"/>
              </w:rPr>
              <w:t>Identifies communication variables (including culture, technology) that affect communicating in healthcare contexts.</w:t>
            </w:r>
          </w:p>
        </w:tc>
      </w:tr>
      <w:tr w:rsidR="00422699"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422699" w:rsidRPr="005D68AF" w:rsidRDefault="00422699" w:rsidP="0042269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434D0FA" w14:textId="13A0EC10" w:rsidR="00422699" w:rsidRDefault="00422699" w:rsidP="00422699">
            <w:pPr>
              <w:widowControl w:val="0"/>
              <w:autoSpaceDE w:val="0"/>
              <w:autoSpaceDN w:val="0"/>
              <w:adjustRightInd w:val="0"/>
              <w:rPr>
                <w:rFonts w:ascii="Times New Roman" w:hAnsi="Times New Roman"/>
                <w:bCs/>
                <w:sz w:val="20"/>
                <w:szCs w:val="20"/>
              </w:rPr>
            </w:pPr>
            <w:r w:rsidRPr="00773A2C">
              <w:rPr>
                <w:rFonts w:ascii="Times New Roman" w:hAnsi="Times New Roman"/>
                <w:bCs/>
                <w:sz w:val="20"/>
                <w:szCs w:val="20"/>
              </w:rPr>
              <w:t xml:space="preserve">DIRECT measure of student learning: </w:t>
            </w:r>
            <w:r w:rsidRPr="004D15B3">
              <w:rPr>
                <w:rFonts w:ascii="Times New Roman" w:hAnsi="Times New Roman"/>
                <w:bCs/>
                <w:sz w:val="20"/>
                <w:szCs w:val="20"/>
              </w:rPr>
              <w:t xml:space="preserve">Student artifacts chosen for this SLO assessment </w:t>
            </w:r>
            <w:r>
              <w:rPr>
                <w:rFonts w:ascii="Times New Roman" w:hAnsi="Times New Roman"/>
                <w:bCs/>
                <w:sz w:val="20"/>
                <w:szCs w:val="20"/>
              </w:rPr>
              <w:t>w</w:t>
            </w:r>
            <w:r w:rsidR="006240B6">
              <w:rPr>
                <w:rFonts w:ascii="Times New Roman" w:hAnsi="Times New Roman"/>
                <w:bCs/>
                <w:sz w:val="20"/>
                <w:szCs w:val="20"/>
              </w:rPr>
              <w:t>ere</w:t>
            </w:r>
            <w:r>
              <w:rPr>
                <w:rFonts w:ascii="Times New Roman" w:hAnsi="Times New Roman"/>
                <w:bCs/>
                <w:sz w:val="20"/>
                <w:szCs w:val="20"/>
              </w:rPr>
              <w:t xml:space="preserve"> a </w:t>
            </w:r>
            <w:r w:rsidRPr="00773A2C">
              <w:rPr>
                <w:rFonts w:ascii="Times New Roman" w:hAnsi="Times New Roman"/>
                <w:bCs/>
                <w:sz w:val="20"/>
                <w:szCs w:val="20"/>
              </w:rPr>
              <w:t xml:space="preserve">5-page paper where they were required to analyze </w:t>
            </w:r>
            <w:r>
              <w:rPr>
                <w:rFonts w:ascii="Times New Roman" w:hAnsi="Times New Roman"/>
                <w:bCs/>
                <w:sz w:val="20"/>
                <w:szCs w:val="20"/>
              </w:rPr>
              <w:t xml:space="preserve">a health campaign </w:t>
            </w:r>
            <w:r w:rsidRPr="00773A2C">
              <w:rPr>
                <w:rFonts w:ascii="Times New Roman" w:hAnsi="Times New Roman"/>
                <w:bCs/>
                <w:sz w:val="20"/>
                <w:szCs w:val="20"/>
              </w:rPr>
              <w:t xml:space="preserve">and its </w:t>
            </w:r>
            <w:r>
              <w:rPr>
                <w:rFonts w:ascii="Times New Roman" w:hAnsi="Times New Roman"/>
                <w:bCs/>
                <w:sz w:val="20"/>
                <w:szCs w:val="20"/>
              </w:rPr>
              <w:t xml:space="preserve">communication </w:t>
            </w:r>
            <w:r w:rsidRPr="00773A2C">
              <w:rPr>
                <w:rFonts w:ascii="Times New Roman" w:hAnsi="Times New Roman"/>
                <w:bCs/>
                <w:sz w:val="20"/>
                <w:szCs w:val="20"/>
              </w:rPr>
              <w:t xml:space="preserve">processes </w:t>
            </w:r>
            <w:r>
              <w:rPr>
                <w:rFonts w:ascii="Times New Roman" w:hAnsi="Times New Roman"/>
                <w:bCs/>
                <w:sz w:val="20"/>
                <w:szCs w:val="20"/>
              </w:rPr>
              <w:t>to evaluate its effectiveness in delivering health information.</w:t>
            </w:r>
          </w:p>
          <w:p w14:paraId="0194078B" w14:textId="5140BD57" w:rsidR="00422699" w:rsidRPr="005D68AF" w:rsidRDefault="00422699" w:rsidP="00422699">
            <w:pPr>
              <w:widowControl w:val="0"/>
              <w:autoSpaceDE w:val="0"/>
              <w:autoSpaceDN w:val="0"/>
              <w:adjustRightInd w:val="0"/>
              <w:rPr>
                <w:rFonts w:ascii="Times New Roman" w:hAnsi="Times New Roman"/>
                <w:b/>
                <w:bCs/>
                <w:sz w:val="20"/>
                <w:szCs w:val="20"/>
              </w:rPr>
            </w:pPr>
          </w:p>
        </w:tc>
      </w:tr>
      <w:tr w:rsidR="00422699"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422699" w:rsidRPr="001160F4" w:rsidRDefault="00422699" w:rsidP="0042269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143B259" w14:textId="38EAEAAF" w:rsidR="00422699" w:rsidRDefault="006240B6" w:rsidP="00422699">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00422699"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306F016A" w14:textId="74CD76D4" w:rsidR="00422699" w:rsidRPr="00F136C3" w:rsidRDefault="00422699" w:rsidP="00422699">
            <w:pPr>
              <w:widowControl w:val="0"/>
              <w:autoSpaceDE w:val="0"/>
              <w:autoSpaceDN w:val="0"/>
              <w:adjustRightInd w:val="0"/>
              <w:rPr>
                <w:rFonts w:ascii="Times New Roman" w:hAnsi="Times New Roman"/>
                <w:color w:val="767171" w:themeColor="background2" w:themeShade="80"/>
                <w:sz w:val="20"/>
                <w:szCs w:val="20"/>
              </w:rPr>
            </w:pPr>
          </w:p>
        </w:tc>
      </w:tr>
      <w:tr w:rsidR="00B96F9F"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73BCDD76" w14:textId="51890FBD" w:rsidR="00B96F9F" w:rsidRPr="00964DD0" w:rsidRDefault="00B96F9F" w:rsidP="00422699">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2F88E710" w14:textId="4FB57139" w:rsidR="00B96F9F" w:rsidRPr="00964DD0" w:rsidRDefault="00B96F9F" w:rsidP="00B96F9F">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Pr="00002F4A">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B96F9F" w:rsidRPr="00C4455B" w:rsidRDefault="00B96F9F" w:rsidP="00B96F9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AC22DD6" w:rsidR="00B96F9F" w:rsidRPr="00422699" w:rsidRDefault="00422699" w:rsidP="00422699">
            <w:pPr>
              <w:widowControl w:val="0"/>
              <w:autoSpaceDE w:val="0"/>
              <w:autoSpaceDN w:val="0"/>
              <w:adjustRightInd w:val="0"/>
              <w:ind w:right="400"/>
              <w:rPr>
                <w:rFonts w:ascii="Times New Roman" w:hAnsi="Times New Roman"/>
                <w:color w:val="000000" w:themeColor="text1"/>
                <w:sz w:val="20"/>
                <w:szCs w:val="20"/>
              </w:rPr>
            </w:pPr>
            <w:r w:rsidRPr="00422699">
              <w:rPr>
                <w:rFonts w:ascii="Times New Roman" w:hAnsi="Times New Roman"/>
                <w:color w:val="000000" w:themeColor="text1"/>
                <w:sz w:val="20"/>
                <w:szCs w:val="20"/>
              </w:rPr>
              <w:t>25%</w:t>
            </w:r>
          </w:p>
        </w:tc>
      </w:tr>
      <w:tr w:rsidR="00422699"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422699" w:rsidRPr="00EB65C8" w:rsidRDefault="00422699" w:rsidP="004226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25AD240" w14:textId="376C7395" w:rsidR="00422699" w:rsidRPr="006240B6" w:rsidRDefault="00422699" w:rsidP="00CC5395">
            <w:pPr>
              <w:widowControl w:val="0"/>
              <w:autoSpaceDE w:val="0"/>
              <w:autoSpaceDN w:val="0"/>
              <w:adjustRightInd w:val="0"/>
              <w:rPr>
                <w:rFonts w:ascii="Times New Roman" w:hAnsi="Times New Roman"/>
                <w:bCs/>
                <w:color w:val="FF0000"/>
                <w:sz w:val="20"/>
                <w:szCs w:val="20"/>
              </w:rPr>
            </w:pPr>
            <w:r w:rsidRPr="00F42C44">
              <w:rPr>
                <w:rFonts w:ascii="Times New Roman" w:hAnsi="Times New Roman"/>
                <w:bCs/>
                <w:sz w:val="20"/>
                <w:szCs w:val="20"/>
              </w:rPr>
              <w:t xml:space="preserve">Direct: </w:t>
            </w:r>
            <w:r w:rsidR="000E1689" w:rsidRPr="00DC1DF5">
              <w:rPr>
                <w:rFonts w:ascii="Times New Roman" w:hAnsi="Times New Roman"/>
                <w:bCs/>
                <w:sz w:val="20"/>
                <w:szCs w:val="20"/>
              </w:rPr>
              <w:t xml:space="preserve">Artifacts from </w:t>
            </w:r>
            <w:r w:rsidR="000E1689">
              <w:rPr>
                <w:rFonts w:ascii="Times New Roman" w:hAnsi="Times New Roman"/>
                <w:bCs/>
                <w:sz w:val="20"/>
                <w:szCs w:val="20"/>
              </w:rPr>
              <w:t xml:space="preserve">one of two </w:t>
            </w:r>
            <w:r w:rsidR="000E1689" w:rsidRPr="00DC1DF5">
              <w:rPr>
                <w:rFonts w:ascii="Times New Roman" w:hAnsi="Times New Roman"/>
                <w:bCs/>
                <w:sz w:val="20"/>
                <w:szCs w:val="20"/>
              </w:rPr>
              <w:t>core course</w:t>
            </w:r>
            <w:r w:rsidR="000E1689">
              <w:rPr>
                <w:rFonts w:ascii="Times New Roman" w:hAnsi="Times New Roman"/>
                <w:bCs/>
                <w:sz w:val="20"/>
                <w:szCs w:val="20"/>
              </w:rPr>
              <w:t>s, COMM 553,</w:t>
            </w:r>
            <w:r w:rsidR="000E1689">
              <w:rPr>
                <w:rFonts w:ascii="Times New Roman" w:hAnsi="Times New Roman"/>
                <w:bCs/>
                <w:color w:val="FF0000"/>
                <w:sz w:val="20"/>
                <w:szCs w:val="20"/>
              </w:rPr>
              <w:t xml:space="preserve"> </w:t>
            </w:r>
            <w:r w:rsidR="000E1689" w:rsidRPr="00DC1DF5">
              <w:rPr>
                <w:rFonts w:ascii="Times New Roman" w:hAnsi="Times New Roman"/>
                <w:bCs/>
                <w:sz w:val="20"/>
                <w:szCs w:val="20"/>
              </w:rPr>
              <w:t xml:space="preserve">were </w:t>
            </w:r>
            <w:r w:rsidRPr="00DC1DF5">
              <w:rPr>
                <w:rFonts w:ascii="Times New Roman" w:hAnsi="Times New Roman"/>
                <w:bCs/>
                <w:sz w:val="20"/>
                <w:szCs w:val="20"/>
              </w:rPr>
              <w:t xml:space="preserve">collected from </w:t>
            </w:r>
            <w:r>
              <w:rPr>
                <w:rFonts w:ascii="Times New Roman" w:hAnsi="Times New Roman"/>
                <w:bCs/>
                <w:sz w:val="20"/>
                <w:szCs w:val="20"/>
              </w:rPr>
              <w:t>8</w:t>
            </w:r>
            <w:r w:rsidRPr="00DC1DF5">
              <w:rPr>
                <w:rFonts w:ascii="Times New Roman" w:hAnsi="Times New Roman"/>
                <w:bCs/>
                <w:sz w:val="20"/>
                <w:szCs w:val="20"/>
              </w:rPr>
              <w:t xml:space="preserve"> students (n = </w:t>
            </w:r>
            <w:r>
              <w:rPr>
                <w:rFonts w:ascii="Times New Roman" w:hAnsi="Times New Roman"/>
                <w:bCs/>
                <w:sz w:val="20"/>
                <w:szCs w:val="20"/>
              </w:rPr>
              <w:t>8</w:t>
            </w:r>
            <w:r w:rsidRPr="00DC1DF5">
              <w:rPr>
                <w:rFonts w:ascii="Times New Roman" w:hAnsi="Times New Roman"/>
                <w:bCs/>
                <w:sz w:val="20"/>
                <w:szCs w:val="20"/>
              </w:rPr>
              <w:t xml:space="preserve">) </w:t>
            </w:r>
            <w:r>
              <w:rPr>
                <w:rFonts w:ascii="Times New Roman" w:hAnsi="Times New Roman"/>
                <w:bCs/>
                <w:sz w:val="20"/>
                <w:szCs w:val="20"/>
              </w:rPr>
              <w:t xml:space="preserve">enrolled in the course during </w:t>
            </w:r>
            <w:r w:rsidRPr="00DC1DF5">
              <w:rPr>
                <w:rFonts w:ascii="Times New Roman" w:hAnsi="Times New Roman"/>
                <w:bCs/>
                <w:sz w:val="20"/>
                <w:szCs w:val="20"/>
              </w:rPr>
              <w:t xml:space="preserve">the assessment </w:t>
            </w:r>
            <w:r>
              <w:rPr>
                <w:rFonts w:ascii="Times New Roman" w:hAnsi="Times New Roman"/>
                <w:bCs/>
                <w:sz w:val="20"/>
                <w:szCs w:val="20"/>
              </w:rPr>
              <w:t>p</w:t>
            </w:r>
            <w:r w:rsidRPr="00DC1DF5">
              <w:rPr>
                <w:rFonts w:ascii="Times New Roman" w:hAnsi="Times New Roman"/>
                <w:bCs/>
                <w:sz w:val="20"/>
                <w:szCs w:val="20"/>
              </w:rPr>
              <w:t xml:space="preserve">eriod out of a total of </w:t>
            </w:r>
            <w:r>
              <w:rPr>
                <w:rFonts w:ascii="Times New Roman" w:hAnsi="Times New Roman"/>
                <w:bCs/>
                <w:sz w:val="20"/>
                <w:szCs w:val="20"/>
              </w:rPr>
              <w:t>12</w:t>
            </w:r>
            <w:r w:rsidRPr="00DC1DF5">
              <w:rPr>
                <w:rFonts w:ascii="Times New Roman" w:hAnsi="Times New Roman"/>
                <w:bCs/>
                <w:sz w:val="20"/>
                <w:szCs w:val="20"/>
              </w:rPr>
              <w:t xml:space="preserve"> students in the certificate program (N = </w:t>
            </w:r>
            <w:r>
              <w:rPr>
                <w:rFonts w:ascii="Times New Roman" w:hAnsi="Times New Roman"/>
                <w:bCs/>
                <w:sz w:val="20"/>
                <w:szCs w:val="20"/>
              </w:rPr>
              <w:t>12</w:t>
            </w:r>
            <w:r w:rsidRPr="00DC1DF5">
              <w:rPr>
                <w:rFonts w:ascii="Times New Roman" w:hAnsi="Times New Roman"/>
                <w:bCs/>
                <w:sz w:val="20"/>
                <w:szCs w:val="20"/>
              </w:rPr>
              <w:t>)</w:t>
            </w:r>
            <w:r>
              <w:rPr>
                <w:rFonts w:ascii="Times New Roman" w:hAnsi="Times New Roman"/>
                <w:bCs/>
                <w:sz w:val="20"/>
                <w:szCs w:val="20"/>
              </w:rPr>
              <w:t xml:space="preserve"> during 2021-22</w:t>
            </w:r>
            <w:r w:rsidRPr="00DC1DF5">
              <w:rPr>
                <w:rFonts w:ascii="Times New Roman" w:hAnsi="Times New Roman"/>
                <w:bCs/>
                <w:sz w:val="20"/>
                <w:szCs w:val="20"/>
              </w:rPr>
              <w:t>. All identifiers were removed (student name, course name, and faculty name) from the artifact and each were assigned to two full-time graduate faculty who teach in the graduate communication program so that each paper was read twice by two different reviewers. The mean of the reviewer scores were used as the final score. The rubric used for scoring was developed from the program learning outcomes; for this SLO, there was a single corresponding rubric item which could be scored along four different levels.</w:t>
            </w:r>
            <w:r w:rsidR="006240B6">
              <w:rPr>
                <w:rFonts w:ascii="Times New Roman" w:hAnsi="Times New Roman"/>
                <w:bCs/>
                <w:sz w:val="20"/>
                <w:szCs w:val="20"/>
              </w:rPr>
              <w:t xml:space="preserve"> </w:t>
            </w:r>
          </w:p>
          <w:p w14:paraId="70E861C6" w14:textId="0F3DD681" w:rsidR="00CC5395" w:rsidRPr="00964DD0" w:rsidRDefault="00CC5395" w:rsidP="00CC5395">
            <w:pPr>
              <w:widowControl w:val="0"/>
              <w:autoSpaceDE w:val="0"/>
              <w:autoSpaceDN w:val="0"/>
              <w:adjustRightInd w:val="0"/>
              <w:rPr>
                <w:rFonts w:ascii="Times New Roman" w:hAnsi="Times New Roman"/>
                <w:sz w:val="20"/>
                <w:szCs w:val="20"/>
              </w:rPr>
            </w:pPr>
          </w:p>
        </w:tc>
      </w:tr>
      <w:tr w:rsidR="00B96F9F"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B96F9F" w:rsidRDefault="00B96F9F" w:rsidP="00B96F9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96F9F" w:rsidRPr="003A32E4" w:rsidRDefault="00B96F9F" w:rsidP="00B96F9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B96F9F" w:rsidRPr="003A32E4" w:rsidRDefault="00B96F9F" w:rsidP="00B96F9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8286F04" w:rsidR="00B96F9F" w:rsidRPr="003A32E4" w:rsidRDefault="00422699" w:rsidP="00B96F9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sidR="00B96F9F">
              <w:rPr>
                <w:rFonts w:ascii="Times New Roman" w:hAnsi="Times New Roman"/>
                <w:b/>
                <w:sz w:val="22"/>
                <w:szCs w:val="22"/>
              </w:rPr>
              <w:t xml:space="preserve"> </w:t>
            </w:r>
            <w:r w:rsidR="00B96F9F" w:rsidRPr="003A32E4">
              <w:rPr>
                <w:rFonts w:ascii="Times New Roman" w:hAnsi="Times New Roman"/>
                <w:b/>
                <w:sz w:val="22"/>
                <w:szCs w:val="22"/>
              </w:rPr>
              <w:t>Not Met</w:t>
            </w:r>
          </w:p>
        </w:tc>
      </w:tr>
      <w:tr w:rsidR="00B96F9F" w:rsidRPr="00964DD0" w14:paraId="0D3445A0" w14:textId="77777777" w:rsidTr="00060BE5">
        <w:tc>
          <w:tcPr>
            <w:tcW w:w="14395" w:type="dxa"/>
            <w:gridSpan w:val="6"/>
            <w:shd w:val="clear" w:color="auto" w:fill="auto"/>
            <w:tcMar>
              <w:top w:w="100" w:type="nil"/>
              <w:right w:w="100" w:type="nil"/>
            </w:tcMar>
          </w:tcPr>
          <w:p w14:paraId="00566383" w14:textId="77777777" w:rsidR="00B96F9F" w:rsidRPr="0054609C" w:rsidRDefault="00B96F9F" w:rsidP="00B96F9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5739A" w:rsidRPr="00964DD0" w14:paraId="5A144F00" w14:textId="77777777" w:rsidTr="00060BE5">
        <w:trPr>
          <w:trHeight w:val="1340"/>
        </w:trPr>
        <w:tc>
          <w:tcPr>
            <w:tcW w:w="14395" w:type="dxa"/>
            <w:gridSpan w:val="6"/>
            <w:shd w:val="clear" w:color="auto" w:fill="auto"/>
            <w:tcMar>
              <w:top w:w="100" w:type="nil"/>
              <w:right w:w="100" w:type="nil"/>
            </w:tcMar>
          </w:tcPr>
          <w:p w14:paraId="5A3529FC" w14:textId="424B74BE" w:rsidR="004447FD" w:rsidRDefault="0055739A" w:rsidP="000975F2">
            <w:pPr>
              <w:rPr>
                <w:rFonts w:ascii="Times New Roman" w:hAnsi="Times New Roman"/>
                <w:color w:val="000000" w:themeColor="text1"/>
                <w:sz w:val="20"/>
                <w:szCs w:val="20"/>
              </w:rPr>
            </w:pPr>
            <w:r w:rsidRPr="00583538">
              <w:rPr>
                <w:rFonts w:ascii="Times New Roman" w:hAnsi="Times New Roman"/>
                <w:color w:val="000000" w:themeColor="text1"/>
                <w:sz w:val="20"/>
                <w:szCs w:val="20"/>
              </w:rPr>
              <w:t xml:space="preserve">Overall, the result </w:t>
            </w:r>
            <w:r w:rsidR="005F7C2E">
              <w:rPr>
                <w:rFonts w:ascii="Times New Roman" w:hAnsi="Times New Roman"/>
                <w:color w:val="000000" w:themeColor="text1"/>
                <w:sz w:val="20"/>
                <w:szCs w:val="20"/>
              </w:rPr>
              <w:t xml:space="preserve">of assessment for this SLO </w:t>
            </w:r>
            <w:r w:rsidRPr="00583538">
              <w:rPr>
                <w:rFonts w:ascii="Times New Roman" w:hAnsi="Times New Roman"/>
                <w:color w:val="000000" w:themeColor="text1"/>
                <w:sz w:val="20"/>
                <w:szCs w:val="20"/>
              </w:rPr>
              <w:t>indicate that</w:t>
            </w:r>
            <w:r>
              <w:rPr>
                <w:rFonts w:ascii="Times New Roman" w:hAnsi="Times New Roman"/>
                <w:color w:val="000000" w:themeColor="text1"/>
                <w:sz w:val="20"/>
                <w:szCs w:val="20"/>
              </w:rPr>
              <w:t xml:space="preserve"> </w:t>
            </w:r>
            <w:r w:rsidR="005F7C2E">
              <w:rPr>
                <w:rFonts w:ascii="Times New Roman" w:hAnsi="Times New Roman"/>
                <w:color w:val="000000" w:themeColor="text1"/>
                <w:sz w:val="20"/>
                <w:szCs w:val="20"/>
              </w:rPr>
              <w:t xml:space="preserve">the </w:t>
            </w:r>
            <w:proofErr w:type="spellStart"/>
            <w:r w:rsidR="005F7C2E">
              <w:rPr>
                <w:rFonts w:ascii="Times New Roman" w:hAnsi="Times New Roman"/>
                <w:color w:val="000000" w:themeColor="text1"/>
                <w:sz w:val="20"/>
                <w:szCs w:val="20"/>
              </w:rPr>
              <w:t>the</w:t>
            </w:r>
            <w:proofErr w:type="spellEnd"/>
            <w:r w:rsidR="005F7C2E">
              <w:rPr>
                <w:rFonts w:ascii="Times New Roman" w:hAnsi="Times New Roman"/>
                <w:color w:val="000000" w:themeColor="text1"/>
                <w:sz w:val="20"/>
                <w:szCs w:val="20"/>
              </w:rPr>
              <w:t xml:space="preserve"> artifact selected was not appropriate for evaluating this particular learning outcome</w:t>
            </w:r>
            <w:r w:rsidR="000975F2">
              <w:rPr>
                <w:rFonts w:ascii="Times New Roman" w:hAnsi="Times New Roman"/>
                <w:color w:val="000000" w:themeColor="text1"/>
                <w:sz w:val="20"/>
                <w:szCs w:val="20"/>
              </w:rPr>
              <w:t xml:space="preserve">, because the assignment instruction did not require a discussion on communication variable, such as technology or culture, in evaluating a contemporary health campaign. </w:t>
            </w:r>
            <w:r w:rsidR="00B64774">
              <w:rPr>
                <w:rFonts w:ascii="Times New Roman" w:hAnsi="Times New Roman"/>
                <w:color w:val="000000" w:themeColor="text1"/>
                <w:sz w:val="20"/>
                <w:szCs w:val="20"/>
              </w:rPr>
              <w:t xml:space="preserve">Only 2 out of the 8 student artifact </w:t>
            </w:r>
            <w:proofErr w:type="gramStart"/>
            <w:r w:rsidR="00B64774">
              <w:rPr>
                <w:rFonts w:ascii="Times New Roman" w:hAnsi="Times New Roman"/>
                <w:color w:val="000000" w:themeColor="text1"/>
                <w:sz w:val="20"/>
                <w:szCs w:val="20"/>
              </w:rPr>
              <w:t xml:space="preserve">achieved  </w:t>
            </w:r>
            <w:proofErr w:type="spellStart"/>
            <w:r w:rsidR="00B64774">
              <w:rPr>
                <w:rFonts w:ascii="Times New Roman" w:hAnsi="Times New Roman"/>
                <w:color w:val="000000" w:themeColor="text1"/>
                <w:sz w:val="20"/>
                <w:szCs w:val="20"/>
              </w:rPr>
              <w:t>achieved</w:t>
            </w:r>
            <w:proofErr w:type="spellEnd"/>
            <w:proofErr w:type="gramEnd"/>
            <w:r w:rsidR="00B64774">
              <w:rPr>
                <w:rFonts w:ascii="Times New Roman" w:hAnsi="Times New Roman"/>
                <w:color w:val="000000" w:themeColor="text1"/>
                <w:sz w:val="20"/>
                <w:szCs w:val="20"/>
              </w:rPr>
              <w:t xml:space="preserve"> “proficient” score or higher, far short of the stated goal of 6. </w:t>
            </w:r>
            <w:r w:rsidR="004447FD">
              <w:rPr>
                <w:rFonts w:ascii="Times New Roman" w:hAnsi="Times New Roman"/>
                <w:color w:val="000000" w:themeColor="text1"/>
                <w:sz w:val="20"/>
                <w:szCs w:val="20"/>
              </w:rPr>
              <w:t xml:space="preserve">While assessment practice needs to be continuously improved in the future, the most meaningful </w:t>
            </w:r>
            <w:r w:rsidR="004447FD" w:rsidRPr="00583538">
              <w:rPr>
                <w:rFonts w:ascii="Times New Roman" w:hAnsi="Times New Roman"/>
                <w:color w:val="000000" w:themeColor="text1"/>
                <w:sz w:val="20"/>
                <w:szCs w:val="20"/>
              </w:rPr>
              <w:t>action for program improvement</w:t>
            </w:r>
            <w:r w:rsidR="004447FD">
              <w:rPr>
                <w:rFonts w:ascii="Times New Roman" w:hAnsi="Times New Roman"/>
                <w:color w:val="000000" w:themeColor="text1"/>
                <w:sz w:val="20"/>
                <w:szCs w:val="20"/>
              </w:rPr>
              <w:t xml:space="preserve"> is to have </w:t>
            </w:r>
            <w:r w:rsidR="004447FD" w:rsidRPr="00583538">
              <w:rPr>
                <w:rFonts w:ascii="Times New Roman" w:hAnsi="Times New Roman"/>
                <w:color w:val="000000" w:themeColor="text1"/>
                <w:sz w:val="20"/>
                <w:szCs w:val="20"/>
              </w:rPr>
              <w:t xml:space="preserve">a full-time tenure-track faculty </w:t>
            </w:r>
            <w:r w:rsidR="004447FD">
              <w:rPr>
                <w:rFonts w:ascii="Times New Roman" w:hAnsi="Times New Roman"/>
                <w:color w:val="000000" w:themeColor="text1"/>
                <w:sz w:val="20"/>
                <w:szCs w:val="20"/>
              </w:rPr>
              <w:t xml:space="preserve">teach the two core courses </w:t>
            </w:r>
            <w:r w:rsidR="004447FD" w:rsidRPr="00583538">
              <w:rPr>
                <w:rFonts w:ascii="Times New Roman" w:hAnsi="Times New Roman"/>
                <w:color w:val="000000" w:themeColor="text1"/>
                <w:sz w:val="20"/>
                <w:szCs w:val="20"/>
              </w:rPr>
              <w:t>instead of an adjunct instructor</w:t>
            </w:r>
            <w:r w:rsidR="004447FD">
              <w:rPr>
                <w:rFonts w:ascii="Times New Roman" w:hAnsi="Times New Roman"/>
                <w:color w:val="000000" w:themeColor="text1"/>
                <w:sz w:val="20"/>
                <w:szCs w:val="20"/>
              </w:rPr>
              <w:t xml:space="preserve">. This is critical </w:t>
            </w:r>
            <w:r w:rsidR="004447FD">
              <w:rPr>
                <w:rFonts w:ascii="Times New Roman" w:hAnsi="Times New Roman"/>
                <w:color w:val="000000" w:themeColor="text1"/>
                <w:sz w:val="20"/>
              </w:rPr>
              <w:t xml:space="preserve">because </w:t>
            </w:r>
            <w:r w:rsidR="004447FD" w:rsidRPr="004B4978">
              <w:rPr>
                <w:rFonts w:ascii="Times New Roman" w:hAnsi="Times New Roman"/>
                <w:color w:val="000000" w:themeColor="text1"/>
                <w:sz w:val="20"/>
              </w:rPr>
              <w:t xml:space="preserve">student learning </w:t>
            </w:r>
            <w:r w:rsidR="004447FD">
              <w:rPr>
                <w:rFonts w:ascii="Times New Roman" w:hAnsi="Times New Roman"/>
                <w:color w:val="000000" w:themeColor="text1"/>
                <w:sz w:val="20"/>
              </w:rPr>
              <w:t>is e</w:t>
            </w:r>
            <w:r w:rsidR="004447FD" w:rsidRPr="004B4978">
              <w:rPr>
                <w:rFonts w:ascii="Times New Roman" w:hAnsi="Times New Roman"/>
                <w:color w:val="000000" w:themeColor="text1"/>
                <w:sz w:val="20"/>
              </w:rPr>
              <w:t xml:space="preserve">nhanced </w:t>
            </w:r>
            <w:r w:rsidR="004447FD">
              <w:rPr>
                <w:rFonts w:ascii="Times New Roman" w:hAnsi="Times New Roman"/>
                <w:color w:val="000000" w:themeColor="text1"/>
                <w:sz w:val="20"/>
              </w:rPr>
              <w:t>by having a faculty</w:t>
            </w:r>
            <w:r w:rsidR="00B75562">
              <w:rPr>
                <w:rFonts w:ascii="Times New Roman" w:hAnsi="Times New Roman"/>
                <w:color w:val="000000" w:themeColor="text1"/>
                <w:sz w:val="20"/>
              </w:rPr>
              <w:t xml:space="preserve"> member</w:t>
            </w:r>
            <w:r w:rsidR="004447FD">
              <w:rPr>
                <w:rFonts w:ascii="Times New Roman" w:hAnsi="Times New Roman"/>
                <w:color w:val="000000" w:themeColor="text1"/>
                <w:sz w:val="20"/>
              </w:rPr>
              <w:t xml:space="preserve"> who is on campus to </w:t>
            </w:r>
            <w:r w:rsidR="004447FD" w:rsidRPr="004B4978">
              <w:rPr>
                <w:rFonts w:ascii="Times New Roman" w:hAnsi="Times New Roman"/>
                <w:color w:val="000000" w:themeColor="text1"/>
                <w:sz w:val="20"/>
              </w:rPr>
              <w:t>meaningful mentor and engage</w:t>
            </w:r>
            <w:r w:rsidR="004447FD">
              <w:rPr>
                <w:rFonts w:ascii="Times New Roman" w:hAnsi="Times New Roman"/>
                <w:color w:val="000000" w:themeColor="text1"/>
                <w:sz w:val="20"/>
              </w:rPr>
              <w:t xml:space="preserve"> with </w:t>
            </w:r>
            <w:proofErr w:type="spellStart"/>
            <w:proofErr w:type="gramStart"/>
            <w:r w:rsidR="004447FD">
              <w:rPr>
                <w:rFonts w:ascii="Times New Roman" w:hAnsi="Times New Roman"/>
                <w:color w:val="000000" w:themeColor="text1"/>
                <w:sz w:val="20"/>
              </w:rPr>
              <w:t>students.</w:t>
            </w:r>
            <w:r w:rsidR="004447FD" w:rsidRPr="00583538">
              <w:rPr>
                <w:rFonts w:ascii="Times New Roman" w:hAnsi="Times New Roman"/>
                <w:color w:val="000000" w:themeColor="text1"/>
                <w:sz w:val="20"/>
                <w:szCs w:val="20"/>
              </w:rPr>
              <w:t>As</w:t>
            </w:r>
            <w:proofErr w:type="spellEnd"/>
            <w:proofErr w:type="gramEnd"/>
            <w:r w:rsidR="004447FD" w:rsidRPr="00583538">
              <w:rPr>
                <w:rFonts w:ascii="Times New Roman" w:hAnsi="Times New Roman"/>
                <w:color w:val="000000" w:themeColor="text1"/>
                <w:sz w:val="20"/>
                <w:szCs w:val="20"/>
              </w:rPr>
              <w:t xml:space="preserve"> such, the department will need to do a search for a full-time tenure-track expert in healthcare communication next year in order to make this promising program viable and sustainable.</w:t>
            </w:r>
          </w:p>
          <w:p w14:paraId="295FC4F9" w14:textId="2FF80FBD" w:rsidR="0055739A" w:rsidRPr="0054609C" w:rsidRDefault="0055739A" w:rsidP="0055739A">
            <w:pPr>
              <w:jc w:val="both"/>
              <w:rPr>
                <w:rFonts w:ascii="Times New Roman" w:hAnsi="Times New Roman"/>
                <w:b/>
                <w:sz w:val="20"/>
                <w:szCs w:val="20"/>
              </w:rPr>
            </w:pPr>
          </w:p>
        </w:tc>
      </w:tr>
      <w:tr w:rsidR="00B96F9F" w:rsidRPr="00964DD0" w14:paraId="023FDFA4" w14:textId="77777777" w:rsidTr="0055739A">
        <w:tc>
          <w:tcPr>
            <w:tcW w:w="14395" w:type="dxa"/>
            <w:gridSpan w:val="6"/>
            <w:shd w:val="clear" w:color="auto" w:fill="auto"/>
            <w:tcMar>
              <w:top w:w="100" w:type="nil"/>
              <w:right w:w="100" w:type="nil"/>
            </w:tcMar>
          </w:tcPr>
          <w:p w14:paraId="582799B0" w14:textId="77777777" w:rsidR="00B96F9F" w:rsidRPr="006E294C" w:rsidRDefault="00B96F9F" w:rsidP="00B96F9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0517E" w:rsidRPr="00964DD0" w14:paraId="630F521C" w14:textId="77777777" w:rsidTr="0055739A">
        <w:tc>
          <w:tcPr>
            <w:tcW w:w="14395" w:type="dxa"/>
            <w:gridSpan w:val="6"/>
            <w:shd w:val="clear" w:color="auto" w:fill="auto"/>
            <w:tcMar>
              <w:top w:w="100" w:type="nil"/>
              <w:right w:w="100" w:type="nil"/>
            </w:tcMar>
          </w:tcPr>
          <w:p w14:paraId="3185D0B5" w14:textId="77777777" w:rsidR="0060517E" w:rsidRDefault="0060517E" w:rsidP="0060517E">
            <w:pPr>
              <w:rPr>
                <w:rFonts w:ascii="Times New Roman" w:hAnsi="Times New Roman"/>
                <w:bCs/>
                <w:sz w:val="20"/>
              </w:rPr>
            </w:pPr>
            <w:r>
              <w:rPr>
                <w:rFonts w:ascii="Times New Roman" w:hAnsi="Times New Roman"/>
                <w:bCs/>
                <w:sz w:val="20"/>
              </w:rPr>
              <w:t xml:space="preserve">The adjunct instructor who teaches the core courses in the 0475 graduate certificate program have been consulted before the start of the new AY to assure there is better alignment between course learning objectives, coursework and assignments, and program learning outcomes. </w:t>
            </w:r>
          </w:p>
          <w:p w14:paraId="4AF2E385" w14:textId="6A275F0E" w:rsidR="0060517E" w:rsidRPr="006E294C" w:rsidRDefault="0060517E" w:rsidP="0060517E">
            <w:pPr>
              <w:rPr>
                <w:rFonts w:ascii="Times New Roman" w:hAnsi="Times New Roman"/>
                <w:bCs/>
                <w:sz w:val="20"/>
              </w:rPr>
            </w:pPr>
          </w:p>
        </w:tc>
      </w:tr>
      <w:tr w:rsidR="00C741C7" w:rsidRPr="00964DD0" w14:paraId="4087FAD4" w14:textId="77777777" w:rsidTr="0055739A">
        <w:tc>
          <w:tcPr>
            <w:tcW w:w="14395" w:type="dxa"/>
            <w:gridSpan w:val="6"/>
            <w:shd w:val="clear" w:color="auto" w:fill="auto"/>
            <w:tcMar>
              <w:top w:w="100" w:type="nil"/>
              <w:right w:w="100" w:type="nil"/>
            </w:tcMar>
          </w:tcPr>
          <w:p w14:paraId="1675CEB7" w14:textId="17D6845E" w:rsidR="00C741C7" w:rsidRDefault="00C741C7" w:rsidP="00C741C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5739A" w:rsidRPr="00964DD0" w14:paraId="5C4BCE90" w14:textId="77777777" w:rsidTr="0055739A">
        <w:tc>
          <w:tcPr>
            <w:tcW w:w="14395" w:type="dxa"/>
            <w:gridSpan w:val="6"/>
            <w:shd w:val="clear" w:color="auto" w:fill="auto"/>
            <w:tcMar>
              <w:top w:w="100" w:type="nil"/>
              <w:right w:w="100" w:type="nil"/>
            </w:tcMar>
          </w:tcPr>
          <w:p w14:paraId="7C6E990D" w14:textId="44452058" w:rsidR="0055739A" w:rsidRPr="00923B2D" w:rsidRDefault="0055739A" w:rsidP="0055739A">
            <w:pPr>
              <w:rPr>
                <w:rFonts w:ascii="Times New Roman" w:hAnsi="Times New Roman"/>
                <w:color w:val="000000" w:themeColor="text1"/>
                <w:sz w:val="20"/>
              </w:rPr>
            </w:pPr>
            <w:r>
              <w:rPr>
                <w:rFonts w:ascii="Times New Roman" w:hAnsi="Times New Roman"/>
                <w:color w:val="000000" w:themeColor="text1"/>
                <w:sz w:val="20"/>
              </w:rPr>
              <w:t>T</w:t>
            </w:r>
            <w:r w:rsidRPr="00923B2D">
              <w:rPr>
                <w:rFonts w:ascii="Times New Roman" w:hAnsi="Times New Roman"/>
                <w:color w:val="000000" w:themeColor="text1"/>
                <w:sz w:val="20"/>
              </w:rPr>
              <w:t>he Grad</w:t>
            </w:r>
            <w:r w:rsidR="00E77CF5">
              <w:rPr>
                <w:rFonts w:ascii="Times New Roman" w:hAnsi="Times New Roman"/>
                <w:color w:val="000000" w:themeColor="text1"/>
                <w:sz w:val="20"/>
              </w:rPr>
              <w:t>ua</w:t>
            </w:r>
            <w:r w:rsidRPr="00923B2D">
              <w:rPr>
                <w:rFonts w:ascii="Times New Roman" w:hAnsi="Times New Roman"/>
                <w:color w:val="000000" w:themeColor="text1"/>
                <w:sz w:val="20"/>
              </w:rPr>
              <w:t>te Program Committee and course instructor</w:t>
            </w:r>
            <w:r>
              <w:rPr>
                <w:rFonts w:ascii="Times New Roman" w:hAnsi="Times New Roman"/>
                <w:color w:val="000000" w:themeColor="text1"/>
                <w:sz w:val="20"/>
              </w:rPr>
              <w:t xml:space="preserve"> will be consulted at the start of the next AY for how to best assess the program for 2022-23.</w:t>
            </w:r>
          </w:p>
          <w:p w14:paraId="2BD66E22" w14:textId="77777777" w:rsidR="0055739A" w:rsidRDefault="0055739A" w:rsidP="0055739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p w14:paraId="0EEA9A3C" w14:textId="2627F238" w:rsidR="003A32E4" w:rsidRDefault="003A32E4"/>
    <w:p w14:paraId="65840A5C" w14:textId="001A5168" w:rsidR="00CF0519" w:rsidRDefault="00CF0519">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CF0519" w:rsidRPr="00964DD0" w14:paraId="265F2A09" w14:textId="77777777" w:rsidTr="0055739A">
        <w:trPr>
          <w:trHeight w:val="144"/>
        </w:trPr>
        <w:tc>
          <w:tcPr>
            <w:tcW w:w="14395" w:type="dxa"/>
            <w:gridSpan w:val="6"/>
            <w:tcBorders>
              <w:bottom w:val="single" w:sz="4" w:space="0" w:color="auto"/>
            </w:tcBorders>
            <w:shd w:val="pct15" w:color="auto" w:fill="auto"/>
            <w:tcMar>
              <w:top w:w="100" w:type="nil"/>
              <w:right w:w="100" w:type="nil"/>
            </w:tcMar>
          </w:tcPr>
          <w:p w14:paraId="3C04FCB3" w14:textId="77777777" w:rsidR="00CF0519" w:rsidRPr="001E35D2" w:rsidRDefault="00CF0519" w:rsidP="0055739A">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CF0519" w:rsidRPr="00964DD0" w14:paraId="1C800910" w14:textId="77777777" w:rsidTr="0055739A">
        <w:trPr>
          <w:trHeight w:val="323"/>
        </w:trPr>
        <w:tc>
          <w:tcPr>
            <w:tcW w:w="2875" w:type="dxa"/>
            <w:tcBorders>
              <w:bottom w:val="single" w:sz="4" w:space="0" w:color="auto"/>
            </w:tcBorders>
            <w:shd w:val="pct5" w:color="auto" w:fill="auto"/>
            <w:tcMar>
              <w:top w:w="100" w:type="nil"/>
              <w:right w:w="100" w:type="nil"/>
            </w:tcMar>
          </w:tcPr>
          <w:p w14:paraId="2BDC5364" w14:textId="77777777" w:rsidR="00CF0519" w:rsidRPr="00EB65C8" w:rsidRDefault="00CF0519" w:rsidP="0055739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E77FF0A" w14:textId="52A3E12E" w:rsidR="00CF0519" w:rsidRPr="00A6726B" w:rsidRDefault="00A6726B" w:rsidP="0055739A">
            <w:pPr>
              <w:widowControl w:val="0"/>
              <w:autoSpaceDE w:val="0"/>
              <w:autoSpaceDN w:val="0"/>
              <w:adjustRightInd w:val="0"/>
              <w:rPr>
                <w:rFonts w:ascii="Times New Roman" w:hAnsi="Times New Roman"/>
                <w:b/>
                <w:bCs/>
                <w:color w:val="000000" w:themeColor="text1"/>
                <w:sz w:val="20"/>
                <w:szCs w:val="20"/>
              </w:rPr>
            </w:pPr>
            <w:r w:rsidRPr="00A6726B">
              <w:rPr>
                <w:rFonts w:ascii="Times New Roman" w:hAnsi="Times New Roman"/>
                <w:b/>
                <w:bCs/>
                <w:color w:val="000000" w:themeColor="text1"/>
                <w:sz w:val="20"/>
                <w:szCs w:val="20"/>
              </w:rPr>
              <w:t>Critiques the effectiveness of health communication campaigns.</w:t>
            </w:r>
          </w:p>
        </w:tc>
      </w:tr>
      <w:tr w:rsidR="00422699" w:rsidRPr="00964DD0" w14:paraId="4FBB541A" w14:textId="77777777" w:rsidTr="0055739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6E869E6" w14:textId="77777777" w:rsidR="00422699" w:rsidRPr="005D68AF" w:rsidRDefault="00422699" w:rsidP="0042269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45E2519" w14:textId="6E62F254" w:rsidR="00422699" w:rsidRDefault="00422699" w:rsidP="00422699">
            <w:pPr>
              <w:widowControl w:val="0"/>
              <w:autoSpaceDE w:val="0"/>
              <w:autoSpaceDN w:val="0"/>
              <w:adjustRightInd w:val="0"/>
              <w:rPr>
                <w:rFonts w:ascii="Times New Roman" w:hAnsi="Times New Roman"/>
                <w:bCs/>
                <w:sz w:val="20"/>
                <w:szCs w:val="20"/>
              </w:rPr>
            </w:pPr>
            <w:r w:rsidRPr="00773A2C">
              <w:rPr>
                <w:rFonts w:ascii="Times New Roman" w:hAnsi="Times New Roman"/>
                <w:bCs/>
                <w:sz w:val="20"/>
                <w:szCs w:val="20"/>
              </w:rPr>
              <w:t xml:space="preserve">DIRECT measure of student learning: </w:t>
            </w:r>
            <w:r w:rsidRPr="004D15B3">
              <w:rPr>
                <w:rFonts w:ascii="Times New Roman" w:hAnsi="Times New Roman"/>
                <w:bCs/>
                <w:sz w:val="20"/>
                <w:szCs w:val="20"/>
              </w:rPr>
              <w:t xml:space="preserve">Student artifacts chosen for this SLO assessment </w:t>
            </w:r>
            <w:r>
              <w:rPr>
                <w:rFonts w:ascii="Times New Roman" w:hAnsi="Times New Roman"/>
                <w:bCs/>
                <w:sz w:val="20"/>
                <w:szCs w:val="20"/>
              </w:rPr>
              <w:t>w</w:t>
            </w:r>
            <w:r w:rsidR="00E77CF5">
              <w:rPr>
                <w:rFonts w:ascii="Times New Roman" w:hAnsi="Times New Roman"/>
                <w:bCs/>
                <w:sz w:val="20"/>
                <w:szCs w:val="20"/>
              </w:rPr>
              <w:t>ere</w:t>
            </w:r>
            <w:r>
              <w:rPr>
                <w:rFonts w:ascii="Times New Roman" w:hAnsi="Times New Roman"/>
                <w:bCs/>
                <w:sz w:val="20"/>
                <w:szCs w:val="20"/>
              </w:rPr>
              <w:t xml:space="preserve"> a </w:t>
            </w:r>
            <w:r w:rsidRPr="00773A2C">
              <w:rPr>
                <w:rFonts w:ascii="Times New Roman" w:hAnsi="Times New Roman"/>
                <w:bCs/>
                <w:sz w:val="20"/>
                <w:szCs w:val="20"/>
              </w:rPr>
              <w:t xml:space="preserve">5-page paper where they were required to analyze </w:t>
            </w:r>
            <w:r>
              <w:rPr>
                <w:rFonts w:ascii="Times New Roman" w:hAnsi="Times New Roman"/>
                <w:bCs/>
                <w:sz w:val="20"/>
                <w:szCs w:val="20"/>
              </w:rPr>
              <w:t xml:space="preserve">a health campaign </w:t>
            </w:r>
            <w:r w:rsidRPr="00773A2C">
              <w:rPr>
                <w:rFonts w:ascii="Times New Roman" w:hAnsi="Times New Roman"/>
                <w:bCs/>
                <w:sz w:val="20"/>
                <w:szCs w:val="20"/>
              </w:rPr>
              <w:t xml:space="preserve">and its </w:t>
            </w:r>
            <w:r>
              <w:rPr>
                <w:rFonts w:ascii="Times New Roman" w:hAnsi="Times New Roman"/>
                <w:bCs/>
                <w:sz w:val="20"/>
                <w:szCs w:val="20"/>
              </w:rPr>
              <w:t xml:space="preserve">communication </w:t>
            </w:r>
            <w:r w:rsidRPr="00773A2C">
              <w:rPr>
                <w:rFonts w:ascii="Times New Roman" w:hAnsi="Times New Roman"/>
                <w:bCs/>
                <w:sz w:val="20"/>
                <w:szCs w:val="20"/>
              </w:rPr>
              <w:t xml:space="preserve">processes </w:t>
            </w:r>
            <w:r>
              <w:rPr>
                <w:rFonts w:ascii="Times New Roman" w:hAnsi="Times New Roman"/>
                <w:bCs/>
                <w:sz w:val="20"/>
                <w:szCs w:val="20"/>
              </w:rPr>
              <w:t>to evaluate its effectiveness in delivering health information.</w:t>
            </w:r>
          </w:p>
          <w:p w14:paraId="4D339A82" w14:textId="02F677CA" w:rsidR="00422699" w:rsidRPr="005D68AF" w:rsidRDefault="00422699" w:rsidP="00422699">
            <w:pPr>
              <w:widowControl w:val="0"/>
              <w:autoSpaceDE w:val="0"/>
              <w:autoSpaceDN w:val="0"/>
              <w:adjustRightInd w:val="0"/>
              <w:rPr>
                <w:rFonts w:ascii="Times New Roman" w:hAnsi="Times New Roman"/>
                <w:b/>
                <w:bCs/>
                <w:sz w:val="20"/>
                <w:szCs w:val="20"/>
              </w:rPr>
            </w:pPr>
          </w:p>
        </w:tc>
      </w:tr>
      <w:tr w:rsidR="00422699" w:rsidRPr="00964DD0" w14:paraId="15C38CCA" w14:textId="77777777" w:rsidTr="0055739A">
        <w:tc>
          <w:tcPr>
            <w:tcW w:w="2875" w:type="dxa"/>
            <w:tcBorders>
              <w:left w:val="single" w:sz="4" w:space="0" w:color="auto"/>
            </w:tcBorders>
            <w:shd w:val="clear" w:color="auto" w:fill="auto"/>
            <w:tcMar>
              <w:top w:w="100" w:type="nil"/>
              <w:right w:w="100" w:type="nil"/>
            </w:tcMar>
          </w:tcPr>
          <w:p w14:paraId="60965258" w14:textId="77777777" w:rsidR="00422699" w:rsidRPr="001160F4" w:rsidRDefault="00422699" w:rsidP="0042269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1C961A2" w14:textId="4938DBB4" w:rsidR="00422699" w:rsidRDefault="006879AF" w:rsidP="00422699">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00422699"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513C6A36" w14:textId="1F50BB51" w:rsidR="00422699" w:rsidRPr="00F136C3" w:rsidRDefault="00422699" w:rsidP="00422699">
            <w:pPr>
              <w:widowControl w:val="0"/>
              <w:autoSpaceDE w:val="0"/>
              <w:autoSpaceDN w:val="0"/>
              <w:adjustRightInd w:val="0"/>
              <w:rPr>
                <w:rFonts w:ascii="Times New Roman" w:hAnsi="Times New Roman"/>
                <w:color w:val="767171" w:themeColor="background2" w:themeShade="80"/>
                <w:sz w:val="20"/>
                <w:szCs w:val="20"/>
              </w:rPr>
            </w:pPr>
          </w:p>
        </w:tc>
      </w:tr>
      <w:tr w:rsidR="00422699" w:rsidRPr="00964DD0" w14:paraId="1FAE806F" w14:textId="77777777" w:rsidTr="0055739A">
        <w:tc>
          <w:tcPr>
            <w:tcW w:w="4315" w:type="dxa"/>
            <w:gridSpan w:val="2"/>
            <w:tcBorders>
              <w:left w:val="single" w:sz="4" w:space="0" w:color="auto"/>
              <w:bottom w:val="single" w:sz="4" w:space="0" w:color="auto"/>
            </w:tcBorders>
            <w:shd w:val="clear" w:color="auto" w:fill="auto"/>
            <w:tcMar>
              <w:top w:w="100" w:type="nil"/>
              <w:right w:w="100" w:type="nil"/>
            </w:tcMar>
          </w:tcPr>
          <w:p w14:paraId="33D3C5DB" w14:textId="56C821FB" w:rsidR="00422699" w:rsidRPr="00964DD0" w:rsidRDefault="00422699" w:rsidP="00422699">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5E5A2D30" w14:textId="65261BA5" w:rsidR="00422699" w:rsidRPr="00964DD0" w:rsidRDefault="00422699" w:rsidP="00422699">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448460FB" w14:textId="77777777" w:rsidR="00422699" w:rsidRPr="00C4455B" w:rsidRDefault="00422699" w:rsidP="004226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5894F28" w14:textId="044AE873" w:rsidR="00422699" w:rsidRPr="00422699" w:rsidRDefault="00422699" w:rsidP="00D32A6F">
            <w:pPr>
              <w:widowControl w:val="0"/>
              <w:autoSpaceDE w:val="0"/>
              <w:autoSpaceDN w:val="0"/>
              <w:adjustRightInd w:val="0"/>
              <w:ind w:right="400"/>
              <w:rPr>
                <w:rFonts w:ascii="Times New Roman" w:hAnsi="Times New Roman"/>
                <w:color w:val="000000" w:themeColor="text1"/>
                <w:sz w:val="20"/>
                <w:szCs w:val="20"/>
              </w:rPr>
            </w:pPr>
            <w:r w:rsidRPr="00422699">
              <w:rPr>
                <w:rFonts w:ascii="Times New Roman" w:hAnsi="Times New Roman"/>
                <w:color w:val="000000" w:themeColor="text1"/>
                <w:sz w:val="20"/>
                <w:szCs w:val="20"/>
              </w:rPr>
              <w:t>62.5%</w:t>
            </w:r>
          </w:p>
        </w:tc>
      </w:tr>
      <w:tr w:rsidR="00422699" w:rsidRPr="00964DD0" w14:paraId="433F6EDA" w14:textId="77777777" w:rsidTr="0055739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81E012" w14:textId="77777777" w:rsidR="00422699" w:rsidRPr="00EB65C8" w:rsidRDefault="00422699" w:rsidP="004226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C1B8CD0" w14:textId="58D664A2" w:rsidR="00422699" w:rsidRDefault="00422699" w:rsidP="00CC5395">
            <w:pPr>
              <w:widowControl w:val="0"/>
              <w:autoSpaceDE w:val="0"/>
              <w:autoSpaceDN w:val="0"/>
              <w:adjustRightInd w:val="0"/>
              <w:rPr>
                <w:rFonts w:ascii="Times New Roman" w:hAnsi="Times New Roman"/>
                <w:bCs/>
                <w:sz w:val="20"/>
                <w:szCs w:val="20"/>
              </w:rPr>
            </w:pPr>
            <w:r w:rsidRPr="00F42C44">
              <w:rPr>
                <w:rFonts w:ascii="Times New Roman" w:hAnsi="Times New Roman"/>
                <w:bCs/>
                <w:sz w:val="20"/>
                <w:szCs w:val="20"/>
              </w:rPr>
              <w:t xml:space="preserve">Direct: </w:t>
            </w:r>
            <w:r w:rsidR="000E1689" w:rsidRPr="00DC1DF5">
              <w:rPr>
                <w:rFonts w:ascii="Times New Roman" w:hAnsi="Times New Roman"/>
                <w:bCs/>
                <w:sz w:val="20"/>
                <w:szCs w:val="20"/>
              </w:rPr>
              <w:t xml:space="preserve">Artifacts from </w:t>
            </w:r>
            <w:r w:rsidR="000E1689">
              <w:rPr>
                <w:rFonts w:ascii="Times New Roman" w:hAnsi="Times New Roman"/>
                <w:bCs/>
                <w:sz w:val="20"/>
                <w:szCs w:val="20"/>
              </w:rPr>
              <w:t xml:space="preserve">one of two </w:t>
            </w:r>
            <w:r w:rsidR="000E1689" w:rsidRPr="00DC1DF5">
              <w:rPr>
                <w:rFonts w:ascii="Times New Roman" w:hAnsi="Times New Roman"/>
                <w:bCs/>
                <w:sz w:val="20"/>
                <w:szCs w:val="20"/>
              </w:rPr>
              <w:t>core course</w:t>
            </w:r>
            <w:r w:rsidR="000E1689">
              <w:rPr>
                <w:rFonts w:ascii="Times New Roman" w:hAnsi="Times New Roman"/>
                <w:bCs/>
                <w:sz w:val="20"/>
                <w:szCs w:val="20"/>
              </w:rPr>
              <w:t>s, COMM 553,</w:t>
            </w:r>
            <w:r w:rsidR="000E1689">
              <w:rPr>
                <w:rFonts w:ascii="Times New Roman" w:hAnsi="Times New Roman"/>
                <w:bCs/>
                <w:color w:val="FF0000"/>
                <w:sz w:val="20"/>
                <w:szCs w:val="20"/>
              </w:rPr>
              <w:t xml:space="preserve"> </w:t>
            </w:r>
            <w:r w:rsidR="000E1689" w:rsidRPr="00DC1DF5">
              <w:rPr>
                <w:rFonts w:ascii="Times New Roman" w:hAnsi="Times New Roman"/>
                <w:bCs/>
                <w:sz w:val="20"/>
                <w:szCs w:val="20"/>
              </w:rPr>
              <w:t xml:space="preserve">were </w:t>
            </w:r>
            <w:r w:rsidRPr="00DC1DF5">
              <w:rPr>
                <w:rFonts w:ascii="Times New Roman" w:hAnsi="Times New Roman"/>
                <w:bCs/>
                <w:sz w:val="20"/>
                <w:szCs w:val="20"/>
              </w:rPr>
              <w:t xml:space="preserve">collected from </w:t>
            </w:r>
            <w:r>
              <w:rPr>
                <w:rFonts w:ascii="Times New Roman" w:hAnsi="Times New Roman"/>
                <w:bCs/>
                <w:sz w:val="20"/>
                <w:szCs w:val="20"/>
              </w:rPr>
              <w:t>8</w:t>
            </w:r>
            <w:r w:rsidRPr="00DC1DF5">
              <w:rPr>
                <w:rFonts w:ascii="Times New Roman" w:hAnsi="Times New Roman"/>
                <w:bCs/>
                <w:sz w:val="20"/>
                <w:szCs w:val="20"/>
              </w:rPr>
              <w:t xml:space="preserve"> students (</w:t>
            </w:r>
            <w:r w:rsidRPr="006879AF">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8</w:t>
            </w:r>
            <w:r w:rsidRPr="00DC1DF5">
              <w:rPr>
                <w:rFonts w:ascii="Times New Roman" w:hAnsi="Times New Roman"/>
                <w:bCs/>
                <w:sz w:val="20"/>
                <w:szCs w:val="20"/>
              </w:rPr>
              <w:t xml:space="preserve">) </w:t>
            </w:r>
            <w:r>
              <w:rPr>
                <w:rFonts w:ascii="Times New Roman" w:hAnsi="Times New Roman"/>
                <w:bCs/>
                <w:sz w:val="20"/>
                <w:szCs w:val="20"/>
              </w:rPr>
              <w:t xml:space="preserve">enrolled in the course during </w:t>
            </w:r>
            <w:r w:rsidRPr="00DC1DF5">
              <w:rPr>
                <w:rFonts w:ascii="Times New Roman" w:hAnsi="Times New Roman"/>
                <w:bCs/>
                <w:sz w:val="20"/>
                <w:szCs w:val="20"/>
              </w:rPr>
              <w:t xml:space="preserve">the assessment </w:t>
            </w:r>
            <w:r>
              <w:rPr>
                <w:rFonts w:ascii="Times New Roman" w:hAnsi="Times New Roman"/>
                <w:bCs/>
                <w:sz w:val="20"/>
                <w:szCs w:val="20"/>
              </w:rPr>
              <w:t>p</w:t>
            </w:r>
            <w:r w:rsidRPr="00DC1DF5">
              <w:rPr>
                <w:rFonts w:ascii="Times New Roman" w:hAnsi="Times New Roman"/>
                <w:bCs/>
                <w:sz w:val="20"/>
                <w:szCs w:val="20"/>
              </w:rPr>
              <w:t xml:space="preserve">eriod out of a total of </w:t>
            </w:r>
            <w:r>
              <w:rPr>
                <w:rFonts w:ascii="Times New Roman" w:hAnsi="Times New Roman"/>
                <w:bCs/>
                <w:sz w:val="20"/>
                <w:szCs w:val="20"/>
              </w:rPr>
              <w:t>12</w:t>
            </w:r>
            <w:r w:rsidRPr="00DC1DF5">
              <w:rPr>
                <w:rFonts w:ascii="Times New Roman" w:hAnsi="Times New Roman"/>
                <w:bCs/>
                <w:sz w:val="20"/>
                <w:szCs w:val="20"/>
              </w:rPr>
              <w:t xml:space="preserve"> students in the certificate program (</w:t>
            </w:r>
            <w:r w:rsidRPr="006879AF">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12</w:t>
            </w:r>
            <w:r w:rsidRPr="00DC1DF5">
              <w:rPr>
                <w:rFonts w:ascii="Times New Roman" w:hAnsi="Times New Roman"/>
                <w:bCs/>
                <w:sz w:val="20"/>
                <w:szCs w:val="20"/>
              </w:rPr>
              <w:t>)</w:t>
            </w:r>
            <w:r>
              <w:rPr>
                <w:rFonts w:ascii="Times New Roman" w:hAnsi="Times New Roman"/>
                <w:bCs/>
                <w:sz w:val="20"/>
                <w:szCs w:val="20"/>
              </w:rPr>
              <w:t xml:space="preserve"> during 2021-22</w:t>
            </w:r>
            <w:r w:rsidRPr="00DC1DF5">
              <w:rPr>
                <w:rFonts w:ascii="Times New Roman" w:hAnsi="Times New Roman"/>
                <w:bCs/>
                <w:sz w:val="20"/>
                <w:szCs w:val="20"/>
              </w:rPr>
              <w:t>. All identifiers were removed (student name, course name, and faculty name) from the artifact and each were assigned to two full-time graduate faculty who teach in the graduate communication program so that each paper was read twice by two different reviewers. The mean of the reviewer scores were used as the final score. The rubric used for scoring was developed from the program learning outcomes; for this SLO, there was a single corresponding rubric item which could be scored along four different levels.</w:t>
            </w:r>
          </w:p>
          <w:p w14:paraId="057DB96E" w14:textId="6F4EC655" w:rsidR="00CC5395" w:rsidRPr="00964DD0" w:rsidRDefault="00CC5395" w:rsidP="00CC5395">
            <w:pPr>
              <w:widowControl w:val="0"/>
              <w:autoSpaceDE w:val="0"/>
              <w:autoSpaceDN w:val="0"/>
              <w:adjustRightInd w:val="0"/>
              <w:rPr>
                <w:rFonts w:ascii="Times New Roman" w:hAnsi="Times New Roman"/>
                <w:sz w:val="20"/>
                <w:szCs w:val="20"/>
              </w:rPr>
            </w:pPr>
          </w:p>
        </w:tc>
      </w:tr>
      <w:tr w:rsidR="00422699" w:rsidRPr="00964DD0" w14:paraId="310D41F6" w14:textId="77777777" w:rsidTr="0055739A">
        <w:tc>
          <w:tcPr>
            <w:tcW w:w="11245" w:type="dxa"/>
            <w:gridSpan w:val="4"/>
            <w:tcBorders>
              <w:top w:val="single" w:sz="4" w:space="0" w:color="auto"/>
              <w:bottom w:val="single" w:sz="4" w:space="0" w:color="auto"/>
            </w:tcBorders>
            <w:shd w:val="clear" w:color="auto" w:fill="auto"/>
            <w:tcMar>
              <w:top w:w="100" w:type="nil"/>
              <w:right w:w="100" w:type="nil"/>
            </w:tcMar>
          </w:tcPr>
          <w:p w14:paraId="4D940223" w14:textId="77777777" w:rsidR="00422699" w:rsidRDefault="00422699" w:rsidP="004226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222E7D5" w14:textId="77777777" w:rsidR="00422699" w:rsidRPr="003A32E4" w:rsidRDefault="00422699" w:rsidP="004226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024BE87" w14:textId="77777777" w:rsidR="00422699" w:rsidRPr="003A32E4" w:rsidRDefault="00422699" w:rsidP="004226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CAE2D51" w14:textId="057A7F49" w:rsidR="00422699" w:rsidRPr="003A32E4" w:rsidRDefault="00422699" w:rsidP="004226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422699" w:rsidRPr="00964DD0" w14:paraId="262F63E6" w14:textId="77777777" w:rsidTr="0055739A">
        <w:tc>
          <w:tcPr>
            <w:tcW w:w="14395" w:type="dxa"/>
            <w:gridSpan w:val="6"/>
            <w:shd w:val="clear" w:color="auto" w:fill="auto"/>
            <w:tcMar>
              <w:top w:w="100" w:type="nil"/>
              <w:right w:w="100" w:type="nil"/>
            </w:tcMar>
          </w:tcPr>
          <w:p w14:paraId="64A8436C" w14:textId="77777777" w:rsidR="00422699" w:rsidRPr="0054609C" w:rsidRDefault="00422699" w:rsidP="004226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47910" w:rsidRPr="00964DD0" w14:paraId="50291B37" w14:textId="77777777" w:rsidTr="0055739A">
        <w:trPr>
          <w:trHeight w:val="1340"/>
        </w:trPr>
        <w:tc>
          <w:tcPr>
            <w:tcW w:w="14395" w:type="dxa"/>
            <w:gridSpan w:val="6"/>
            <w:shd w:val="clear" w:color="auto" w:fill="auto"/>
            <w:tcMar>
              <w:top w:w="100" w:type="nil"/>
              <w:right w:w="100" w:type="nil"/>
            </w:tcMar>
          </w:tcPr>
          <w:p w14:paraId="390E9090" w14:textId="119E9B6E" w:rsidR="00447910" w:rsidRDefault="00447910" w:rsidP="00447910">
            <w:pPr>
              <w:rPr>
                <w:rFonts w:ascii="Times New Roman" w:hAnsi="Times New Roman"/>
                <w:color w:val="000000" w:themeColor="text1"/>
                <w:sz w:val="20"/>
                <w:szCs w:val="20"/>
              </w:rPr>
            </w:pPr>
            <w:r w:rsidRPr="00583538">
              <w:rPr>
                <w:rFonts w:ascii="Times New Roman" w:hAnsi="Times New Roman"/>
                <w:color w:val="000000" w:themeColor="text1"/>
                <w:sz w:val="20"/>
                <w:szCs w:val="20"/>
              </w:rPr>
              <w:t>Overall, the result from this assessment indicate that</w:t>
            </w:r>
            <w:r>
              <w:rPr>
                <w:rFonts w:ascii="Times New Roman" w:hAnsi="Times New Roman"/>
                <w:color w:val="000000" w:themeColor="text1"/>
                <w:sz w:val="20"/>
                <w:szCs w:val="20"/>
              </w:rPr>
              <w:t xml:space="preserve"> while</w:t>
            </w:r>
            <w:r w:rsidRPr="00583538">
              <w:rPr>
                <w:rFonts w:ascii="Times New Roman" w:hAnsi="Times New Roman"/>
                <w:color w:val="000000" w:themeColor="text1"/>
                <w:sz w:val="20"/>
                <w:szCs w:val="20"/>
              </w:rPr>
              <w:t xml:space="preserve"> the mean scores </w:t>
            </w:r>
            <w:r>
              <w:rPr>
                <w:rFonts w:ascii="Times New Roman" w:hAnsi="Times New Roman"/>
                <w:color w:val="000000" w:themeColor="text1"/>
                <w:sz w:val="20"/>
                <w:szCs w:val="20"/>
              </w:rPr>
              <w:t xml:space="preserve">of </w:t>
            </w:r>
            <w:r w:rsidRPr="00583538">
              <w:rPr>
                <w:rFonts w:ascii="Times New Roman" w:hAnsi="Times New Roman"/>
                <w:color w:val="000000" w:themeColor="text1"/>
                <w:sz w:val="20"/>
                <w:szCs w:val="20"/>
              </w:rPr>
              <w:t xml:space="preserve">the sampled student papers </w:t>
            </w:r>
            <w:r>
              <w:rPr>
                <w:rFonts w:ascii="Times New Roman" w:hAnsi="Times New Roman"/>
                <w:color w:val="000000" w:themeColor="text1"/>
                <w:sz w:val="20"/>
                <w:szCs w:val="20"/>
              </w:rPr>
              <w:t xml:space="preserve">did meet the “proficient” level of achievement, but only that the number of student </w:t>
            </w:r>
            <w:proofErr w:type="spellStart"/>
            <w:r>
              <w:rPr>
                <w:rFonts w:ascii="Times New Roman" w:hAnsi="Times New Roman"/>
                <w:color w:val="000000" w:themeColor="text1"/>
                <w:sz w:val="20"/>
                <w:szCs w:val="20"/>
              </w:rPr>
              <w:t>artifiacts</w:t>
            </w:r>
            <w:proofErr w:type="spellEnd"/>
            <w:r>
              <w:rPr>
                <w:rFonts w:ascii="Times New Roman" w:hAnsi="Times New Roman"/>
                <w:color w:val="000000" w:themeColor="text1"/>
                <w:sz w:val="20"/>
                <w:szCs w:val="20"/>
              </w:rPr>
              <w:t xml:space="preserve"> needed to meet the “proficient” level of the stated was 5, instead of 6. </w:t>
            </w:r>
            <w:r w:rsidRPr="00583538">
              <w:rPr>
                <w:rFonts w:ascii="Times New Roman" w:hAnsi="Times New Roman"/>
                <w:color w:val="000000" w:themeColor="text1"/>
                <w:sz w:val="20"/>
                <w:szCs w:val="20"/>
              </w:rPr>
              <w:t xml:space="preserve">The assessment result </w:t>
            </w:r>
            <w:proofErr w:type="gramStart"/>
            <w:r w:rsidRPr="00583538">
              <w:rPr>
                <w:rFonts w:ascii="Times New Roman" w:hAnsi="Times New Roman"/>
                <w:color w:val="000000" w:themeColor="text1"/>
                <w:sz w:val="20"/>
                <w:szCs w:val="20"/>
              </w:rPr>
              <w:t>suggest</w:t>
            </w:r>
            <w:proofErr w:type="gramEnd"/>
            <w:r w:rsidRPr="00583538">
              <w:rPr>
                <w:rFonts w:ascii="Times New Roman" w:hAnsi="Times New Roman"/>
                <w:color w:val="000000" w:themeColor="text1"/>
                <w:sz w:val="20"/>
                <w:szCs w:val="20"/>
              </w:rPr>
              <w:t xml:space="preserve"> there </w:t>
            </w:r>
            <w:r w:rsidR="000975F2">
              <w:rPr>
                <w:rFonts w:ascii="Times New Roman" w:hAnsi="Times New Roman"/>
                <w:color w:val="000000" w:themeColor="text1"/>
                <w:sz w:val="20"/>
                <w:szCs w:val="20"/>
              </w:rPr>
              <w:t>was</w:t>
            </w:r>
            <w:r w:rsidRPr="00583538">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reasonable </w:t>
            </w:r>
            <w:r w:rsidRPr="00583538">
              <w:rPr>
                <w:rFonts w:ascii="Times New Roman" w:hAnsi="Times New Roman"/>
                <w:color w:val="000000" w:themeColor="text1"/>
                <w:sz w:val="20"/>
                <w:szCs w:val="20"/>
              </w:rPr>
              <w:t xml:space="preserve">alignment between the core course learning outcomes and the program learning outcome. </w:t>
            </w:r>
            <w:r>
              <w:rPr>
                <w:rFonts w:ascii="Times New Roman" w:hAnsi="Times New Roman"/>
                <w:color w:val="000000" w:themeColor="text1"/>
                <w:sz w:val="20"/>
                <w:szCs w:val="20"/>
              </w:rPr>
              <w:t xml:space="preserve">While assessment practice needs to be continuously improved in the future, the most meaningful </w:t>
            </w:r>
            <w:r w:rsidRPr="00583538">
              <w:rPr>
                <w:rFonts w:ascii="Times New Roman" w:hAnsi="Times New Roman"/>
                <w:color w:val="000000" w:themeColor="text1"/>
                <w:sz w:val="20"/>
                <w:szCs w:val="20"/>
              </w:rPr>
              <w:t>action for program improvement</w:t>
            </w:r>
            <w:r>
              <w:rPr>
                <w:rFonts w:ascii="Times New Roman" w:hAnsi="Times New Roman"/>
                <w:color w:val="000000" w:themeColor="text1"/>
                <w:sz w:val="20"/>
                <w:szCs w:val="20"/>
              </w:rPr>
              <w:t xml:space="preserve"> is to have </w:t>
            </w:r>
            <w:r w:rsidRPr="00583538">
              <w:rPr>
                <w:rFonts w:ascii="Times New Roman" w:hAnsi="Times New Roman"/>
                <w:color w:val="000000" w:themeColor="text1"/>
                <w:sz w:val="20"/>
                <w:szCs w:val="20"/>
              </w:rPr>
              <w:t xml:space="preserve">a full-time tenure-track faculty </w:t>
            </w:r>
            <w:r>
              <w:rPr>
                <w:rFonts w:ascii="Times New Roman" w:hAnsi="Times New Roman"/>
                <w:color w:val="000000" w:themeColor="text1"/>
                <w:sz w:val="20"/>
                <w:szCs w:val="20"/>
              </w:rPr>
              <w:t xml:space="preserve">teach the two core courses </w:t>
            </w:r>
            <w:r w:rsidRPr="00583538">
              <w:rPr>
                <w:rFonts w:ascii="Times New Roman" w:hAnsi="Times New Roman"/>
                <w:color w:val="000000" w:themeColor="text1"/>
                <w:sz w:val="20"/>
                <w:szCs w:val="20"/>
              </w:rPr>
              <w:t>instead of an adjunct instructor</w:t>
            </w:r>
            <w:r>
              <w:rPr>
                <w:rFonts w:ascii="Times New Roman" w:hAnsi="Times New Roman"/>
                <w:color w:val="000000" w:themeColor="text1"/>
                <w:sz w:val="20"/>
                <w:szCs w:val="20"/>
              </w:rPr>
              <w:t xml:space="preserve">. This is critical </w:t>
            </w:r>
            <w:r>
              <w:rPr>
                <w:rFonts w:ascii="Times New Roman" w:hAnsi="Times New Roman"/>
                <w:color w:val="000000" w:themeColor="text1"/>
                <w:sz w:val="20"/>
              </w:rPr>
              <w:t xml:space="preserve">because </w:t>
            </w:r>
            <w:r w:rsidRPr="004B4978">
              <w:rPr>
                <w:rFonts w:ascii="Times New Roman" w:hAnsi="Times New Roman"/>
                <w:color w:val="000000" w:themeColor="text1"/>
                <w:sz w:val="20"/>
              </w:rPr>
              <w:t xml:space="preserve">student learning </w:t>
            </w:r>
            <w:r>
              <w:rPr>
                <w:rFonts w:ascii="Times New Roman" w:hAnsi="Times New Roman"/>
                <w:color w:val="000000" w:themeColor="text1"/>
                <w:sz w:val="20"/>
              </w:rPr>
              <w:t>is e</w:t>
            </w:r>
            <w:r w:rsidRPr="004B4978">
              <w:rPr>
                <w:rFonts w:ascii="Times New Roman" w:hAnsi="Times New Roman"/>
                <w:color w:val="000000" w:themeColor="text1"/>
                <w:sz w:val="20"/>
              </w:rPr>
              <w:t xml:space="preserve">nhanced </w:t>
            </w:r>
            <w:r>
              <w:rPr>
                <w:rFonts w:ascii="Times New Roman" w:hAnsi="Times New Roman"/>
                <w:color w:val="000000" w:themeColor="text1"/>
                <w:sz w:val="20"/>
              </w:rPr>
              <w:t xml:space="preserve">by having a faculty </w:t>
            </w:r>
            <w:r w:rsidR="006879AF">
              <w:rPr>
                <w:rFonts w:ascii="Times New Roman" w:hAnsi="Times New Roman"/>
                <w:color w:val="000000" w:themeColor="text1"/>
                <w:sz w:val="20"/>
              </w:rPr>
              <w:t xml:space="preserve">member </w:t>
            </w:r>
            <w:r>
              <w:rPr>
                <w:rFonts w:ascii="Times New Roman" w:hAnsi="Times New Roman"/>
                <w:color w:val="000000" w:themeColor="text1"/>
                <w:sz w:val="20"/>
              </w:rPr>
              <w:t xml:space="preserve">who is on campus to </w:t>
            </w:r>
            <w:r w:rsidRPr="004B4978">
              <w:rPr>
                <w:rFonts w:ascii="Times New Roman" w:hAnsi="Times New Roman"/>
                <w:color w:val="000000" w:themeColor="text1"/>
                <w:sz w:val="20"/>
              </w:rPr>
              <w:t>meaningful mentor and engage</w:t>
            </w:r>
            <w:r>
              <w:rPr>
                <w:rFonts w:ascii="Times New Roman" w:hAnsi="Times New Roman"/>
                <w:color w:val="000000" w:themeColor="text1"/>
                <w:sz w:val="20"/>
              </w:rPr>
              <w:t xml:space="preserve"> with </w:t>
            </w:r>
            <w:proofErr w:type="spellStart"/>
            <w:proofErr w:type="gramStart"/>
            <w:r>
              <w:rPr>
                <w:rFonts w:ascii="Times New Roman" w:hAnsi="Times New Roman"/>
                <w:color w:val="000000" w:themeColor="text1"/>
                <w:sz w:val="20"/>
              </w:rPr>
              <w:t>students.</w:t>
            </w:r>
            <w:r w:rsidRPr="00583538">
              <w:rPr>
                <w:rFonts w:ascii="Times New Roman" w:hAnsi="Times New Roman"/>
                <w:color w:val="000000" w:themeColor="text1"/>
                <w:sz w:val="20"/>
                <w:szCs w:val="20"/>
              </w:rPr>
              <w:t>As</w:t>
            </w:r>
            <w:proofErr w:type="spellEnd"/>
            <w:proofErr w:type="gramEnd"/>
            <w:r w:rsidRPr="00583538">
              <w:rPr>
                <w:rFonts w:ascii="Times New Roman" w:hAnsi="Times New Roman"/>
                <w:color w:val="000000" w:themeColor="text1"/>
                <w:sz w:val="20"/>
                <w:szCs w:val="20"/>
              </w:rPr>
              <w:t xml:space="preserve"> such, the department will need to do a search for a full-time tenure-track expert in healthcare communication next year in order to make this promising program viable and sustainable.</w:t>
            </w:r>
          </w:p>
          <w:p w14:paraId="031823FC" w14:textId="77777777" w:rsidR="00447910" w:rsidRPr="0054609C" w:rsidRDefault="00447910" w:rsidP="00447910">
            <w:pPr>
              <w:jc w:val="both"/>
              <w:rPr>
                <w:rFonts w:ascii="Times New Roman" w:hAnsi="Times New Roman"/>
                <w:b/>
                <w:sz w:val="20"/>
                <w:szCs w:val="20"/>
              </w:rPr>
            </w:pPr>
          </w:p>
        </w:tc>
      </w:tr>
      <w:tr w:rsidR="00422699" w:rsidRPr="00964DD0" w14:paraId="02946209" w14:textId="77777777" w:rsidTr="0055739A">
        <w:tc>
          <w:tcPr>
            <w:tcW w:w="14395" w:type="dxa"/>
            <w:gridSpan w:val="6"/>
            <w:shd w:val="clear" w:color="auto" w:fill="auto"/>
            <w:tcMar>
              <w:top w:w="100" w:type="nil"/>
              <w:right w:w="100" w:type="nil"/>
            </w:tcMar>
          </w:tcPr>
          <w:p w14:paraId="5405EE50" w14:textId="77777777" w:rsidR="00422699" w:rsidRPr="006E294C" w:rsidRDefault="00422699" w:rsidP="004226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0517E" w:rsidRPr="00964DD0" w14:paraId="14397AEA" w14:textId="77777777" w:rsidTr="0055739A">
        <w:tc>
          <w:tcPr>
            <w:tcW w:w="14395" w:type="dxa"/>
            <w:gridSpan w:val="6"/>
            <w:shd w:val="clear" w:color="auto" w:fill="auto"/>
            <w:tcMar>
              <w:top w:w="100" w:type="nil"/>
              <w:right w:w="100" w:type="nil"/>
            </w:tcMar>
          </w:tcPr>
          <w:p w14:paraId="4E1F4582" w14:textId="77777777" w:rsidR="0060517E" w:rsidRDefault="0060517E" w:rsidP="0060517E">
            <w:pPr>
              <w:rPr>
                <w:rFonts w:ascii="Times New Roman" w:hAnsi="Times New Roman"/>
                <w:bCs/>
                <w:sz w:val="20"/>
              </w:rPr>
            </w:pPr>
            <w:r>
              <w:rPr>
                <w:rFonts w:ascii="Times New Roman" w:hAnsi="Times New Roman"/>
                <w:bCs/>
                <w:sz w:val="20"/>
              </w:rPr>
              <w:t xml:space="preserve">The adjunct instructor who teaches the core courses in the 0475 graduate certificate program have been consulted before the start of the new AY to assure there is better alignment between course learning objectives, coursework and assignments, and program learning outcomes. </w:t>
            </w:r>
          </w:p>
          <w:p w14:paraId="6F57BEA4" w14:textId="77777777" w:rsidR="0060517E" w:rsidRPr="00FB363A" w:rsidRDefault="0060517E" w:rsidP="0060517E">
            <w:pPr>
              <w:jc w:val="both"/>
              <w:rPr>
                <w:rFonts w:ascii="Times New Roman" w:hAnsi="Times New Roman"/>
                <w:bCs/>
                <w:color w:val="000000" w:themeColor="text1"/>
                <w:sz w:val="20"/>
              </w:rPr>
            </w:pPr>
          </w:p>
        </w:tc>
      </w:tr>
      <w:tr w:rsidR="00422699" w:rsidRPr="00964DD0" w14:paraId="687F67D2" w14:textId="77777777" w:rsidTr="0055739A">
        <w:tc>
          <w:tcPr>
            <w:tcW w:w="14395" w:type="dxa"/>
            <w:gridSpan w:val="6"/>
            <w:shd w:val="clear" w:color="auto" w:fill="auto"/>
            <w:tcMar>
              <w:top w:w="100" w:type="nil"/>
              <w:right w:w="100" w:type="nil"/>
            </w:tcMar>
          </w:tcPr>
          <w:p w14:paraId="7C2D14AF" w14:textId="77777777" w:rsidR="00422699" w:rsidRPr="00FB363A" w:rsidRDefault="00422699" w:rsidP="0042269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CC5395" w:rsidRPr="00964DD0" w14:paraId="4CC7792B" w14:textId="77777777" w:rsidTr="0055739A">
        <w:tc>
          <w:tcPr>
            <w:tcW w:w="14395" w:type="dxa"/>
            <w:gridSpan w:val="6"/>
            <w:shd w:val="clear" w:color="auto" w:fill="auto"/>
            <w:tcMar>
              <w:top w:w="100" w:type="nil"/>
              <w:right w:w="100" w:type="nil"/>
            </w:tcMar>
          </w:tcPr>
          <w:p w14:paraId="44EE6E2E" w14:textId="2C875137" w:rsidR="00CC5395" w:rsidRPr="00923B2D" w:rsidRDefault="00CC5395" w:rsidP="00CC5395">
            <w:pPr>
              <w:rPr>
                <w:rFonts w:ascii="Times New Roman" w:hAnsi="Times New Roman"/>
                <w:color w:val="000000" w:themeColor="text1"/>
                <w:sz w:val="20"/>
              </w:rPr>
            </w:pPr>
            <w:r>
              <w:rPr>
                <w:rFonts w:ascii="Times New Roman" w:hAnsi="Times New Roman"/>
                <w:color w:val="000000" w:themeColor="text1"/>
                <w:sz w:val="20"/>
              </w:rPr>
              <w:t>T</w:t>
            </w:r>
            <w:r w:rsidRPr="00923B2D">
              <w:rPr>
                <w:rFonts w:ascii="Times New Roman" w:hAnsi="Times New Roman"/>
                <w:color w:val="000000" w:themeColor="text1"/>
                <w:sz w:val="20"/>
              </w:rPr>
              <w:t xml:space="preserve">he </w:t>
            </w:r>
            <w:proofErr w:type="spellStart"/>
            <w:r w:rsidRPr="00923B2D">
              <w:rPr>
                <w:rFonts w:ascii="Times New Roman" w:hAnsi="Times New Roman"/>
                <w:color w:val="000000" w:themeColor="text1"/>
                <w:sz w:val="20"/>
              </w:rPr>
              <w:t>Gradaute</w:t>
            </w:r>
            <w:proofErr w:type="spellEnd"/>
            <w:r w:rsidRPr="00923B2D">
              <w:rPr>
                <w:rFonts w:ascii="Times New Roman" w:hAnsi="Times New Roman"/>
                <w:color w:val="000000" w:themeColor="text1"/>
                <w:sz w:val="20"/>
              </w:rPr>
              <w:t xml:space="preserve"> Program Committee and course instructor</w:t>
            </w:r>
            <w:r>
              <w:rPr>
                <w:rFonts w:ascii="Times New Roman" w:hAnsi="Times New Roman"/>
                <w:color w:val="000000" w:themeColor="text1"/>
                <w:sz w:val="20"/>
              </w:rPr>
              <w:t xml:space="preserve"> will be consulted at the start of the next AY for how to best assess the program for 2022-23.</w:t>
            </w:r>
          </w:p>
          <w:p w14:paraId="70ECF031" w14:textId="77777777" w:rsidR="00CC5395" w:rsidRDefault="00CC5395" w:rsidP="00CC5395">
            <w:pPr>
              <w:jc w:val="both"/>
              <w:rPr>
                <w:rFonts w:ascii="Times New Roman" w:hAnsi="Times New Roman"/>
                <w:bCs/>
                <w:sz w:val="20"/>
              </w:rPr>
            </w:pPr>
          </w:p>
        </w:tc>
      </w:tr>
    </w:tbl>
    <w:p w14:paraId="0CB1BA3B" w14:textId="77777777" w:rsidR="00C741C7" w:rsidRDefault="00C741C7"/>
    <w:p w14:paraId="598BEA38" w14:textId="77777777" w:rsidR="00A6726B" w:rsidRDefault="00A6726B">
      <w:pPr>
        <w:rPr>
          <w:b/>
          <w:bCs/>
          <w:color w:val="FF0000"/>
        </w:rPr>
      </w:pPr>
      <w:r>
        <w:rPr>
          <w:b/>
          <w:bCs/>
          <w:color w:val="FF0000"/>
        </w:rPr>
        <w:br w:type="page"/>
      </w:r>
    </w:p>
    <w:p w14:paraId="742FCF10" w14:textId="04833610" w:rsidR="002659E0" w:rsidRDefault="002659E0">
      <w:pPr>
        <w:rPr>
          <w:b/>
          <w:bCs/>
          <w:color w:val="FF0000"/>
        </w:rPr>
      </w:pPr>
      <w:r>
        <w:rPr>
          <w:b/>
          <w:bCs/>
          <w:noProof/>
          <w:color w:val="FF0000"/>
          <w:lang w:eastAsia="ko-KR"/>
        </w:rPr>
        <w:lastRenderedPageBreak/>
        <w:drawing>
          <wp:inline distT="0" distB="0" distL="0" distR="0" wp14:anchorId="6C27939C" wp14:editId="00D6EAD4">
            <wp:extent cx="5341133" cy="6841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9161" cy="6851597"/>
                    </a:xfrm>
                    <a:prstGeom prst="rect">
                      <a:avLst/>
                    </a:prstGeom>
                    <a:noFill/>
                    <a:ln>
                      <a:noFill/>
                    </a:ln>
                  </pic:spPr>
                </pic:pic>
              </a:graphicData>
            </a:graphic>
          </wp:inline>
        </w:drawing>
      </w:r>
    </w:p>
    <w:p w14:paraId="407D9A09" w14:textId="72817CB7" w:rsidR="002659E0" w:rsidRDefault="002659E0">
      <w:pPr>
        <w:rPr>
          <w:b/>
          <w:bCs/>
          <w:color w:val="FF0000"/>
        </w:rPr>
      </w:pPr>
      <w:r>
        <w:rPr>
          <w:b/>
          <w:bCs/>
          <w:noProof/>
          <w:color w:val="FF0000"/>
          <w:lang w:eastAsia="ko-KR"/>
        </w:rPr>
        <w:lastRenderedPageBreak/>
        <w:drawing>
          <wp:inline distT="0" distB="0" distL="0" distR="0" wp14:anchorId="3D156F80" wp14:editId="6761B7E3">
            <wp:extent cx="5391456" cy="28366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301" cy="2847611"/>
                    </a:xfrm>
                    <a:prstGeom prst="rect">
                      <a:avLst/>
                    </a:prstGeom>
                    <a:noFill/>
                    <a:ln>
                      <a:noFill/>
                    </a:ln>
                  </pic:spPr>
                </pic:pic>
              </a:graphicData>
            </a:graphic>
          </wp:inline>
        </w:drawing>
      </w:r>
    </w:p>
    <w:p w14:paraId="48FBB851" w14:textId="77777777" w:rsidR="002659E0" w:rsidRDefault="002659E0">
      <w:pPr>
        <w:rPr>
          <w:b/>
          <w:bCs/>
          <w:color w:val="FF0000"/>
        </w:rPr>
      </w:pPr>
    </w:p>
    <w:p w14:paraId="0613140E" w14:textId="77777777" w:rsidR="002659E0" w:rsidRDefault="002659E0">
      <w:pPr>
        <w:rPr>
          <w:b/>
          <w:bCs/>
          <w:color w:val="FF0000"/>
        </w:rPr>
      </w:pPr>
    </w:p>
    <w:p w14:paraId="5D8954C6" w14:textId="77777777" w:rsidR="002659E0" w:rsidRDefault="002659E0">
      <w:pPr>
        <w:rPr>
          <w:b/>
          <w:bCs/>
          <w:color w:val="FF0000"/>
        </w:rPr>
      </w:pPr>
    </w:p>
    <w:p w14:paraId="101EAF5A" w14:textId="77777777" w:rsidR="002659E0" w:rsidRDefault="002659E0">
      <w:pPr>
        <w:rPr>
          <w:b/>
          <w:bCs/>
          <w:color w:val="FF0000"/>
        </w:rPr>
      </w:pPr>
    </w:p>
    <w:p w14:paraId="7B47D234" w14:textId="77777777" w:rsidR="002659E0" w:rsidRDefault="002659E0">
      <w:pPr>
        <w:rPr>
          <w:b/>
          <w:bCs/>
          <w:color w:val="FF0000"/>
        </w:rPr>
      </w:pPr>
    </w:p>
    <w:p w14:paraId="0B4C549B" w14:textId="77777777" w:rsidR="002659E0" w:rsidRDefault="002659E0">
      <w:pPr>
        <w:rPr>
          <w:b/>
          <w:bCs/>
          <w:color w:val="FF0000"/>
        </w:rPr>
      </w:pPr>
    </w:p>
    <w:p w14:paraId="5C51BB83" w14:textId="77777777" w:rsidR="002659E0" w:rsidRDefault="002659E0">
      <w:pPr>
        <w:rPr>
          <w:b/>
          <w:bCs/>
          <w:color w:val="FF0000"/>
        </w:rPr>
      </w:pPr>
    </w:p>
    <w:p w14:paraId="223CEA28" w14:textId="77777777" w:rsidR="002659E0" w:rsidRDefault="002659E0">
      <w:pPr>
        <w:rPr>
          <w:b/>
          <w:bCs/>
          <w:color w:val="FF0000"/>
        </w:rPr>
      </w:pPr>
    </w:p>
    <w:p w14:paraId="1F74F4D3" w14:textId="77777777" w:rsidR="002659E0" w:rsidRDefault="002659E0">
      <w:pPr>
        <w:rPr>
          <w:b/>
          <w:bCs/>
          <w:color w:val="FF0000"/>
        </w:rPr>
      </w:pPr>
    </w:p>
    <w:p w14:paraId="08D4B69F" w14:textId="77777777" w:rsidR="000E1689" w:rsidRDefault="000E1689">
      <w:pPr>
        <w:rPr>
          <w:b/>
          <w:bCs/>
          <w:color w:val="FF0000"/>
        </w:rPr>
      </w:pPr>
      <w:r>
        <w:rPr>
          <w:b/>
          <w:bCs/>
          <w:color w:val="FF0000"/>
        </w:rPr>
        <w:br w:type="page"/>
      </w:r>
    </w:p>
    <w:p w14:paraId="5B145B66" w14:textId="7B65BB70" w:rsidR="00734CF9" w:rsidRDefault="00FA5344">
      <w:pPr>
        <w:rPr>
          <w:b/>
          <w:bCs/>
          <w:color w:val="FF0000"/>
        </w:rPr>
      </w:pPr>
      <w:r w:rsidRPr="00FA5344">
        <w:rPr>
          <w:b/>
          <w:bCs/>
          <w:color w:val="FF0000"/>
        </w:rPr>
        <w:lastRenderedPageBreak/>
        <w:t>*** Please include Curriculum Map (below/next page) as part of this document</w:t>
      </w:r>
    </w:p>
    <w:tbl>
      <w:tblPr>
        <w:tblW w:w="14330" w:type="dxa"/>
        <w:tblLayout w:type="fixed"/>
        <w:tblLook w:val="04A0" w:firstRow="1" w:lastRow="0" w:firstColumn="1" w:lastColumn="0" w:noHBand="0" w:noVBand="1"/>
      </w:tblPr>
      <w:tblGrid>
        <w:gridCol w:w="1860"/>
        <w:gridCol w:w="965"/>
        <w:gridCol w:w="5360"/>
        <w:gridCol w:w="990"/>
        <w:gridCol w:w="32"/>
        <w:gridCol w:w="1023"/>
        <w:gridCol w:w="25"/>
        <w:gridCol w:w="980"/>
        <w:gridCol w:w="18"/>
        <w:gridCol w:w="942"/>
        <w:gridCol w:w="81"/>
        <w:gridCol w:w="1023"/>
        <w:gridCol w:w="7"/>
        <w:gridCol w:w="1016"/>
        <w:gridCol w:w="8"/>
      </w:tblGrid>
      <w:tr w:rsidR="00D0093F" w:rsidRPr="00A6726B" w14:paraId="14365736" w14:textId="77777777" w:rsidTr="00D0093F">
        <w:trPr>
          <w:gridAfter w:val="1"/>
          <w:wAfter w:w="8" w:type="dxa"/>
          <w:trHeight w:val="370"/>
        </w:trPr>
        <w:tc>
          <w:tcPr>
            <w:tcW w:w="8185" w:type="dxa"/>
            <w:gridSpan w:val="3"/>
            <w:tcBorders>
              <w:top w:val="nil"/>
              <w:left w:val="single" w:sz="4" w:space="0" w:color="auto"/>
              <w:bottom w:val="nil"/>
              <w:right w:val="nil"/>
            </w:tcBorders>
            <w:shd w:val="clear" w:color="auto" w:fill="auto"/>
            <w:noWrap/>
            <w:vAlign w:val="bottom"/>
            <w:hideMark/>
          </w:tcPr>
          <w:p w14:paraId="1A4DAF93" w14:textId="77777777" w:rsidR="00734CF9" w:rsidRPr="00A6726B" w:rsidRDefault="00734CF9" w:rsidP="00734CF9">
            <w:pPr>
              <w:rPr>
                <w:rFonts w:cs="Calibri"/>
                <w:b/>
                <w:bCs/>
                <w:color w:val="000000"/>
                <w:sz w:val="20"/>
                <w:szCs w:val="28"/>
                <w:lang w:eastAsia="ko-KR"/>
              </w:rPr>
            </w:pPr>
            <w:r w:rsidRPr="00A6726B">
              <w:rPr>
                <w:rFonts w:cs="Calibri"/>
                <w:b/>
                <w:bCs/>
                <w:color w:val="000000"/>
                <w:sz w:val="28"/>
                <w:szCs w:val="28"/>
                <w:lang w:eastAsia="ko-KR"/>
              </w:rPr>
              <w:t>CURRICULUM MAP TEMPLATE</w:t>
            </w:r>
          </w:p>
        </w:tc>
        <w:tc>
          <w:tcPr>
            <w:tcW w:w="990" w:type="dxa"/>
            <w:tcBorders>
              <w:top w:val="nil"/>
              <w:left w:val="nil"/>
              <w:bottom w:val="nil"/>
              <w:right w:val="nil"/>
            </w:tcBorders>
            <w:shd w:val="clear" w:color="auto" w:fill="auto"/>
            <w:noWrap/>
            <w:vAlign w:val="bottom"/>
            <w:hideMark/>
          </w:tcPr>
          <w:p w14:paraId="31555F56" w14:textId="77777777" w:rsidR="00734CF9" w:rsidRPr="00A6726B" w:rsidRDefault="00734CF9" w:rsidP="00734CF9">
            <w:pPr>
              <w:rPr>
                <w:rFonts w:cs="Calibri"/>
                <w:b/>
                <w:bCs/>
                <w:color w:val="000000"/>
                <w:sz w:val="20"/>
                <w:szCs w:val="28"/>
                <w:lang w:eastAsia="ko-KR"/>
              </w:rPr>
            </w:pPr>
          </w:p>
        </w:tc>
        <w:tc>
          <w:tcPr>
            <w:tcW w:w="1080" w:type="dxa"/>
            <w:gridSpan w:val="3"/>
            <w:tcBorders>
              <w:top w:val="nil"/>
              <w:left w:val="nil"/>
              <w:bottom w:val="nil"/>
              <w:right w:val="nil"/>
            </w:tcBorders>
            <w:shd w:val="clear" w:color="auto" w:fill="auto"/>
            <w:noWrap/>
            <w:vAlign w:val="bottom"/>
            <w:hideMark/>
          </w:tcPr>
          <w:p w14:paraId="33374447" w14:textId="77777777" w:rsidR="00734CF9" w:rsidRPr="00A6726B" w:rsidRDefault="00734CF9" w:rsidP="00734CF9">
            <w:pPr>
              <w:rPr>
                <w:rFonts w:ascii="Times New Roman" w:hAnsi="Times New Roman"/>
                <w:sz w:val="20"/>
                <w:szCs w:val="20"/>
                <w:lang w:eastAsia="ko-KR"/>
              </w:rPr>
            </w:pPr>
          </w:p>
        </w:tc>
        <w:tc>
          <w:tcPr>
            <w:tcW w:w="980" w:type="dxa"/>
            <w:tcBorders>
              <w:top w:val="nil"/>
              <w:left w:val="nil"/>
              <w:bottom w:val="nil"/>
              <w:right w:val="nil"/>
            </w:tcBorders>
            <w:shd w:val="clear" w:color="auto" w:fill="auto"/>
            <w:noWrap/>
            <w:vAlign w:val="bottom"/>
            <w:hideMark/>
          </w:tcPr>
          <w:p w14:paraId="6A43300E" w14:textId="77777777" w:rsidR="00734CF9" w:rsidRPr="00A6726B" w:rsidRDefault="00734CF9" w:rsidP="00734CF9">
            <w:pPr>
              <w:rPr>
                <w:rFonts w:ascii="Times New Roman" w:hAnsi="Times New Roman"/>
                <w:sz w:val="20"/>
                <w:szCs w:val="20"/>
                <w:lang w:eastAsia="ko-KR"/>
              </w:rPr>
            </w:pPr>
          </w:p>
        </w:tc>
        <w:tc>
          <w:tcPr>
            <w:tcW w:w="960" w:type="dxa"/>
            <w:gridSpan w:val="2"/>
            <w:tcBorders>
              <w:top w:val="nil"/>
              <w:left w:val="nil"/>
              <w:bottom w:val="nil"/>
              <w:right w:val="nil"/>
            </w:tcBorders>
            <w:shd w:val="clear" w:color="auto" w:fill="auto"/>
            <w:noWrap/>
            <w:vAlign w:val="bottom"/>
            <w:hideMark/>
          </w:tcPr>
          <w:p w14:paraId="2E97883E" w14:textId="77777777" w:rsidR="00734CF9" w:rsidRPr="00A6726B" w:rsidRDefault="00734CF9" w:rsidP="00734CF9">
            <w:pPr>
              <w:rPr>
                <w:rFonts w:ascii="Times New Roman" w:hAnsi="Times New Roman"/>
                <w:sz w:val="20"/>
                <w:szCs w:val="20"/>
                <w:lang w:eastAsia="ko-KR"/>
              </w:rPr>
            </w:pPr>
          </w:p>
        </w:tc>
        <w:tc>
          <w:tcPr>
            <w:tcW w:w="1111" w:type="dxa"/>
            <w:gridSpan w:val="3"/>
            <w:tcBorders>
              <w:top w:val="nil"/>
              <w:left w:val="nil"/>
              <w:bottom w:val="nil"/>
              <w:right w:val="nil"/>
            </w:tcBorders>
            <w:shd w:val="clear" w:color="auto" w:fill="auto"/>
            <w:noWrap/>
            <w:vAlign w:val="bottom"/>
            <w:hideMark/>
          </w:tcPr>
          <w:p w14:paraId="06526F5E" w14:textId="77777777" w:rsidR="00734CF9" w:rsidRPr="00A6726B" w:rsidRDefault="00734CF9" w:rsidP="00734CF9">
            <w:pPr>
              <w:rPr>
                <w:rFonts w:ascii="Times New Roman" w:hAnsi="Times New Roman"/>
                <w:sz w:val="20"/>
                <w:szCs w:val="20"/>
                <w:lang w:eastAsia="ko-KR"/>
              </w:rPr>
            </w:pPr>
          </w:p>
        </w:tc>
        <w:tc>
          <w:tcPr>
            <w:tcW w:w="1016" w:type="dxa"/>
            <w:tcBorders>
              <w:top w:val="nil"/>
              <w:left w:val="nil"/>
              <w:bottom w:val="nil"/>
              <w:right w:val="nil"/>
            </w:tcBorders>
            <w:shd w:val="clear" w:color="auto" w:fill="auto"/>
            <w:noWrap/>
            <w:vAlign w:val="bottom"/>
            <w:hideMark/>
          </w:tcPr>
          <w:p w14:paraId="23872F82" w14:textId="77777777" w:rsidR="00734CF9" w:rsidRPr="00A6726B" w:rsidRDefault="00734CF9" w:rsidP="00734CF9">
            <w:pPr>
              <w:rPr>
                <w:rFonts w:ascii="Times New Roman" w:hAnsi="Times New Roman"/>
                <w:sz w:val="20"/>
                <w:szCs w:val="20"/>
                <w:lang w:eastAsia="ko-KR"/>
              </w:rPr>
            </w:pPr>
          </w:p>
        </w:tc>
      </w:tr>
      <w:tr w:rsidR="00D0093F" w:rsidRPr="00A6726B" w14:paraId="29E57155" w14:textId="77777777" w:rsidTr="00A6726B">
        <w:trPr>
          <w:gridAfter w:val="1"/>
          <w:wAfter w:w="8" w:type="dxa"/>
          <w:trHeight w:val="53"/>
        </w:trPr>
        <w:tc>
          <w:tcPr>
            <w:tcW w:w="18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355DCB6"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Program name:</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012E32"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Communicating in Healthcare Graduate Certificate Program (#0475)</w:t>
            </w:r>
          </w:p>
        </w:tc>
        <w:tc>
          <w:tcPr>
            <w:tcW w:w="1080" w:type="dxa"/>
            <w:gridSpan w:val="3"/>
            <w:tcBorders>
              <w:top w:val="nil"/>
              <w:left w:val="nil"/>
              <w:bottom w:val="nil"/>
              <w:right w:val="nil"/>
            </w:tcBorders>
            <w:shd w:val="clear" w:color="auto" w:fill="auto"/>
            <w:noWrap/>
            <w:vAlign w:val="bottom"/>
            <w:hideMark/>
          </w:tcPr>
          <w:p w14:paraId="78562C92" w14:textId="77777777" w:rsidR="00734CF9" w:rsidRPr="00A6726B" w:rsidRDefault="00734CF9" w:rsidP="00734CF9">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1CF8D959" w14:textId="77777777" w:rsidR="00734CF9" w:rsidRPr="00A6726B" w:rsidRDefault="00734CF9" w:rsidP="00734CF9">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11B6EC00" w14:textId="77777777" w:rsidR="00734CF9" w:rsidRPr="00A6726B" w:rsidRDefault="00734CF9" w:rsidP="00734CF9">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3188661C" w14:textId="77777777" w:rsidR="00734CF9" w:rsidRPr="00A6726B" w:rsidRDefault="00734CF9" w:rsidP="00734CF9">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58C21D28" w14:textId="77777777" w:rsidR="00734CF9" w:rsidRPr="00A6726B" w:rsidRDefault="00734CF9" w:rsidP="00734CF9">
            <w:pPr>
              <w:rPr>
                <w:rFonts w:ascii="Times New Roman" w:hAnsi="Times New Roman"/>
                <w:sz w:val="22"/>
                <w:szCs w:val="22"/>
                <w:lang w:eastAsia="ko-KR"/>
              </w:rPr>
            </w:pPr>
          </w:p>
        </w:tc>
      </w:tr>
      <w:tr w:rsidR="00D0093F" w:rsidRPr="00A6726B" w14:paraId="71C75C1B" w14:textId="77777777" w:rsidTr="00A6726B">
        <w:trPr>
          <w:gridAfter w:val="1"/>
          <w:wAfter w:w="8" w:type="dxa"/>
          <w:trHeight w:val="71"/>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2398FA3"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Department:</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483E2D"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Communication</w:t>
            </w:r>
          </w:p>
        </w:tc>
        <w:tc>
          <w:tcPr>
            <w:tcW w:w="1080" w:type="dxa"/>
            <w:gridSpan w:val="3"/>
            <w:tcBorders>
              <w:top w:val="nil"/>
              <w:left w:val="nil"/>
              <w:bottom w:val="nil"/>
              <w:right w:val="nil"/>
            </w:tcBorders>
            <w:shd w:val="clear" w:color="auto" w:fill="auto"/>
            <w:noWrap/>
            <w:vAlign w:val="bottom"/>
            <w:hideMark/>
          </w:tcPr>
          <w:p w14:paraId="4F8615A5" w14:textId="77777777" w:rsidR="00734CF9" w:rsidRPr="00A6726B" w:rsidRDefault="00734CF9" w:rsidP="00734CF9">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65F937DA" w14:textId="77777777" w:rsidR="00734CF9" w:rsidRPr="00A6726B" w:rsidRDefault="00734CF9" w:rsidP="00734CF9">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24E08907" w14:textId="77777777" w:rsidR="00734CF9" w:rsidRPr="00A6726B" w:rsidRDefault="00734CF9" w:rsidP="00734CF9">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54F59B6C" w14:textId="77777777" w:rsidR="00734CF9" w:rsidRPr="00A6726B" w:rsidRDefault="00734CF9" w:rsidP="00734CF9">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6D585BD1" w14:textId="77777777" w:rsidR="00734CF9" w:rsidRPr="00A6726B" w:rsidRDefault="00734CF9" w:rsidP="00734CF9">
            <w:pPr>
              <w:rPr>
                <w:rFonts w:ascii="Times New Roman" w:hAnsi="Times New Roman"/>
                <w:sz w:val="22"/>
                <w:szCs w:val="22"/>
                <w:lang w:eastAsia="ko-KR"/>
              </w:rPr>
            </w:pPr>
          </w:p>
        </w:tc>
      </w:tr>
      <w:tr w:rsidR="00D0093F" w:rsidRPr="00A6726B" w14:paraId="14A04DE2"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08256954"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College:</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467630"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PCAL</w:t>
            </w:r>
          </w:p>
        </w:tc>
        <w:tc>
          <w:tcPr>
            <w:tcW w:w="1080" w:type="dxa"/>
            <w:gridSpan w:val="3"/>
            <w:tcBorders>
              <w:top w:val="nil"/>
              <w:left w:val="nil"/>
              <w:bottom w:val="nil"/>
              <w:right w:val="nil"/>
            </w:tcBorders>
            <w:shd w:val="clear" w:color="auto" w:fill="auto"/>
            <w:noWrap/>
            <w:vAlign w:val="bottom"/>
            <w:hideMark/>
          </w:tcPr>
          <w:p w14:paraId="1030CB89" w14:textId="77777777" w:rsidR="00734CF9" w:rsidRPr="00A6726B" w:rsidRDefault="00734CF9" w:rsidP="00734CF9">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3AFCEDCF" w14:textId="77777777" w:rsidR="00734CF9" w:rsidRPr="00A6726B" w:rsidRDefault="00734CF9" w:rsidP="00734CF9">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143BEA08" w14:textId="77777777" w:rsidR="00734CF9" w:rsidRPr="00A6726B" w:rsidRDefault="00734CF9" w:rsidP="00734CF9">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598DE17D" w14:textId="77777777" w:rsidR="00734CF9" w:rsidRPr="00A6726B" w:rsidRDefault="00734CF9" w:rsidP="00734CF9">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3310552C" w14:textId="77777777" w:rsidR="00734CF9" w:rsidRPr="00A6726B" w:rsidRDefault="00734CF9" w:rsidP="00734CF9">
            <w:pPr>
              <w:rPr>
                <w:rFonts w:ascii="Times New Roman" w:hAnsi="Times New Roman"/>
                <w:sz w:val="22"/>
                <w:szCs w:val="22"/>
                <w:lang w:eastAsia="ko-KR"/>
              </w:rPr>
            </w:pPr>
          </w:p>
        </w:tc>
      </w:tr>
      <w:tr w:rsidR="00D0093F" w:rsidRPr="00A6726B" w14:paraId="3D28A478" w14:textId="77777777" w:rsidTr="00A6726B">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4D882DC"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Contact person:</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210EC2"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Dr. Jieyoung Kong</w:t>
            </w:r>
          </w:p>
        </w:tc>
        <w:tc>
          <w:tcPr>
            <w:tcW w:w="1080" w:type="dxa"/>
            <w:gridSpan w:val="3"/>
            <w:tcBorders>
              <w:top w:val="nil"/>
              <w:left w:val="nil"/>
              <w:bottom w:val="nil"/>
              <w:right w:val="nil"/>
            </w:tcBorders>
            <w:shd w:val="clear" w:color="auto" w:fill="auto"/>
            <w:noWrap/>
            <w:vAlign w:val="bottom"/>
            <w:hideMark/>
          </w:tcPr>
          <w:p w14:paraId="4C400457" w14:textId="77777777" w:rsidR="00734CF9" w:rsidRPr="00A6726B" w:rsidRDefault="00734CF9" w:rsidP="00734CF9">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4EF34B9B" w14:textId="77777777" w:rsidR="00734CF9" w:rsidRPr="00A6726B" w:rsidRDefault="00734CF9" w:rsidP="00734CF9">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66A85684" w14:textId="77777777" w:rsidR="00734CF9" w:rsidRPr="00A6726B" w:rsidRDefault="00734CF9" w:rsidP="00734CF9">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630C04A8" w14:textId="77777777" w:rsidR="00734CF9" w:rsidRPr="00A6726B" w:rsidRDefault="00734CF9" w:rsidP="00734CF9">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5F1B80CA" w14:textId="77777777" w:rsidR="00734CF9" w:rsidRPr="00A6726B" w:rsidRDefault="00734CF9" w:rsidP="00734CF9">
            <w:pPr>
              <w:rPr>
                <w:rFonts w:ascii="Times New Roman" w:hAnsi="Times New Roman"/>
                <w:sz w:val="22"/>
                <w:szCs w:val="22"/>
                <w:lang w:eastAsia="ko-KR"/>
              </w:rPr>
            </w:pPr>
          </w:p>
        </w:tc>
      </w:tr>
      <w:tr w:rsidR="00D0093F" w:rsidRPr="00A6726B" w14:paraId="1626D546" w14:textId="77777777" w:rsidTr="00A6726B">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B3A5653"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Email:</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0E99F9" w14:textId="77777777" w:rsidR="00734CF9" w:rsidRPr="00A6726B" w:rsidRDefault="00000000" w:rsidP="00734CF9">
            <w:pPr>
              <w:rPr>
                <w:rFonts w:cs="Calibri"/>
                <w:color w:val="0000FF"/>
                <w:sz w:val="22"/>
                <w:szCs w:val="22"/>
                <w:u w:val="single"/>
                <w:lang w:eastAsia="ko-KR"/>
              </w:rPr>
            </w:pPr>
            <w:hyperlink r:id="rId10" w:history="1">
              <w:r w:rsidR="00734CF9" w:rsidRPr="00A6726B">
                <w:rPr>
                  <w:rFonts w:cs="Calibri"/>
                  <w:color w:val="0000FF"/>
                  <w:sz w:val="22"/>
                  <w:szCs w:val="22"/>
                  <w:u w:val="single"/>
                  <w:lang w:eastAsia="ko-KR"/>
                </w:rPr>
                <w:t>Jieyoung.Kong@wku.edu</w:t>
              </w:r>
            </w:hyperlink>
          </w:p>
        </w:tc>
        <w:tc>
          <w:tcPr>
            <w:tcW w:w="1080" w:type="dxa"/>
            <w:gridSpan w:val="3"/>
            <w:tcBorders>
              <w:top w:val="nil"/>
              <w:left w:val="nil"/>
              <w:bottom w:val="nil"/>
              <w:right w:val="nil"/>
            </w:tcBorders>
            <w:shd w:val="clear" w:color="auto" w:fill="auto"/>
            <w:noWrap/>
            <w:vAlign w:val="bottom"/>
            <w:hideMark/>
          </w:tcPr>
          <w:p w14:paraId="1335CDE9" w14:textId="77777777" w:rsidR="00734CF9" w:rsidRPr="00A6726B" w:rsidRDefault="00734CF9" w:rsidP="00734CF9">
            <w:pPr>
              <w:rPr>
                <w:rFonts w:cs="Calibri"/>
                <w:color w:val="0000FF"/>
                <w:sz w:val="22"/>
                <w:szCs w:val="22"/>
                <w:u w:val="single"/>
                <w:lang w:eastAsia="ko-KR"/>
              </w:rPr>
            </w:pPr>
          </w:p>
        </w:tc>
        <w:tc>
          <w:tcPr>
            <w:tcW w:w="980" w:type="dxa"/>
            <w:tcBorders>
              <w:top w:val="nil"/>
              <w:left w:val="nil"/>
              <w:bottom w:val="nil"/>
              <w:right w:val="nil"/>
            </w:tcBorders>
            <w:shd w:val="clear" w:color="auto" w:fill="auto"/>
            <w:noWrap/>
            <w:vAlign w:val="bottom"/>
            <w:hideMark/>
          </w:tcPr>
          <w:p w14:paraId="12291F11" w14:textId="77777777" w:rsidR="00734CF9" w:rsidRPr="00A6726B" w:rsidRDefault="00734CF9" w:rsidP="00734CF9">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4E998439" w14:textId="77777777" w:rsidR="00734CF9" w:rsidRPr="00A6726B" w:rsidRDefault="00734CF9" w:rsidP="00734CF9">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72726F9F" w14:textId="77777777" w:rsidR="00734CF9" w:rsidRPr="00A6726B" w:rsidRDefault="00734CF9" w:rsidP="00734CF9">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2B311CB3" w14:textId="77777777" w:rsidR="00734CF9" w:rsidRPr="00A6726B" w:rsidRDefault="00734CF9" w:rsidP="00734CF9">
            <w:pPr>
              <w:rPr>
                <w:rFonts w:ascii="Times New Roman" w:hAnsi="Times New Roman"/>
                <w:sz w:val="22"/>
                <w:szCs w:val="22"/>
                <w:lang w:eastAsia="ko-KR"/>
              </w:rPr>
            </w:pPr>
          </w:p>
        </w:tc>
      </w:tr>
      <w:tr w:rsidR="00734CF9" w:rsidRPr="00A6726B" w14:paraId="2707DE48" w14:textId="77777777" w:rsidTr="00D0093F">
        <w:trPr>
          <w:trHeight w:val="400"/>
        </w:trPr>
        <w:tc>
          <w:tcPr>
            <w:tcW w:w="2825" w:type="dxa"/>
            <w:gridSpan w:val="2"/>
            <w:vMerge w:val="restart"/>
            <w:tcBorders>
              <w:top w:val="single" w:sz="4" w:space="0" w:color="auto"/>
              <w:left w:val="single" w:sz="4" w:space="0" w:color="auto"/>
              <w:bottom w:val="single" w:sz="4" w:space="0" w:color="000000"/>
              <w:right w:val="nil"/>
            </w:tcBorders>
            <w:shd w:val="clear" w:color="auto" w:fill="auto"/>
            <w:hideMark/>
          </w:tcPr>
          <w:p w14:paraId="6AD09487" w14:textId="77777777" w:rsidR="00734CF9" w:rsidRPr="00A6726B" w:rsidRDefault="00734CF9" w:rsidP="00734CF9">
            <w:pPr>
              <w:rPr>
                <w:rFonts w:cs="Calibri"/>
                <w:color w:val="000000"/>
                <w:sz w:val="22"/>
                <w:szCs w:val="22"/>
                <w:lang w:eastAsia="ko-KR"/>
              </w:rPr>
            </w:pPr>
            <w:r w:rsidRPr="00A6726B">
              <w:rPr>
                <w:rFonts w:cs="Calibri"/>
                <w:b/>
                <w:bCs/>
                <w:color w:val="000000"/>
                <w:sz w:val="22"/>
                <w:szCs w:val="22"/>
                <w:u w:val="single"/>
                <w:lang w:eastAsia="ko-KR"/>
              </w:rPr>
              <w:t>KEY:</w:t>
            </w:r>
            <w:r w:rsidRPr="00A6726B">
              <w:rPr>
                <w:rFonts w:cs="Calibri"/>
                <w:color w:val="000000"/>
                <w:sz w:val="22"/>
                <w:szCs w:val="22"/>
                <w:lang w:eastAsia="ko-KR"/>
              </w:rPr>
              <w:br/>
              <w:t>I = Introduced</w:t>
            </w:r>
            <w:r w:rsidRPr="00A6726B">
              <w:rPr>
                <w:rFonts w:cs="Calibri"/>
                <w:color w:val="000000"/>
                <w:sz w:val="22"/>
                <w:szCs w:val="22"/>
                <w:lang w:eastAsia="ko-KR"/>
              </w:rPr>
              <w:br/>
              <w:t>R = Reinforced/Developed</w:t>
            </w:r>
            <w:r w:rsidRPr="00A6726B">
              <w:rPr>
                <w:rFonts w:cs="Calibri"/>
                <w:color w:val="000000"/>
                <w:sz w:val="22"/>
                <w:szCs w:val="22"/>
                <w:lang w:eastAsia="ko-KR"/>
              </w:rPr>
              <w:br/>
              <w:t>M = Mastered</w:t>
            </w:r>
            <w:r w:rsidRPr="00A6726B">
              <w:rPr>
                <w:rFonts w:cs="Calibri"/>
                <w:color w:val="000000"/>
                <w:sz w:val="22"/>
                <w:szCs w:val="22"/>
                <w:lang w:eastAsia="ko-KR"/>
              </w:rPr>
              <w:br/>
              <w:t>A = Assessed</w:t>
            </w:r>
          </w:p>
        </w:tc>
        <w:tc>
          <w:tcPr>
            <w:tcW w:w="11505" w:type="dxa"/>
            <w:gridSpan w:val="13"/>
            <w:vMerge w:val="restart"/>
            <w:tcBorders>
              <w:top w:val="nil"/>
              <w:left w:val="nil"/>
              <w:bottom w:val="single" w:sz="4" w:space="0" w:color="000000"/>
              <w:right w:val="nil"/>
            </w:tcBorders>
            <w:shd w:val="clear" w:color="auto" w:fill="auto"/>
            <w:hideMark/>
          </w:tcPr>
          <w:p w14:paraId="5EDEDE6D" w14:textId="77777777" w:rsidR="00734CF9" w:rsidRPr="00A6726B" w:rsidRDefault="00734CF9" w:rsidP="00D0093F">
            <w:pPr>
              <w:rPr>
                <w:rFonts w:cs="Calibri"/>
                <w:color w:val="000000"/>
                <w:sz w:val="22"/>
                <w:szCs w:val="22"/>
                <w:lang w:eastAsia="ko-KR"/>
              </w:rPr>
            </w:pPr>
            <w:r w:rsidRPr="00A6726B">
              <w:rPr>
                <w:rFonts w:cs="Calibri"/>
                <w:b/>
                <w:bCs/>
                <w:color w:val="000000"/>
                <w:sz w:val="22"/>
                <w:szCs w:val="22"/>
                <w:u w:val="single"/>
                <w:lang w:eastAsia="ko-KR"/>
              </w:rPr>
              <w:t>Learning Outcomes:</w:t>
            </w:r>
            <w:r w:rsidRPr="00A6726B">
              <w:rPr>
                <w:rFonts w:cs="Calibri"/>
                <w:color w:val="000000"/>
                <w:sz w:val="22"/>
                <w:szCs w:val="22"/>
                <w:lang w:eastAsia="ko-KR"/>
              </w:rPr>
              <w:br/>
              <w:t xml:space="preserve">LO1: Analyze and apply communication and health theories to help explain factors that affect the delivery of health care. </w:t>
            </w:r>
            <w:r w:rsidRPr="00A6726B">
              <w:rPr>
                <w:rFonts w:cs="Calibri"/>
                <w:color w:val="000000"/>
                <w:sz w:val="22"/>
                <w:szCs w:val="22"/>
                <w:lang w:eastAsia="ko-KR"/>
              </w:rPr>
              <w:br/>
              <w:t>LO2: Evaluate communication behaviors in health care relationships, health care teams (multidisciplinary, interdisciplinary, and transdisciplinary), and health care organizations.</w:t>
            </w:r>
            <w:r w:rsidRPr="00A6726B">
              <w:rPr>
                <w:rFonts w:cs="Calibri"/>
                <w:color w:val="000000"/>
                <w:sz w:val="22"/>
                <w:szCs w:val="22"/>
                <w:lang w:eastAsia="ko-KR"/>
              </w:rPr>
              <w:br/>
              <w:t>LO3: Identify communication variables (i.e. culture, technology) that affect communicating in health care contexts.</w:t>
            </w:r>
            <w:r w:rsidRPr="00A6726B">
              <w:rPr>
                <w:rFonts w:cs="Calibri"/>
                <w:color w:val="000000"/>
                <w:sz w:val="22"/>
                <w:szCs w:val="22"/>
                <w:lang w:eastAsia="ko-KR"/>
              </w:rPr>
              <w:br/>
              <w:t>LO4: Critique the effectiveness of health communication campaigns.</w:t>
            </w:r>
            <w:r w:rsidRPr="00A6726B">
              <w:rPr>
                <w:rFonts w:cs="Calibri"/>
                <w:color w:val="000000"/>
                <w:sz w:val="22"/>
                <w:szCs w:val="22"/>
                <w:lang w:eastAsia="ko-KR"/>
              </w:rPr>
              <w:br/>
              <w:t>LO5: Develop a well-rounded understanding of communication processes within contexts that apply to healthcare including interpersonal, organizational, and intercultural.</w:t>
            </w:r>
            <w:r w:rsidRPr="00A6726B">
              <w:rPr>
                <w:rFonts w:cs="Calibri"/>
                <w:color w:val="000000"/>
                <w:sz w:val="22"/>
                <w:szCs w:val="22"/>
                <w:lang w:eastAsia="ko-KR"/>
              </w:rPr>
              <w:br/>
              <w:t>LO6: Understand the centrality of communication in health care administration, public health, and health behavior.</w:t>
            </w:r>
          </w:p>
        </w:tc>
      </w:tr>
      <w:tr w:rsidR="00734CF9" w:rsidRPr="00A6726B" w14:paraId="6890DEC9" w14:textId="77777777" w:rsidTr="00D0093F">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73E72C19" w14:textId="77777777" w:rsidR="00734CF9" w:rsidRPr="00A6726B" w:rsidRDefault="00734CF9" w:rsidP="00734CF9">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0693A0EA" w14:textId="77777777" w:rsidR="00734CF9" w:rsidRPr="00A6726B" w:rsidRDefault="00734CF9" w:rsidP="00734CF9">
            <w:pPr>
              <w:rPr>
                <w:rFonts w:cs="Calibri"/>
                <w:color w:val="000000"/>
                <w:sz w:val="22"/>
                <w:szCs w:val="22"/>
                <w:lang w:eastAsia="ko-KR"/>
              </w:rPr>
            </w:pPr>
          </w:p>
        </w:tc>
      </w:tr>
      <w:tr w:rsidR="00734CF9" w:rsidRPr="00A6726B" w14:paraId="3B0EC29D" w14:textId="77777777" w:rsidTr="00D0093F">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18BFC48D" w14:textId="77777777" w:rsidR="00734CF9" w:rsidRPr="00A6726B" w:rsidRDefault="00734CF9" w:rsidP="00734CF9">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0FE40E8C" w14:textId="77777777" w:rsidR="00734CF9" w:rsidRPr="00A6726B" w:rsidRDefault="00734CF9" w:rsidP="00734CF9">
            <w:pPr>
              <w:rPr>
                <w:rFonts w:cs="Calibri"/>
                <w:color w:val="000000"/>
                <w:sz w:val="22"/>
                <w:szCs w:val="22"/>
                <w:lang w:eastAsia="ko-KR"/>
              </w:rPr>
            </w:pPr>
          </w:p>
        </w:tc>
      </w:tr>
      <w:tr w:rsidR="00734CF9" w:rsidRPr="00A6726B" w14:paraId="15E10C9E" w14:textId="77777777" w:rsidTr="00D0093F">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404CCBE4" w14:textId="77777777" w:rsidR="00734CF9" w:rsidRPr="00A6726B" w:rsidRDefault="00734CF9" w:rsidP="00734CF9">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5D36AEE9" w14:textId="77777777" w:rsidR="00734CF9" w:rsidRPr="00A6726B" w:rsidRDefault="00734CF9" w:rsidP="00734CF9">
            <w:pPr>
              <w:rPr>
                <w:rFonts w:cs="Calibri"/>
                <w:color w:val="000000"/>
                <w:sz w:val="22"/>
                <w:szCs w:val="22"/>
                <w:lang w:eastAsia="ko-KR"/>
              </w:rPr>
            </w:pPr>
          </w:p>
        </w:tc>
      </w:tr>
      <w:tr w:rsidR="00734CF9" w:rsidRPr="00A6726B" w14:paraId="699AD12A" w14:textId="77777777" w:rsidTr="00D0093F">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75ADD96B" w14:textId="77777777" w:rsidR="00734CF9" w:rsidRPr="00A6726B" w:rsidRDefault="00734CF9" w:rsidP="00734CF9">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297ADDC7" w14:textId="77777777" w:rsidR="00734CF9" w:rsidRPr="00A6726B" w:rsidRDefault="00734CF9" w:rsidP="00734CF9">
            <w:pPr>
              <w:rPr>
                <w:rFonts w:cs="Calibri"/>
                <w:color w:val="000000"/>
                <w:sz w:val="22"/>
                <w:szCs w:val="22"/>
                <w:lang w:eastAsia="ko-KR"/>
              </w:rPr>
            </w:pPr>
          </w:p>
        </w:tc>
      </w:tr>
      <w:tr w:rsidR="00734CF9" w:rsidRPr="00A6726B" w14:paraId="69A63402" w14:textId="77777777" w:rsidTr="00A6726B">
        <w:trPr>
          <w:trHeight w:val="293"/>
        </w:trPr>
        <w:tc>
          <w:tcPr>
            <w:tcW w:w="2825" w:type="dxa"/>
            <w:gridSpan w:val="2"/>
            <w:vMerge/>
            <w:tcBorders>
              <w:top w:val="single" w:sz="4" w:space="0" w:color="auto"/>
              <w:left w:val="single" w:sz="4" w:space="0" w:color="auto"/>
              <w:bottom w:val="single" w:sz="4" w:space="0" w:color="000000"/>
              <w:right w:val="nil"/>
            </w:tcBorders>
            <w:vAlign w:val="center"/>
            <w:hideMark/>
          </w:tcPr>
          <w:p w14:paraId="73572919" w14:textId="77777777" w:rsidR="00734CF9" w:rsidRPr="00A6726B" w:rsidRDefault="00734CF9" w:rsidP="00734CF9">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71D0930C" w14:textId="77777777" w:rsidR="00734CF9" w:rsidRPr="00A6726B" w:rsidRDefault="00734CF9" w:rsidP="00734CF9">
            <w:pPr>
              <w:rPr>
                <w:rFonts w:cs="Calibri"/>
                <w:color w:val="000000"/>
                <w:sz w:val="22"/>
                <w:szCs w:val="22"/>
                <w:lang w:eastAsia="ko-KR"/>
              </w:rPr>
            </w:pPr>
          </w:p>
        </w:tc>
      </w:tr>
      <w:tr w:rsidR="00734CF9" w:rsidRPr="00A6726B" w14:paraId="0EFDDA21" w14:textId="77777777" w:rsidTr="00A6726B">
        <w:trPr>
          <w:trHeight w:val="80"/>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8262C49" w14:textId="20BFB14C" w:rsidR="00734CF9" w:rsidRPr="00A6726B" w:rsidRDefault="00D0093F" w:rsidP="00734CF9">
            <w:pPr>
              <w:rPr>
                <w:rFonts w:cs="Calibri"/>
                <w:b/>
                <w:bCs/>
                <w:sz w:val="22"/>
                <w:szCs w:val="22"/>
                <w:lang w:eastAsia="ko-KR"/>
              </w:rPr>
            </w:pPr>
            <w:r w:rsidRPr="00A6726B">
              <w:rPr>
                <w:rFonts w:cs="Calibri"/>
                <w:b/>
                <w:bCs/>
                <w:sz w:val="22"/>
                <w:szCs w:val="22"/>
                <w:lang w:eastAsia="ko-KR"/>
              </w:rPr>
              <w:t>Course Subject</w:t>
            </w:r>
            <w:r w:rsidR="00734CF9" w:rsidRPr="00A6726B">
              <w:rPr>
                <w:rFonts w:cs="Calibri"/>
                <w:b/>
                <w:bCs/>
                <w:sz w:val="22"/>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B7DB426" w14:textId="7A37B480" w:rsidR="00734CF9" w:rsidRPr="00A6726B" w:rsidRDefault="00D0093F" w:rsidP="00A6726B">
            <w:pPr>
              <w:rPr>
                <w:rFonts w:cs="Calibri"/>
                <w:b/>
                <w:bCs/>
                <w:sz w:val="22"/>
                <w:szCs w:val="22"/>
                <w:lang w:eastAsia="ko-KR"/>
              </w:rPr>
            </w:pPr>
            <w:r w:rsidRPr="00A6726B">
              <w:rPr>
                <w:rFonts w:cs="Calibri"/>
                <w:b/>
                <w:bCs/>
                <w:sz w:val="22"/>
                <w:szCs w:val="22"/>
                <w:lang w:eastAsia="ko-KR"/>
              </w:rPr>
              <w:t>Number</w:t>
            </w:r>
          </w:p>
        </w:tc>
        <w:tc>
          <w:tcPr>
            <w:tcW w:w="5360" w:type="dxa"/>
            <w:tcBorders>
              <w:top w:val="nil"/>
              <w:left w:val="nil"/>
              <w:bottom w:val="single" w:sz="4" w:space="0" w:color="auto"/>
              <w:right w:val="single" w:sz="4" w:space="0" w:color="auto"/>
            </w:tcBorders>
            <w:shd w:val="clear" w:color="000000" w:fill="C5D9F1"/>
            <w:noWrap/>
            <w:vAlign w:val="bottom"/>
            <w:hideMark/>
          </w:tcPr>
          <w:p w14:paraId="00750886" w14:textId="61B7FFE8" w:rsidR="00734CF9" w:rsidRPr="00A6726B" w:rsidRDefault="00D0093F" w:rsidP="00734CF9">
            <w:pPr>
              <w:rPr>
                <w:rFonts w:cs="Calibri"/>
                <w:b/>
                <w:bCs/>
                <w:sz w:val="22"/>
                <w:szCs w:val="22"/>
                <w:lang w:eastAsia="ko-KR"/>
              </w:rPr>
            </w:pPr>
            <w:r w:rsidRPr="00A6726B">
              <w:rPr>
                <w:rFonts w:cs="Calibri"/>
                <w:b/>
                <w:bCs/>
                <w:sz w:val="22"/>
                <w:szCs w:val="22"/>
                <w:lang w:eastAsia="ko-KR"/>
              </w:rPr>
              <w:t>Course Title</w:t>
            </w:r>
            <w:r w:rsidR="00734CF9" w:rsidRPr="00A6726B">
              <w:rPr>
                <w:rFonts w:cs="Calibri"/>
                <w:b/>
                <w:bCs/>
                <w:sz w:val="22"/>
                <w:szCs w:val="22"/>
                <w:lang w:eastAsia="ko-KR"/>
              </w:rPr>
              <w:t> </w:t>
            </w:r>
          </w:p>
        </w:tc>
        <w:tc>
          <w:tcPr>
            <w:tcW w:w="6145" w:type="dxa"/>
            <w:gridSpan w:val="12"/>
            <w:tcBorders>
              <w:top w:val="single" w:sz="4" w:space="0" w:color="auto"/>
              <w:left w:val="nil"/>
              <w:bottom w:val="single" w:sz="4" w:space="0" w:color="auto"/>
              <w:right w:val="single" w:sz="4" w:space="0" w:color="000000"/>
            </w:tcBorders>
            <w:shd w:val="clear" w:color="000000" w:fill="C5D9F1"/>
            <w:noWrap/>
            <w:vAlign w:val="bottom"/>
            <w:hideMark/>
          </w:tcPr>
          <w:p w14:paraId="24D4B3AE" w14:textId="77777777" w:rsidR="00734CF9" w:rsidRPr="00A6726B" w:rsidRDefault="00734CF9" w:rsidP="00734CF9">
            <w:pPr>
              <w:jc w:val="center"/>
              <w:rPr>
                <w:rFonts w:cs="Calibri"/>
                <w:b/>
                <w:bCs/>
                <w:sz w:val="22"/>
                <w:szCs w:val="22"/>
                <w:lang w:eastAsia="ko-KR"/>
              </w:rPr>
            </w:pPr>
            <w:r w:rsidRPr="00A6726B">
              <w:rPr>
                <w:rFonts w:cs="Calibri"/>
                <w:b/>
                <w:bCs/>
                <w:sz w:val="22"/>
                <w:szCs w:val="22"/>
                <w:lang w:eastAsia="ko-KR"/>
              </w:rPr>
              <w:t>Learning Outcomes</w:t>
            </w:r>
          </w:p>
        </w:tc>
      </w:tr>
      <w:tr w:rsidR="00D0093F" w:rsidRPr="00A6726B" w14:paraId="25460D48" w14:textId="77777777" w:rsidTr="00A6726B">
        <w:trPr>
          <w:gridAfter w:val="1"/>
          <w:wAfter w:w="8" w:type="dxa"/>
          <w:trHeight w:val="89"/>
        </w:trPr>
        <w:tc>
          <w:tcPr>
            <w:tcW w:w="1860" w:type="dxa"/>
            <w:tcBorders>
              <w:top w:val="nil"/>
              <w:left w:val="single" w:sz="4" w:space="0" w:color="auto"/>
              <w:bottom w:val="single" w:sz="4" w:space="0" w:color="auto"/>
              <w:right w:val="single" w:sz="4" w:space="0" w:color="auto"/>
            </w:tcBorders>
            <w:shd w:val="clear" w:color="000000" w:fill="C5D9F1"/>
            <w:noWrap/>
            <w:vAlign w:val="bottom"/>
          </w:tcPr>
          <w:p w14:paraId="3BA5E0A5" w14:textId="22CEE757" w:rsidR="00734CF9" w:rsidRPr="00A6726B" w:rsidRDefault="00D0093F" w:rsidP="00734CF9">
            <w:pPr>
              <w:rPr>
                <w:rFonts w:cs="Calibri"/>
                <w:b/>
                <w:bCs/>
                <w:sz w:val="22"/>
                <w:szCs w:val="22"/>
                <w:lang w:eastAsia="ko-KR"/>
              </w:rPr>
            </w:pPr>
            <w:r w:rsidRPr="00A6726B">
              <w:rPr>
                <w:rFonts w:cs="Calibri"/>
                <w:b/>
                <w:bCs/>
                <w:i/>
                <w:iCs/>
                <w:sz w:val="22"/>
                <w:szCs w:val="22"/>
                <w:lang w:eastAsia="ko-KR"/>
              </w:rPr>
              <w:t>(Core Courses)</w:t>
            </w:r>
          </w:p>
        </w:tc>
        <w:tc>
          <w:tcPr>
            <w:tcW w:w="965" w:type="dxa"/>
            <w:tcBorders>
              <w:top w:val="nil"/>
              <w:left w:val="nil"/>
              <w:bottom w:val="single" w:sz="4" w:space="0" w:color="auto"/>
              <w:right w:val="single" w:sz="4" w:space="0" w:color="auto"/>
            </w:tcBorders>
            <w:shd w:val="clear" w:color="000000" w:fill="C5D9F1"/>
            <w:noWrap/>
            <w:vAlign w:val="bottom"/>
          </w:tcPr>
          <w:p w14:paraId="65A7E20F" w14:textId="6183BCEB" w:rsidR="00734CF9" w:rsidRPr="00A6726B" w:rsidRDefault="00734CF9" w:rsidP="00734CF9">
            <w:pPr>
              <w:rPr>
                <w:rFonts w:cs="Calibri"/>
                <w:b/>
                <w:bCs/>
                <w:sz w:val="22"/>
                <w:szCs w:val="22"/>
                <w:lang w:eastAsia="ko-KR"/>
              </w:rPr>
            </w:pPr>
          </w:p>
        </w:tc>
        <w:tc>
          <w:tcPr>
            <w:tcW w:w="5360" w:type="dxa"/>
            <w:tcBorders>
              <w:top w:val="nil"/>
              <w:left w:val="nil"/>
              <w:bottom w:val="single" w:sz="4" w:space="0" w:color="auto"/>
              <w:right w:val="single" w:sz="4" w:space="0" w:color="auto"/>
            </w:tcBorders>
            <w:shd w:val="clear" w:color="000000" w:fill="C5D9F1"/>
            <w:noWrap/>
            <w:vAlign w:val="bottom"/>
          </w:tcPr>
          <w:p w14:paraId="74983FF3" w14:textId="0600A342" w:rsidR="00734CF9" w:rsidRPr="00A6726B" w:rsidRDefault="00734CF9" w:rsidP="00734CF9">
            <w:pPr>
              <w:rPr>
                <w:rFonts w:cs="Calibri"/>
                <w:b/>
                <w:bCs/>
                <w:sz w:val="22"/>
                <w:szCs w:val="22"/>
                <w:lang w:eastAsia="ko-KR"/>
              </w:rPr>
            </w:pPr>
          </w:p>
        </w:tc>
        <w:tc>
          <w:tcPr>
            <w:tcW w:w="1022" w:type="dxa"/>
            <w:gridSpan w:val="2"/>
            <w:tcBorders>
              <w:top w:val="nil"/>
              <w:left w:val="nil"/>
              <w:bottom w:val="single" w:sz="4" w:space="0" w:color="auto"/>
              <w:right w:val="single" w:sz="4" w:space="0" w:color="auto"/>
            </w:tcBorders>
            <w:shd w:val="clear" w:color="000000" w:fill="C5D9F1"/>
            <w:vAlign w:val="bottom"/>
            <w:hideMark/>
          </w:tcPr>
          <w:p w14:paraId="0FDA39B4" w14:textId="77777777" w:rsidR="00734CF9" w:rsidRPr="00A6726B" w:rsidRDefault="00734CF9" w:rsidP="00734CF9">
            <w:pPr>
              <w:rPr>
                <w:rFonts w:cs="Calibri"/>
                <w:b/>
                <w:bCs/>
                <w:sz w:val="22"/>
                <w:szCs w:val="22"/>
                <w:lang w:eastAsia="ko-KR"/>
              </w:rPr>
            </w:pPr>
            <w:r w:rsidRPr="00A6726B">
              <w:rPr>
                <w:rFonts w:cs="Calibri"/>
                <w:b/>
                <w:bCs/>
                <w:sz w:val="22"/>
                <w:szCs w:val="22"/>
                <w:lang w:eastAsia="ko-KR"/>
              </w:rPr>
              <w:t>LO1:</w:t>
            </w:r>
          </w:p>
        </w:tc>
        <w:tc>
          <w:tcPr>
            <w:tcW w:w="1023" w:type="dxa"/>
            <w:tcBorders>
              <w:top w:val="nil"/>
              <w:left w:val="nil"/>
              <w:bottom w:val="single" w:sz="4" w:space="0" w:color="auto"/>
              <w:right w:val="single" w:sz="4" w:space="0" w:color="auto"/>
            </w:tcBorders>
            <w:shd w:val="clear" w:color="000000" w:fill="C5D9F1"/>
            <w:vAlign w:val="bottom"/>
            <w:hideMark/>
          </w:tcPr>
          <w:p w14:paraId="41E45B93"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LO2:</w:t>
            </w:r>
          </w:p>
        </w:tc>
        <w:tc>
          <w:tcPr>
            <w:tcW w:w="1023" w:type="dxa"/>
            <w:gridSpan w:val="3"/>
            <w:tcBorders>
              <w:top w:val="nil"/>
              <w:left w:val="nil"/>
              <w:bottom w:val="single" w:sz="4" w:space="0" w:color="auto"/>
              <w:right w:val="single" w:sz="4" w:space="0" w:color="auto"/>
            </w:tcBorders>
            <w:shd w:val="clear" w:color="000000" w:fill="C5D9F1"/>
            <w:noWrap/>
            <w:vAlign w:val="bottom"/>
            <w:hideMark/>
          </w:tcPr>
          <w:p w14:paraId="7099DE2E"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LO3:</w:t>
            </w:r>
          </w:p>
        </w:tc>
        <w:tc>
          <w:tcPr>
            <w:tcW w:w="1023" w:type="dxa"/>
            <w:gridSpan w:val="2"/>
            <w:tcBorders>
              <w:top w:val="nil"/>
              <w:left w:val="nil"/>
              <w:bottom w:val="single" w:sz="4" w:space="0" w:color="auto"/>
              <w:right w:val="single" w:sz="4" w:space="0" w:color="auto"/>
            </w:tcBorders>
            <w:shd w:val="clear" w:color="000000" w:fill="C5D9F1"/>
            <w:noWrap/>
            <w:vAlign w:val="bottom"/>
            <w:hideMark/>
          </w:tcPr>
          <w:p w14:paraId="59ED8B5D" w14:textId="77777777" w:rsidR="00734CF9" w:rsidRPr="00A6726B" w:rsidRDefault="00734CF9" w:rsidP="00734CF9">
            <w:pPr>
              <w:rPr>
                <w:rFonts w:cs="Calibri"/>
                <w:b/>
                <w:bCs/>
                <w:color w:val="000000"/>
                <w:sz w:val="22"/>
                <w:szCs w:val="22"/>
                <w:lang w:eastAsia="ko-KR"/>
              </w:rPr>
            </w:pPr>
            <w:r w:rsidRPr="00A6726B">
              <w:rPr>
                <w:rFonts w:cs="Calibri"/>
                <w:b/>
                <w:bCs/>
                <w:color w:val="000000"/>
                <w:sz w:val="22"/>
                <w:szCs w:val="22"/>
                <w:lang w:eastAsia="ko-KR"/>
              </w:rPr>
              <w:t>LO4:</w:t>
            </w:r>
          </w:p>
        </w:tc>
        <w:tc>
          <w:tcPr>
            <w:tcW w:w="1023" w:type="dxa"/>
            <w:tcBorders>
              <w:top w:val="nil"/>
              <w:left w:val="nil"/>
              <w:bottom w:val="single" w:sz="4" w:space="0" w:color="auto"/>
              <w:right w:val="single" w:sz="4" w:space="0" w:color="auto"/>
            </w:tcBorders>
            <w:shd w:val="clear" w:color="000000" w:fill="C5D9F1"/>
            <w:noWrap/>
            <w:vAlign w:val="bottom"/>
            <w:hideMark/>
          </w:tcPr>
          <w:p w14:paraId="090843FB" w14:textId="77777777" w:rsidR="00734CF9" w:rsidRPr="00A6726B" w:rsidRDefault="00734CF9" w:rsidP="00734CF9">
            <w:pPr>
              <w:rPr>
                <w:rFonts w:cs="Calibri"/>
                <w:b/>
                <w:bCs/>
                <w:sz w:val="22"/>
                <w:szCs w:val="22"/>
                <w:lang w:eastAsia="ko-KR"/>
              </w:rPr>
            </w:pPr>
            <w:r w:rsidRPr="00A6726B">
              <w:rPr>
                <w:rFonts w:cs="Calibri"/>
                <w:b/>
                <w:bCs/>
                <w:sz w:val="22"/>
                <w:szCs w:val="22"/>
                <w:lang w:eastAsia="ko-KR"/>
              </w:rPr>
              <w:t>LO5</w:t>
            </w:r>
          </w:p>
        </w:tc>
        <w:tc>
          <w:tcPr>
            <w:tcW w:w="1023" w:type="dxa"/>
            <w:gridSpan w:val="2"/>
            <w:tcBorders>
              <w:top w:val="nil"/>
              <w:left w:val="nil"/>
              <w:bottom w:val="single" w:sz="4" w:space="0" w:color="auto"/>
              <w:right w:val="single" w:sz="4" w:space="0" w:color="auto"/>
            </w:tcBorders>
            <w:shd w:val="clear" w:color="000000" w:fill="C5D9F1"/>
            <w:noWrap/>
            <w:vAlign w:val="bottom"/>
            <w:hideMark/>
          </w:tcPr>
          <w:p w14:paraId="1D24BBD1" w14:textId="77777777" w:rsidR="00734CF9" w:rsidRPr="00A6726B" w:rsidRDefault="00734CF9" w:rsidP="00734CF9">
            <w:pPr>
              <w:rPr>
                <w:rFonts w:cs="Calibri"/>
                <w:b/>
                <w:bCs/>
                <w:sz w:val="22"/>
                <w:szCs w:val="22"/>
                <w:lang w:eastAsia="ko-KR"/>
              </w:rPr>
            </w:pPr>
            <w:r w:rsidRPr="00A6726B">
              <w:rPr>
                <w:rFonts w:cs="Calibri"/>
                <w:b/>
                <w:bCs/>
                <w:sz w:val="22"/>
                <w:szCs w:val="22"/>
                <w:lang w:eastAsia="ko-KR"/>
              </w:rPr>
              <w:t>LO6</w:t>
            </w:r>
          </w:p>
        </w:tc>
      </w:tr>
      <w:tr w:rsidR="00D0093F" w:rsidRPr="00A6726B" w14:paraId="301C54F0" w14:textId="77777777" w:rsidTr="00A6726B">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1D709050"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025D2076"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523</w:t>
            </w:r>
          </w:p>
        </w:tc>
        <w:tc>
          <w:tcPr>
            <w:tcW w:w="5360" w:type="dxa"/>
            <w:tcBorders>
              <w:top w:val="nil"/>
              <w:left w:val="nil"/>
              <w:bottom w:val="single" w:sz="4" w:space="0" w:color="auto"/>
              <w:right w:val="single" w:sz="4" w:space="0" w:color="auto"/>
            </w:tcBorders>
            <w:shd w:val="clear" w:color="000000" w:fill="C5D9F1"/>
            <w:noWrap/>
            <w:vAlign w:val="bottom"/>
            <w:hideMark/>
          </w:tcPr>
          <w:p w14:paraId="49B308B6"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Health Communication</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6210A6" w14:textId="53C6934A" w:rsidR="00734CF9" w:rsidRPr="00A6726B" w:rsidRDefault="009623FF" w:rsidP="00734CF9">
            <w:pPr>
              <w:rPr>
                <w:rFonts w:cs="Calibri"/>
                <w:color w:val="000000"/>
                <w:sz w:val="22"/>
                <w:szCs w:val="22"/>
                <w:lang w:eastAsia="ko-KR"/>
              </w:rPr>
            </w:pPr>
            <w:r>
              <w:rPr>
                <w:rFonts w:cs="Calibri"/>
                <w:color w:val="000000"/>
                <w:sz w:val="22"/>
                <w:szCs w:val="22"/>
                <w:lang w:eastAsia="ko-KR"/>
              </w:rPr>
              <w:t>I/R</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71259BAD" w14:textId="2CC9EED8" w:rsidR="00734CF9" w:rsidRPr="00A6726B" w:rsidRDefault="009623FF" w:rsidP="006338F8">
            <w:pPr>
              <w:rPr>
                <w:rFonts w:cs="Calibri"/>
                <w:color w:val="000000"/>
                <w:sz w:val="22"/>
                <w:szCs w:val="22"/>
                <w:lang w:eastAsia="ko-KR"/>
              </w:rPr>
            </w:pPr>
            <w:r>
              <w:rPr>
                <w:rFonts w:cs="Calibri"/>
                <w:color w:val="000000"/>
                <w:sz w:val="22"/>
                <w:szCs w:val="22"/>
                <w:lang w:eastAsia="ko-KR"/>
              </w:rPr>
              <w:t>I/R/A</w:t>
            </w:r>
          </w:p>
        </w:tc>
        <w:tc>
          <w:tcPr>
            <w:tcW w:w="10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D220ED" w14:textId="35DBE627" w:rsidR="00734CF9" w:rsidRPr="00A6726B" w:rsidRDefault="009623FF" w:rsidP="00734CF9">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5FF48" w14:textId="3CA090EC" w:rsidR="00734CF9" w:rsidRPr="00A6726B" w:rsidRDefault="004B06A0" w:rsidP="00734CF9">
            <w:pPr>
              <w:rPr>
                <w:rFonts w:cs="Calibri"/>
                <w:color w:val="000000"/>
                <w:sz w:val="22"/>
                <w:szCs w:val="22"/>
                <w:lang w:eastAsia="ko-KR"/>
              </w:rPr>
            </w:pPr>
            <w:r>
              <w:rPr>
                <w:rFonts w:cs="Calibri"/>
                <w:color w:val="000000"/>
                <w:sz w:val="22"/>
                <w:szCs w:val="22"/>
                <w:lang w:eastAsia="ko-KR"/>
              </w:rPr>
              <w:t>I</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6A5F6F87" w14:textId="0BB9C4A1"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I/R/</w:t>
            </w:r>
            <w:r w:rsidR="00A166A9">
              <w:rPr>
                <w:rFonts w:cs="Calibri"/>
                <w:color w:val="000000"/>
                <w:sz w:val="22"/>
                <w:szCs w:val="22"/>
                <w:lang w:eastAsia="ko-KR"/>
              </w:rPr>
              <w:t>M/</w:t>
            </w:r>
            <w:r w:rsidRPr="00A6726B">
              <w:rPr>
                <w:rFonts w:cs="Calibri"/>
                <w:color w:val="000000"/>
                <w:sz w:val="22"/>
                <w:szCs w:val="22"/>
                <w:lang w:eastAsia="ko-KR"/>
              </w:rPr>
              <w:t>A</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469057" w14:textId="23999E2F" w:rsidR="00734CF9" w:rsidRPr="00A6726B" w:rsidRDefault="004B06A0" w:rsidP="00734CF9">
            <w:pPr>
              <w:rPr>
                <w:rFonts w:cs="Calibri"/>
                <w:color w:val="000000"/>
                <w:sz w:val="22"/>
                <w:szCs w:val="22"/>
                <w:lang w:eastAsia="ko-KR"/>
              </w:rPr>
            </w:pPr>
            <w:r>
              <w:rPr>
                <w:rFonts w:cs="Calibri"/>
                <w:color w:val="000000"/>
                <w:sz w:val="22"/>
                <w:szCs w:val="22"/>
                <w:lang w:eastAsia="ko-KR"/>
              </w:rPr>
              <w:t>I</w:t>
            </w:r>
          </w:p>
        </w:tc>
      </w:tr>
      <w:tr w:rsidR="00D0093F" w:rsidRPr="00A6726B" w14:paraId="59620457"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9F35447"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6F50083"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553</w:t>
            </w:r>
          </w:p>
        </w:tc>
        <w:tc>
          <w:tcPr>
            <w:tcW w:w="5360" w:type="dxa"/>
            <w:tcBorders>
              <w:top w:val="nil"/>
              <w:left w:val="nil"/>
              <w:bottom w:val="single" w:sz="4" w:space="0" w:color="auto"/>
              <w:right w:val="single" w:sz="4" w:space="0" w:color="auto"/>
            </w:tcBorders>
            <w:shd w:val="clear" w:color="000000" w:fill="C5D9F1"/>
            <w:noWrap/>
            <w:vAlign w:val="bottom"/>
            <w:hideMark/>
          </w:tcPr>
          <w:p w14:paraId="50215776"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Health Communication Campaign</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2A253AB6" w14:textId="4C7F7D4A"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I/R/</w:t>
            </w:r>
            <w:r w:rsidR="0088096C">
              <w:rPr>
                <w:rFonts w:cs="Calibri"/>
                <w:color w:val="000000"/>
                <w:sz w:val="22"/>
                <w:szCs w:val="22"/>
                <w:lang w:eastAsia="ko-KR"/>
              </w:rPr>
              <w:t>M/</w:t>
            </w:r>
            <w:r w:rsidRPr="00A6726B">
              <w:rPr>
                <w:rFonts w:cs="Calibri"/>
                <w:color w:val="000000"/>
                <w:sz w:val="22"/>
                <w:szCs w:val="22"/>
                <w:lang w:eastAsia="ko-KR"/>
              </w:rPr>
              <w:t>A</w:t>
            </w:r>
          </w:p>
        </w:tc>
        <w:tc>
          <w:tcPr>
            <w:tcW w:w="1023" w:type="dxa"/>
            <w:tcBorders>
              <w:top w:val="nil"/>
              <w:left w:val="nil"/>
              <w:bottom w:val="single" w:sz="4" w:space="0" w:color="auto"/>
              <w:right w:val="single" w:sz="4" w:space="0" w:color="auto"/>
            </w:tcBorders>
            <w:shd w:val="clear" w:color="auto" w:fill="auto"/>
            <w:noWrap/>
            <w:vAlign w:val="bottom"/>
            <w:hideMark/>
          </w:tcPr>
          <w:p w14:paraId="714A20B8" w14:textId="1EB6BF86" w:rsidR="00734CF9" w:rsidRPr="00A6726B" w:rsidRDefault="00734CF9" w:rsidP="00734CF9">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43D6336C" w14:textId="46F046FF" w:rsidR="00734CF9" w:rsidRPr="00A6726B" w:rsidRDefault="004B06A0" w:rsidP="00734CF9">
            <w:pPr>
              <w:rPr>
                <w:rFonts w:cs="Calibri"/>
                <w:color w:val="000000"/>
                <w:sz w:val="22"/>
                <w:szCs w:val="22"/>
                <w:lang w:eastAsia="ko-KR"/>
              </w:rPr>
            </w:pPr>
            <w:r>
              <w:rPr>
                <w:rFonts w:cs="Calibri"/>
                <w:color w:val="000000"/>
                <w:sz w:val="22"/>
                <w:szCs w:val="22"/>
                <w:lang w:eastAsia="ko-KR"/>
              </w:rPr>
              <w:t>I</w:t>
            </w:r>
            <w:r w:rsidR="00A166A9">
              <w:rPr>
                <w:rFonts w:cs="Calibri"/>
                <w:color w:val="000000"/>
                <w:sz w:val="22"/>
                <w:szCs w:val="22"/>
                <w:lang w:eastAsia="ko-KR"/>
              </w:rPr>
              <w:t>/R/A</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B7F8463" w14:textId="058F79DE" w:rsidR="00734CF9" w:rsidRPr="00A6726B" w:rsidRDefault="0088096C" w:rsidP="0088096C">
            <w:pPr>
              <w:rPr>
                <w:rFonts w:cs="Calibri"/>
                <w:color w:val="000000"/>
                <w:sz w:val="22"/>
                <w:szCs w:val="22"/>
                <w:lang w:eastAsia="ko-KR"/>
              </w:rPr>
            </w:pPr>
            <w:r>
              <w:rPr>
                <w:rFonts w:cs="Calibri"/>
                <w:color w:val="000000"/>
                <w:sz w:val="22"/>
                <w:szCs w:val="22"/>
                <w:lang w:eastAsia="ko-KR"/>
              </w:rPr>
              <w:t>I/</w:t>
            </w:r>
            <w:r w:rsidR="00734CF9" w:rsidRPr="00A6726B">
              <w:rPr>
                <w:rFonts w:cs="Calibri"/>
                <w:color w:val="000000"/>
                <w:sz w:val="22"/>
                <w:szCs w:val="22"/>
                <w:lang w:eastAsia="ko-KR"/>
              </w:rPr>
              <w:t>R/A</w:t>
            </w:r>
          </w:p>
        </w:tc>
        <w:tc>
          <w:tcPr>
            <w:tcW w:w="1023" w:type="dxa"/>
            <w:tcBorders>
              <w:top w:val="nil"/>
              <w:left w:val="nil"/>
              <w:bottom w:val="single" w:sz="4" w:space="0" w:color="auto"/>
              <w:right w:val="single" w:sz="4" w:space="0" w:color="auto"/>
            </w:tcBorders>
            <w:shd w:val="clear" w:color="auto" w:fill="auto"/>
            <w:noWrap/>
            <w:vAlign w:val="bottom"/>
            <w:hideMark/>
          </w:tcPr>
          <w:p w14:paraId="36068EC0" w14:textId="1C259CCA" w:rsidR="00734CF9" w:rsidRPr="00A6726B" w:rsidRDefault="00693C77" w:rsidP="00734CF9">
            <w:pPr>
              <w:rPr>
                <w:rFonts w:cs="Calibri"/>
                <w:color w:val="000000"/>
                <w:sz w:val="22"/>
                <w:szCs w:val="22"/>
                <w:lang w:eastAsia="ko-KR"/>
              </w:rPr>
            </w:pPr>
            <w:r w:rsidRPr="00A6726B">
              <w:rPr>
                <w:rFonts w:cs="Calibri"/>
                <w:color w:val="000000"/>
                <w:sz w:val="22"/>
                <w:szCs w:val="22"/>
                <w:lang w:eastAsia="ko-KR"/>
              </w:rPr>
              <w:t>I</w:t>
            </w:r>
            <w:r w:rsidR="009623FF">
              <w:rPr>
                <w:rFonts w:cs="Calibri"/>
                <w:color w:val="000000"/>
                <w:sz w:val="22"/>
                <w:szCs w:val="22"/>
                <w:lang w:eastAsia="ko-KR"/>
              </w:rPr>
              <w:t>/R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49F2BD9"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I/R/A</w:t>
            </w:r>
          </w:p>
        </w:tc>
      </w:tr>
      <w:tr w:rsidR="00D0093F" w:rsidRPr="00A6726B" w14:paraId="4339634D" w14:textId="77777777" w:rsidTr="00A6726B">
        <w:trPr>
          <w:gridAfter w:val="1"/>
          <w:wAfter w:w="8" w:type="dxa"/>
          <w:trHeight w:val="47"/>
        </w:trPr>
        <w:tc>
          <w:tcPr>
            <w:tcW w:w="2825" w:type="dxa"/>
            <w:gridSpan w:val="2"/>
            <w:tcBorders>
              <w:top w:val="nil"/>
              <w:left w:val="single" w:sz="4" w:space="0" w:color="auto"/>
              <w:bottom w:val="single" w:sz="4" w:space="0" w:color="auto"/>
              <w:right w:val="single" w:sz="4" w:space="0" w:color="auto"/>
            </w:tcBorders>
            <w:shd w:val="clear" w:color="000000" w:fill="C5D9F1"/>
            <w:vAlign w:val="bottom"/>
            <w:hideMark/>
          </w:tcPr>
          <w:p w14:paraId="51DB8530" w14:textId="4F0D4119" w:rsidR="00D0093F" w:rsidRPr="00A6726B" w:rsidRDefault="00D0093F" w:rsidP="00734CF9">
            <w:pPr>
              <w:rPr>
                <w:rFonts w:cs="Calibri"/>
                <w:b/>
                <w:bCs/>
                <w:i/>
                <w:iCs/>
                <w:color w:val="000000"/>
                <w:sz w:val="22"/>
                <w:szCs w:val="22"/>
                <w:lang w:eastAsia="ko-KR"/>
              </w:rPr>
            </w:pPr>
            <w:r w:rsidRPr="00A6726B">
              <w:rPr>
                <w:rFonts w:cs="Calibri"/>
                <w:b/>
                <w:bCs/>
                <w:i/>
                <w:iCs/>
                <w:color w:val="000000"/>
                <w:sz w:val="22"/>
                <w:szCs w:val="22"/>
                <w:lang w:eastAsia="ko-KR"/>
              </w:rPr>
              <w:t>(Restricted Elective Courses)</w:t>
            </w:r>
          </w:p>
        </w:tc>
        <w:tc>
          <w:tcPr>
            <w:tcW w:w="5360" w:type="dxa"/>
            <w:tcBorders>
              <w:top w:val="nil"/>
              <w:left w:val="nil"/>
              <w:bottom w:val="single" w:sz="4" w:space="0" w:color="auto"/>
              <w:right w:val="single" w:sz="4" w:space="0" w:color="auto"/>
            </w:tcBorders>
            <w:shd w:val="clear" w:color="000000" w:fill="C5D9F1"/>
            <w:noWrap/>
            <w:vAlign w:val="bottom"/>
            <w:hideMark/>
          </w:tcPr>
          <w:p w14:paraId="6D917201"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7FCF7BF5"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5D35FE9"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29135BDE"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6B80E8A"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3E12BB7E"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FAFB82C" w14:textId="77777777" w:rsidR="00D0093F" w:rsidRPr="00A6726B" w:rsidRDefault="00D0093F" w:rsidP="00734CF9">
            <w:pPr>
              <w:rPr>
                <w:rFonts w:cs="Calibri"/>
                <w:color w:val="000000"/>
                <w:sz w:val="22"/>
                <w:szCs w:val="22"/>
                <w:lang w:eastAsia="ko-KR"/>
              </w:rPr>
            </w:pPr>
            <w:r w:rsidRPr="00A6726B">
              <w:rPr>
                <w:rFonts w:cs="Calibri"/>
                <w:color w:val="000000"/>
                <w:sz w:val="22"/>
                <w:szCs w:val="22"/>
                <w:lang w:eastAsia="ko-KR"/>
              </w:rPr>
              <w:t> </w:t>
            </w:r>
          </w:p>
        </w:tc>
      </w:tr>
      <w:tr w:rsidR="00D0093F" w:rsidRPr="00A6726B" w14:paraId="2E8BDDF2" w14:textId="77777777" w:rsidTr="00A6726B">
        <w:trPr>
          <w:gridAfter w:val="1"/>
          <w:wAfter w:w="8" w:type="dxa"/>
          <w:trHeight w:val="152"/>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0BA3496F"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244CD3E"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528</w:t>
            </w:r>
          </w:p>
        </w:tc>
        <w:tc>
          <w:tcPr>
            <w:tcW w:w="5360" w:type="dxa"/>
            <w:tcBorders>
              <w:top w:val="nil"/>
              <w:left w:val="nil"/>
              <w:bottom w:val="single" w:sz="4" w:space="0" w:color="auto"/>
              <w:right w:val="single" w:sz="4" w:space="0" w:color="auto"/>
            </w:tcBorders>
            <w:shd w:val="clear" w:color="000000" w:fill="C5D9F1"/>
            <w:noWrap/>
            <w:vAlign w:val="bottom"/>
            <w:hideMark/>
          </w:tcPr>
          <w:p w14:paraId="7482738D" w14:textId="77777777"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Communication in the Nonprofit Sector</w:t>
            </w:r>
          </w:p>
        </w:tc>
        <w:tc>
          <w:tcPr>
            <w:tcW w:w="1022" w:type="dxa"/>
            <w:gridSpan w:val="2"/>
            <w:tcBorders>
              <w:top w:val="nil"/>
              <w:left w:val="nil"/>
              <w:bottom w:val="single" w:sz="4" w:space="0" w:color="auto"/>
              <w:right w:val="single" w:sz="4" w:space="0" w:color="auto"/>
            </w:tcBorders>
            <w:shd w:val="clear" w:color="auto" w:fill="auto"/>
            <w:noWrap/>
            <w:vAlign w:val="bottom"/>
          </w:tcPr>
          <w:p w14:paraId="4B97D29F" w14:textId="7E3F76CE" w:rsidR="00734CF9" w:rsidRPr="00A6726B" w:rsidRDefault="00B35699" w:rsidP="00734CF9">
            <w:pPr>
              <w:rPr>
                <w:rFonts w:cs="Calibri"/>
                <w:color w:val="000000"/>
                <w:sz w:val="22"/>
                <w:szCs w:val="22"/>
                <w:lang w:eastAsia="ko-KR"/>
              </w:rPr>
            </w:pPr>
            <w:r>
              <w:rPr>
                <w:rFonts w:cs="Calibri"/>
                <w:color w:val="000000"/>
                <w:sz w:val="22"/>
                <w:szCs w:val="22"/>
                <w:lang w:eastAsia="ko-KR"/>
              </w:rPr>
              <w:t>I</w:t>
            </w:r>
            <w:r w:rsidR="006B282E">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tcPr>
          <w:p w14:paraId="1A77F4E8" w14:textId="4F276485" w:rsidR="00734CF9" w:rsidRPr="00A6726B" w:rsidRDefault="0001651F" w:rsidP="00734CF9">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06FB2547" w14:textId="702F6DB9" w:rsidR="00734CF9" w:rsidRPr="00A6726B" w:rsidRDefault="00734CF9" w:rsidP="00734CF9">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BD1C2B9" w14:textId="15872E8B" w:rsidR="00734CF9" w:rsidRPr="00A6726B" w:rsidRDefault="00734CF9" w:rsidP="00734CF9">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69281A4E" w14:textId="5CF63A55" w:rsidR="00734CF9" w:rsidRPr="00A6726B" w:rsidRDefault="00693C77" w:rsidP="00734CF9">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tcPr>
          <w:p w14:paraId="42862024" w14:textId="79F1EA14" w:rsidR="00734CF9" w:rsidRPr="00A6726B" w:rsidRDefault="00734CF9" w:rsidP="00734CF9">
            <w:pPr>
              <w:rPr>
                <w:rFonts w:cs="Calibri"/>
                <w:color w:val="000000"/>
                <w:sz w:val="22"/>
                <w:szCs w:val="22"/>
                <w:lang w:eastAsia="ko-KR"/>
              </w:rPr>
            </w:pPr>
          </w:p>
        </w:tc>
      </w:tr>
      <w:tr w:rsidR="00693C77" w:rsidRPr="00A6726B" w14:paraId="1BDDB40A"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6CE50B9"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3FBB1CE" w14:textId="77777777" w:rsidR="00693C77" w:rsidRPr="000A7700" w:rsidRDefault="00693C77" w:rsidP="00693C77">
            <w:pPr>
              <w:rPr>
                <w:rFonts w:cs="Calibri"/>
                <w:color w:val="000000"/>
                <w:sz w:val="22"/>
                <w:szCs w:val="22"/>
                <w:lang w:eastAsia="ko-KR"/>
              </w:rPr>
            </w:pPr>
            <w:r w:rsidRPr="000A7700">
              <w:rPr>
                <w:rFonts w:cs="Calibri"/>
                <w:color w:val="000000"/>
                <w:sz w:val="22"/>
                <w:szCs w:val="22"/>
                <w:lang w:eastAsia="ko-KR"/>
              </w:rPr>
              <w:t>564</w:t>
            </w:r>
          </w:p>
        </w:tc>
        <w:tc>
          <w:tcPr>
            <w:tcW w:w="5360" w:type="dxa"/>
            <w:tcBorders>
              <w:top w:val="nil"/>
              <w:left w:val="nil"/>
              <w:bottom w:val="single" w:sz="4" w:space="0" w:color="auto"/>
              <w:right w:val="single" w:sz="4" w:space="0" w:color="auto"/>
            </w:tcBorders>
            <w:shd w:val="clear" w:color="000000" w:fill="C5D9F1"/>
            <w:noWrap/>
            <w:vAlign w:val="bottom"/>
            <w:hideMark/>
          </w:tcPr>
          <w:p w14:paraId="19E11B8F"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Crisis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6BEAE9D4" w14:textId="7E421C54" w:rsidR="00693C77" w:rsidRPr="00A6726B" w:rsidRDefault="00B35699" w:rsidP="00693C77">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tcPr>
          <w:p w14:paraId="2E1962A7" w14:textId="6B7FF37D"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1EEA653B" w14:textId="180B060C"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13A43A1" w14:textId="2FC4EF3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r w:rsidR="0001651F">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53413DFF" w14:textId="102A13A1"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tcPr>
          <w:p w14:paraId="08F4368F" w14:textId="45064462" w:rsidR="00693C77" w:rsidRPr="00A6726B" w:rsidRDefault="00B4213E" w:rsidP="00B4213E">
            <w:pPr>
              <w:rPr>
                <w:rFonts w:cs="Calibri"/>
                <w:color w:val="000000"/>
                <w:sz w:val="22"/>
                <w:szCs w:val="22"/>
                <w:lang w:eastAsia="ko-KR"/>
              </w:rPr>
            </w:pPr>
            <w:r>
              <w:rPr>
                <w:rFonts w:cs="Calibri"/>
                <w:color w:val="000000"/>
                <w:sz w:val="22"/>
                <w:szCs w:val="22"/>
                <w:lang w:eastAsia="ko-KR"/>
              </w:rPr>
              <w:t>I/</w:t>
            </w:r>
            <w:r w:rsidR="0001651F">
              <w:rPr>
                <w:rFonts w:cs="Calibri"/>
                <w:color w:val="000000"/>
                <w:sz w:val="22"/>
                <w:szCs w:val="22"/>
                <w:lang w:eastAsia="ko-KR"/>
              </w:rPr>
              <w:t>R</w:t>
            </w:r>
          </w:p>
        </w:tc>
      </w:tr>
      <w:tr w:rsidR="00693C77" w:rsidRPr="00A6726B" w14:paraId="14866C9D" w14:textId="77777777" w:rsidTr="00A6726B">
        <w:trPr>
          <w:gridAfter w:val="1"/>
          <w:wAfter w:w="8" w:type="dxa"/>
          <w:trHeight w:val="98"/>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3509DEE"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66C77313" w14:textId="77777777" w:rsidR="00693C77" w:rsidRPr="000A7700" w:rsidRDefault="00693C77" w:rsidP="00693C77">
            <w:pPr>
              <w:rPr>
                <w:rFonts w:cs="Calibri"/>
                <w:color w:val="000000"/>
                <w:sz w:val="22"/>
                <w:szCs w:val="22"/>
                <w:lang w:eastAsia="ko-KR"/>
              </w:rPr>
            </w:pPr>
            <w:r w:rsidRPr="000A7700">
              <w:rPr>
                <w:rFonts w:cs="Calibri"/>
                <w:color w:val="000000"/>
                <w:sz w:val="22"/>
                <w:szCs w:val="22"/>
                <w:lang w:eastAsia="ko-KR"/>
              </w:rPr>
              <w:t>578</w:t>
            </w:r>
          </w:p>
        </w:tc>
        <w:tc>
          <w:tcPr>
            <w:tcW w:w="5360" w:type="dxa"/>
            <w:tcBorders>
              <w:top w:val="nil"/>
              <w:left w:val="nil"/>
              <w:bottom w:val="single" w:sz="4" w:space="0" w:color="auto"/>
              <w:right w:val="single" w:sz="4" w:space="0" w:color="auto"/>
            </w:tcBorders>
            <w:shd w:val="clear" w:color="000000" w:fill="C5D9F1"/>
            <w:noWrap/>
            <w:vAlign w:val="bottom"/>
            <w:hideMark/>
          </w:tcPr>
          <w:p w14:paraId="0C9681E9"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Seminar in Interpersonal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0502919A" w14:textId="25A98CA5" w:rsidR="00693C77" w:rsidRPr="00A6726B" w:rsidRDefault="00B35699" w:rsidP="00693C77">
            <w:pPr>
              <w:rPr>
                <w:rFonts w:cs="Calibri"/>
                <w:color w:val="000000"/>
                <w:sz w:val="22"/>
                <w:szCs w:val="22"/>
                <w:lang w:eastAsia="ko-KR"/>
              </w:rPr>
            </w:pPr>
            <w:r>
              <w:rPr>
                <w:rFonts w:cs="Calibri"/>
                <w:color w:val="000000"/>
                <w:sz w:val="22"/>
                <w:szCs w:val="22"/>
                <w:lang w:eastAsia="ko-KR"/>
              </w:rPr>
              <w:t>I</w:t>
            </w:r>
            <w:r w:rsidR="006B282E">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tcPr>
          <w:p w14:paraId="4E987F23" w14:textId="3CF38B96" w:rsidR="00693C77" w:rsidRPr="00A6726B" w:rsidRDefault="0001651F" w:rsidP="00693C77">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4B52326A" w14:textId="193656EF" w:rsidR="00693C77" w:rsidRPr="00A6726B" w:rsidRDefault="00693C77" w:rsidP="00693C77">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B64D80A"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6C0AEB4" w14:textId="05786F50"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8FB1CA3"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r>
      <w:tr w:rsidR="00693C77" w:rsidRPr="00A6726B" w14:paraId="6A9BB2D4" w14:textId="77777777" w:rsidTr="00A6726B">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04017CE2"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820A645" w14:textId="77777777" w:rsidR="00693C77" w:rsidRPr="000A7700" w:rsidRDefault="00693C77" w:rsidP="00693C77">
            <w:pPr>
              <w:rPr>
                <w:rFonts w:cs="Calibri"/>
                <w:color w:val="000000"/>
                <w:sz w:val="22"/>
                <w:szCs w:val="22"/>
                <w:lang w:eastAsia="ko-KR"/>
              </w:rPr>
            </w:pPr>
            <w:r w:rsidRPr="000A7700">
              <w:rPr>
                <w:rFonts w:cs="Calibri"/>
                <w:color w:val="000000"/>
                <w:sz w:val="22"/>
                <w:szCs w:val="22"/>
                <w:lang w:eastAsia="ko-KR"/>
              </w:rPr>
              <w:t>581</w:t>
            </w:r>
          </w:p>
        </w:tc>
        <w:tc>
          <w:tcPr>
            <w:tcW w:w="5360" w:type="dxa"/>
            <w:tcBorders>
              <w:top w:val="nil"/>
              <w:left w:val="nil"/>
              <w:bottom w:val="single" w:sz="4" w:space="0" w:color="auto"/>
              <w:right w:val="single" w:sz="4" w:space="0" w:color="auto"/>
            </w:tcBorders>
            <w:shd w:val="clear" w:color="000000" w:fill="C5D9F1"/>
            <w:noWrap/>
            <w:vAlign w:val="bottom"/>
            <w:hideMark/>
          </w:tcPr>
          <w:p w14:paraId="27977970"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Applied Organizational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791A8564" w14:textId="0DDA2F95"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097C4704" w14:textId="4FA15829" w:rsidR="00693C77" w:rsidRPr="00A6726B" w:rsidRDefault="0001651F" w:rsidP="00693C77">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FBD1753" w14:textId="0091BB3D"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434D82C"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4A55BDC4" w14:textId="5812EE5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65DE15E" w14:textId="340133B6"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r>
      <w:tr w:rsidR="00693C77" w:rsidRPr="00A6726B" w14:paraId="3A6AB6D2"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2286D7E"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3FD6BFE"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586</w:t>
            </w:r>
          </w:p>
        </w:tc>
        <w:tc>
          <w:tcPr>
            <w:tcW w:w="5360" w:type="dxa"/>
            <w:tcBorders>
              <w:top w:val="nil"/>
              <w:left w:val="nil"/>
              <w:bottom w:val="single" w:sz="4" w:space="0" w:color="auto"/>
              <w:right w:val="single" w:sz="4" w:space="0" w:color="auto"/>
            </w:tcBorders>
            <w:shd w:val="clear" w:color="000000" w:fill="C5D9F1"/>
            <w:noWrap/>
            <w:vAlign w:val="bottom"/>
            <w:hideMark/>
          </w:tcPr>
          <w:p w14:paraId="7C24B46E"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Process of Group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272AD2E7" w14:textId="25476DFA"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30E9B3F9" w14:textId="05BF6EC7" w:rsidR="00693C77" w:rsidRPr="00A6726B" w:rsidRDefault="0001651F" w:rsidP="00693C77">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10AA18F3" w14:textId="65D2D44E"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88BCC4F"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629EF14" w14:textId="4D179023"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1C5C030"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r>
      <w:tr w:rsidR="00693C77" w:rsidRPr="00A6726B" w14:paraId="62940C8B"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AF477C6"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FA3A677"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590</w:t>
            </w:r>
          </w:p>
        </w:tc>
        <w:tc>
          <w:tcPr>
            <w:tcW w:w="5360" w:type="dxa"/>
            <w:tcBorders>
              <w:top w:val="nil"/>
              <w:left w:val="nil"/>
              <w:bottom w:val="single" w:sz="4" w:space="0" w:color="auto"/>
              <w:right w:val="single" w:sz="4" w:space="0" w:color="auto"/>
            </w:tcBorders>
            <w:shd w:val="clear" w:color="000000" w:fill="C5D9F1"/>
            <w:noWrap/>
            <w:vAlign w:val="bottom"/>
            <w:hideMark/>
          </w:tcPr>
          <w:p w14:paraId="443624A2"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Intercultural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6C282900" w14:textId="7C205672"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5BB9D025" w14:textId="36720642" w:rsidR="00693C77" w:rsidRPr="00A6726B" w:rsidRDefault="00B4213E" w:rsidP="00693C77">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0273120F" w14:textId="0B1AD4B5"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3886B2C"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7384206B" w14:textId="5FA4110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EDCAAE0"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r>
      <w:tr w:rsidR="00693C77" w:rsidRPr="00A6726B" w14:paraId="588974B7"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4B22109"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HCA</w:t>
            </w:r>
          </w:p>
        </w:tc>
        <w:tc>
          <w:tcPr>
            <w:tcW w:w="965" w:type="dxa"/>
            <w:tcBorders>
              <w:top w:val="nil"/>
              <w:left w:val="nil"/>
              <w:bottom w:val="single" w:sz="4" w:space="0" w:color="auto"/>
              <w:right w:val="single" w:sz="4" w:space="0" w:color="auto"/>
            </w:tcBorders>
            <w:shd w:val="clear" w:color="000000" w:fill="C5D9F1"/>
            <w:noWrap/>
            <w:vAlign w:val="bottom"/>
            <w:hideMark/>
          </w:tcPr>
          <w:p w14:paraId="20AA4FBB"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540</w:t>
            </w:r>
          </w:p>
        </w:tc>
        <w:tc>
          <w:tcPr>
            <w:tcW w:w="5360" w:type="dxa"/>
            <w:tcBorders>
              <w:top w:val="nil"/>
              <w:left w:val="nil"/>
              <w:bottom w:val="single" w:sz="4" w:space="0" w:color="auto"/>
              <w:right w:val="single" w:sz="4" w:space="0" w:color="auto"/>
            </w:tcBorders>
            <w:shd w:val="clear" w:color="000000" w:fill="C5D9F1"/>
            <w:noWrap/>
            <w:vAlign w:val="bottom"/>
            <w:hideMark/>
          </w:tcPr>
          <w:p w14:paraId="40C17D45"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xml:space="preserve">Health Care </w:t>
            </w:r>
            <w:proofErr w:type="spellStart"/>
            <w:r w:rsidRPr="00A6726B">
              <w:rPr>
                <w:rFonts w:cs="Calibri"/>
                <w:color w:val="000000"/>
                <w:sz w:val="22"/>
                <w:szCs w:val="22"/>
                <w:lang w:eastAsia="ko-KR"/>
              </w:rPr>
              <w:t>Orgnization</w:t>
            </w:r>
            <w:proofErr w:type="spellEnd"/>
            <w:r w:rsidRPr="00A6726B">
              <w:rPr>
                <w:rFonts w:cs="Calibri"/>
                <w:color w:val="000000"/>
                <w:sz w:val="22"/>
                <w:szCs w:val="22"/>
                <w:lang w:eastAsia="ko-KR"/>
              </w:rPr>
              <w:t xml:space="preserve"> and Management</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59EF8CB7" w14:textId="12B91F79"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55F641B7" w14:textId="7CC3C2C9"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6343DF46" w14:textId="54F870F1" w:rsidR="00693C77" w:rsidRPr="00A6726B" w:rsidRDefault="000E78B0" w:rsidP="00693C77">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DD95972" w14:textId="760E5B69" w:rsidR="00693C77" w:rsidRPr="00A6726B" w:rsidRDefault="000E78B0" w:rsidP="00693C77">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56493C29" w14:textId="6C62D7C3" w:rsidR="00693C77" w:rsidRPr="00A6726B" w:rsidRDefault="002E51A2" w:rsidP="00693C77">
            <w:pPr>
              <w:rPr>
                <w:rFonts w:cs="Calibri"/>
                <w:color w:val="000000"/>
                <w:sz w:val="22"/>
                <w:szCs w:val="22"/>
                <w:lang w:eastAsia="ko-KR"/>
              </w:rPr>
            </w:pPr>
            <w:r w:rsidRPr="00A6726B">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295D140" w14:textId="66AB4AF6"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2E51A2" w:rsidRPr="00A6726B">
              <w:rPr>
                <w:rFonts w:cs="Calibri"/>
                <w:color w:val="000000"/>
                <w:sz w:val="22"/>
                <w:szCs w:val="22"/>
                <w:lang w:eastAsia="ko-KR"/>
              </w:rPr>
              <w:t>/R</w:t>
            </w:r>
          </w:p>
        </w:tc>
      </w:tr>
      <w:tr w:rsidR="00693C77" w:rsidRPr="00A6726B" w14:paraId="6A448B2D"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C4F82F9"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HCA</w:t>
            </w:r>
          </w:p>
        </w:tc>
        <w:tc>
          <w:tcPr>
            <w:tcW w:w="965" w:type="dxa"/>
            <w:tcBorders>
              <w:top w:val="nil"/>
              <w:left w:val="nil"/>
              <w:bottom w:val="single" w:sz="4" w:space="0" w:color="auto"/>
              <w:right w:val="single" w:sz="4" w:space="0" w:color="auto"/>
            </w:tcBorders>
            <w:shd w:val="clear" w:color="000000" w:fill="C5D9F1"/>
            <w:noWrap/>
            <w:vAlign w:val="bottom"/>
            <w:hideMark/>
          </w:tcPr>
          <w:p w14:paraId="016052EB"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541</w:t>
            </w:r>
          </w:p>
        </w:tc>
        <w:tc>
          <w:tcPr>
            <w:tcW w:w="5360" w:type="dxa"/>
            <w:tcBorders>
              <w:top w:val="nil"/>
              <w:left w:val="nil"/>
              <w:bottom w:val="single" w:sz="4" w:space="0" w:color="auto"/>
              <w:right w:val="single" w:sz="4" w:space="0" w:color="auto"/>
            </w:tcBorders>
            <w:shd w:val="clear" w:color="000000" w:fill="C5D9F1"/>
            <w:noWrap/>
            <w:vAlign w:val="bottom"/>
            <w:hideMark/>
          </w:tcPr>
          <w:p w14:paraId="6759A748"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Strategic Management &amp; Marketing of Health Service</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757371E9" w14:textId="3A3C8D4D"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68E5ED81" w14:textId="17C508A4"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57D5636D" w14:textId="15812384" w:rsidR="00693C77" w:rsidRPr="00A6726B" w:rsidRDefault="000E78B0" w:rsidP="00693C77">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0542637" w14:textId="0B928A39"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274AC8C0" w14:textId="372928DB" w:rsidR="00693C77" w:rsidRPr="00A6726B" w:rsidRDefault="002E51A2" w:rsidP="002E51A2">
            <w:pPr>
              <w:rPr>
                <w:rFonts w:cs="Calibri"/>
                <w:color w:val="000000"/>
                <w:sz w:val="22"/>
                <w:szCs w:val="22"/>
                <w:lang w:eastAsia="ko-KR"/>
              </w:rPr>
            </w:pPr>
            <w:r w:rsidRPr="00A6726B">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B042D23" w14:textId="301BCAE8"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2E51A2" w:rsidRPr="00A6726B">
              <w:rPr>
                <w:rFonts w:cs="Calibri"/>
                <w:color w:val="000000"/>
                <w:sz w:val="22"/>
                <w:szCs w:val="22"/>
                <w:lang w:eastAsia="ko-KR"/>
              </w:rPr>
              <w:t>/R</w:t>
            </w:r>
          </w:p>
        </w:tc>
      </w:tr>
      <w:tr w:rsidR="00693C77" w:rsidRPr="00A6726B" w14:paraId="72A982DF"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29C3A1A"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1E6DE1D9"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548</w:t>
            </w:r>
          </w:p>
        </w:tc>
        <w:tc>
          <w:tcPr>
            <w:tcW w:w="5360" w:type="dxa"/>
            <w:tcBorders>
              <w:top w:val="nil"/>
              <w:left w:val="nil"/>
              <w:bottom w:val="single" w:sz="4" w:space="0" w:color="auto"/>
              <w:right w:val="single" w:sz="4" w:space="0" w:color="auto"/>
            </w:tcBorders>
            <w:shd w:val="clear" w:color="000000" w:fill="C5D9F1"/>
            <w:noWrap/>
            <w:vAlign w:val="bottom"/>
            <w:hideMark/>
          </w:tcPr>
          <w:p w14:paraId="787DF29B"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xml:space="preserve">Community Health Organization </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12D12E08" w14:textId="34887DC5" w:rsidR="00693C77" w:rsidRPr="00A6726B" w:rsidRDefault="009A6B2F" w:rsidP="00693C77">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hideMark/>
          </w:tcPr>
          <w:p w14:paraId="7DDF96FC" w14:textId="7F5D806B" w:rsidR="00693C77" w:rsidRPr="00A6726B" w:rsidRDefault="009A6B2F" w:rsidP="00693C77">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05B03697" w14:textId="3E837298" w:rsidR="00693C77" w:rsidRPr="00A6726B" w:rsidRDefault="009A6B2F" w:rsidP="00693C77">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42AE7D7" w14:textId="75AD2627" w:rsidR="00693C77" w:rsidRPr="00A6726B" w:rsidRDefault="009A6B2F" w:rsidP="00693C77">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hideMark/>
          </w:tcPr>
          <w:p w14:paraId="0D0D0AA9" w14:textId="649B1E12" w:rsidR="00693C77" w:rsidRPr="00A6726B" w:rsidRDefault="002E51A2" w:rsidP="00693C77">
            <w:pPr>
              <w:rPr>
                <w:rFonts w:cs="Calibri"/>
                <w:color w:val="000000"/>
                <w:sz w:val="22"/>
                <w:szCs w:val="22"/>
                <w:lang w:eastAsia="ko-KR"/>
              </w:rPr>
            </w:pPr>
            <w:r w:rsidRPr="00A6726B">
              <w:rPr>
                <w:rFonts w:cs="Calibri"/>
                <w:color w:val="000000"/>
                <w:sz w:val="22"/>
                <w:szCs w:val="22"/>
                <w:lang w:eastAsia="ko-KR"/>
              </w:rPr>
              <w:t>I</w:t>
            </w:r>
            <w:r w:rsidR="009A6B2F">
              <w:rPr>
                <w:rFonts w:cs="Calibri"/>
                <w:color w:val="000000"/>
                <w:sz w:val="22"/>
                <w:szCs w:val="22"/>
                <w:lang w:eastAsia="ko-KR"/>
              </w:rPr>
              <w:t>/R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485EA9EB" w14:textId="6348F8DF"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2E51A2" w:rsidRPr="00A6726B">
              <w:rPr>
                <w:rFonts w:cs="Calibri"/>
                <w:color w:val="000000"/>
                <w:sz w:val="22"/>
                <w:szCs w:val="22"/>
                <w:lang w:eastAsia="ko-KR"/>
              </w:rPr>
              <w:t>/R</w:t>
            </w:r>
          </w:p>
        </w:tc>
      </w:tr>
      <w:tr w:rsidR="00693C77" w:rsidRPr="00A6726B" w14:paraId="4DBC5DBF" w14:textId="77777777" w:rsidTr="00A6726B">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C0E916E"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05EE22E0"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578</w:t>
            </w:r>
          </w:p>
        </w:tc>
        <w:tc>
          <w:tcPr>
            <w:tcW w:w="5360" w:type="dxa"/>
            <w:tcBorders>
              <w:top w:val="nil"/>
              <w:left w:val="nil"/>
              <w:bottom w:val="single" w:sz="4" w:space="0" w:color="auto"/>
              <w:right w:val="single" w:sz="4" w:space="0" w:color="auto"/>
            </w:tcBorders>
            <w:shd w:val="clear" w:color="000000" w:fill="C5D9F1"/>
            <w:noWrap/>
            <w:vAlign w:val="bottom"/>
            <w:hideMark/>
          </w:tcPr>
          <w:p w14:paraId="1BBC8CDF"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Health Disparities</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2B7501E8" w14:textId="2CFBA2C2"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42D6F247" w14:textId="07D4982A"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4B197532" w14:textId="43F2CA6E" w:rsidR="00693C77" w:rsidRPr="00A6726B" w:rsidRDefault="00AF5D88" w:rsidP="00693C77">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AB1CC1E" w14:textId="279F5D0C"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516440">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01F06349" w14:textId="5D852E32" w:rsidR="00693C77" w:rsidRPr="00A6726B" w:rsidRDefault="00693C77" w:rsidP="00693C77">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E1D8676" w14:textId="319F6748"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2E51A2" w:rsidRPr="00A6726B">
              <w:rPr>
                <w:rFonts w:cs="Calibri"/>
                <w:color w:val="000000"/>
                <w:sz w:val="22"/>
                <w:szCs w:val="22"/>
                <w:lang w:eastAsia="ko-KR"/>
              </w:rPr>
              <w:t>/R</w:t>
            </w:r>
          </w:p>
        </w:tc>
      </w:tr>
      <w:tr w:rsidR="00693C77" w:rsidRPr="00A6726B" w14:paraId="6488CE43" w14:textId="77777777" w:rsidTr="00AF5D88">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E654320"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xml:space="preserve">PH </w:t>
            </w:r>
          </w:p>
        </w:tc>
        <w:tc>
          <w:tcPr>
            <w:tcW w:w="965" w:type="dxa"/>
            <w:tcBorders>
              <w:top w:val="nil"/>
              <w:left w:val="nil"/>
              <w:bottom w:val="single" w:sz="4" w:space="0" w:color="auto"/>
              <w:right w:val="single" w:sz="4" w:space="0" w:color="auto"/>
            </w:tcBorders>
            <w:shd w:val="clear" w:color="000000" w:fill="C5D9F1"/>
            <w:noWrap/>
            <w:vAlign w:val="bottom"/>
            <w:hideMark/>
          </w:tcPr>
          <w:p w14:paraId="1DCCFB31"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580</w:t>
            </w:r>
          </w:p>
        </w:tc>
        <w:tc>
          <w:tcPr>
            <w:tcW w:w="5360" w:type="dxa"/>
            <w:tcBorders>
              <w:top w:val="nil"/>
              <w:left w:val="nil"/>
              <w:bottom w:val="single" w:sz="4" w:space="0" w:color="auto"/>
              <w:right w:val="single" w:sz="4" w:space="0" w:color="auto"/>
            </w:tcBorders>
            <w:shd w:val="clear" w:color="000000" w:fill="C5D9F1"/>
            <w:noWrap/>
            <w:vAlign w:val="bottom"/>
            <w:hideMark/>
          </w:tcPr>
          <w:p w14:paraId="5BCD5519"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Introduction to Public Health</w:t>
            </w:r>
          </w:p>
        </w:tc>
        <w:tc>
          <w:tcPr>
            <w:tcW w:w="1022" w:type="dxa"/>
            <w:gridSpan w:val="2"/>
            <w:tcBorders>
              <w:top w:val="nil"/>
              <w:left w:val="nil"/>
              <w:bottom w:val="single" w:sz="4" w:space="0" w:color="auto"/>
              <w:right w:val="single" w:sz="4" w:space="0" w:color="auto"/>
            </w:tcBorders>
            <w:shd w:val="clear" w:color="auto" w:fill="auto"/>
            <w:noWrap/>
            <w:vAlign w:val="bottom"/>
          </w:tcPr>
          <w:p w14:paraId="6F46992A" w14:textId="09AA0552"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026ECE7B" w14:textId="494C2812"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6FF3FFA6" w14:textId="241602DA" w:rsidR="00693C77" w:rsidRPr="00A6726B" w:rsidRDefault="00AF5D88" w:rsidP="00693C77">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EA381A2" w14:textId="3B17DF07"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61B11E35" w14:textId="0AFEAFE5" w:rsidR="00693C77" w:rsidRPr="00A6726B" w:rsidRDefault="00693C77" w:rsidP="00693C77">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2E0C8EB" w14:textId="09B849E1"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AF5D88">
              <w:rPr>
                <w:rFonts w:cs="Calibri"/>
                <w:color w:val="000000"/>
                <w:sz w:val="22"/>
                <w:szCs w:val="22"/>
                <w:lang w:eastAsia="ko-KR"/>
              </w:rPr>
              <w:t>/R</w:t>
            </w:r>
          </w:p>
        </w:tc>
      </w:tr>
      <w:tr w:rsidR="00693C77" w:rsidRPr="00A6726B" w14:paraId="538C939E" w14:textId="77777777" w:rsidTr="00A6726B">
        <w:trPr>
          <w:gridAfter w:val="1"/>
          <w:wAfter w:w="8" w:type="dxa"/>
          <w:trHeight w:val="62"/>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F5DD9F2"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7E7F118C"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581</w:t>
            </w:r>
          </w:p>
        </w:tc>
        <w:tc>
          <w:tcPr>
            <w:tcW w:w="5360" w:type="dxa"/>
            <w:tcBorders>
              <w:top w:val="nil"/>
              <w:left w:val="nil"/>
              <w:bottom w:val="single" w:sz="4" w:space="0" w:color="auto"/>
              <w:right w:val="single" w:sz="4" w:space="0" w:color="auto"/>
            </w:tcBorders>
            <w:shd w:val="clear" w:color="000000" w:fill="C5D9F1"/>
            <w:noWrap/>
            <w:vAlign w:val="bottom"/>
            <w:hideMark/>
          </w:tcPr>
          <w:p w14:paraId="6BD112C8"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Applied Methods in Public Health Practice/Field Epidemiology</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4ECA644A" w14:textId="68233660" w:rsidR="00693C77" w:rsidRPr="00A6726B" w:rsidRDefault="00D22710" w:rsidP="00693C77">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4576386F" w14:textId="2CBB77DE"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635FD416" w14:textId="3235D2DC" w:rsidR="00693C77" w:rsidRPr="00A6726B" w:rsidRDefault="00D22710" w:rsidP="00693C77">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E58410E" w14:textId="2C8887A5" w:rsidR="00693C77" w:rsidRPr="00A6726B" w:rsidRDefault="00516440" w:rsidP="00693C77">
            <w:pPr>
              <w:rPr>
                <w:rFonts w:cs="Calibri"/>
                <w:color w:val="000000"/>
                <w:sz w:val="22"/>
                <w:szCs w:val="22"/>
                <w:lang w:eastAsia="ko-KR"/>
              </w:rPr>
            </w:pPr>
            <w:r>
              <w:rPr>
                <w:rFonts w:cs="Calibri"/>
                <w:color w:val="000000"/>
                <w:sz w:val="22"/>
                <w:szCs w:val="22"/>
                <w:lang w:eastAsia="ko-KR"/>
              </w:rPr>
              <w:t>I</w:t>
            </w:r>
            <w:r w:rsidR="00D22710">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4AC4B9F6" w14:textId="062EA33B"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r w:rsidR="00D22710">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81EE037" w14:textId="79B98A66"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D22710">
              <w:rPr>
                <w:rFonts w:cs="Calibri"/>
                <w:color w:val="000000"/>
                <w:sz w:val="22"/>
                <w:szCs w:val="22"/>
                <w:lang w:eastAsia="ko-KR"/>
              </w:rPr>
              <w:t>/R</w:t>
            </w:r>
          </w:p>
        </w:tc>
      </w:tr>
      <w:tr w:rsidR="00693C77" w:rsidRPr="00A6726B" w14:paraId="028FC928"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307F521"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7353DFEE"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587</w:t>
            </w:r>
          </w:p>
        </w:tc>
        <w:tc>
          <w:tcPr>
            <w:tcW w:w="5360" w:type="dxa"/>
            <w:tcBorders>
              <w:top w:val="nil"/>
              <w:left w:val="nil"/>
              <w:bottom w:val="single" w:sz="4" w:space="0" w:color="auto"/>
              <w:right w:val="single" w:sz="4" w:space="0" w:color="auto"/>
            </w:tcBorders>
            <w:shd w:val="clear" w:color="000000" w:fill="C5D9F1"/>
            <w:noWrap/>
            <w:vAlign w:val="bottom"/>
            <w:hideMark/>
          </w:tcPr>
          <w:p w14:paraId="73C2B1B5"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Health Behavior</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0F285D86" w14:textId="3CED31B8"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A989F65" w14:textId="3FB22F53"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6C27A4A1" w14:textId="21F7F3DC" w:rsidR="00693C77" w:rsidRPr="00A6726B" w:rsidRDefault="00693C77" w:rsidP="00693C77">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47E3A482" w14:textId="2109045E"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516440">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032AD7FC" w14:textId="43768BB2" w:rsidR="00693C77" w:rsidRPr="00A6726B" w:rsidRDefault="00693C77" w:rsidP="002E51A2">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DACA056" w14:textId="50E5D23E"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2E51A2" w:rsidRPr="00A6726B">
              <w:rPr>
                <w:rFonts w:cs="Calibri"/>
                <w:color w:val="000000"/>
                <w:sz w:val="22"/>
                <w:szCs w:val="22"/>
                <w:lang w:eastAsia="ko-KR"/>
              </w:rPr>
              <w:t>/R</w:t>
            </w:r>
          </w:p>
        </w:tc>
      </w:tr>
      <w:tr w:rsidR="00693C77" w:rsidRPr="00A6726B" w14:paraId="0C4C515E" w14:textId="77777777" w:rsidTr="00A6726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124B9B4"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NURS</w:t>
            </w:r>
          </w:p>
        </w:tc>
        <w:tc>
          <w:tcPr>
            <w:tcW w:w="965" w:type="dxa"/>
            <w:tcBorders>
              <w:top w:val="nil"/>
              <w:left w:val="nil"/>
              <w:bottom w:val="single" w:sz="4" w:space="0" w:color="auto"/>
              <w:right w:val="single" w:sz="4" w:space="0" w:color="auto"/>
            </w:tcBorders>
            <w:shd w:val="clear" w:color="000000" w:fill="C5D9F1"/>
            <w:noWrap/>
            <w:vAlign w:val="bottom"/>
            <w:hideMark/>
          </w:tcPr>
          <w:p w14:paraId="58F514BE"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501</w:t>
            </w:r>
          </w:p>
        </w:tc>
        <w:tc>
          <w:tcPr>
            <w:tcW w:w="5360" w:type="dxa"/>
            <w:tcBorders>
              <w:top w:val="nil"/>
              <w:left w:val="nil"/>
              <w:bottom w:val="single" w:sz="4" w:space="0" w:color="auto"/>
              <w:right w:val="single" w:sz="4" w:space="0" w:color="auto"/>
            </w:tcBorders>
            <w:shd w:val="clear" w:color="000000" w:fill="C5D9F1"/>
            <w:noWrap/>
            <w:vAlign w:val="bottom"/>
            <w:hideMark/>
          </w:tcPr>
          <w:p w14:paraId="4D29B283" w14:textId="77777777" w:rsidR="00693C77" w:rsidRPr="00A6726B" w:rsidRDefault="00693C77" w:rsidP="00693C77">
            <w:pPr>
              <w:rPr>
                <w:rFonts w:cs="Calibri"/>
                <w:color w:val="000000"/>
                <w:sz w:val="22"/>
                <w:szCs w:val="22"/>
                <w:lang w:eastAsia="ko-KR"/>
              </w:rPr>
            </w:pPr>
            <w:proofErr w:type="spellStart"/>
            <w:r w:rsidRPr="00A6726B">
              <w:rPr>
                <w:rFonts w:cs="Calibri"/>
                <w:color w:val="000000"/>
                <w:sz w:val="22"/>
                <w:szCs w:val="22"/>
                <w:lang w:eastAsia="ko-KR"/>
              </w:rPr>
              <w:t>Nrusing</w:t>
            </w:r>
            <w:proofErr w:type="spellEnd"/>
            <w:r w:rsidRPr="00A6726B">
              <w:rPr>
                <w:rFonts w:cs="Calibri"/>
                <w:color w:val="000000"/>
                <w:sz w:val="22"/>
                <w:szCs w:val="22"/>
                <w:lang w:eastAsia="ko-KR"/>
              </w:rPr>
              <w:t>, Politics and Health Policy</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53B21E3C" w14:textId="68879CDA" w:rsidR="00693C77" w:rsidRPr="00A6726B" w:rsidRDefault="00693C77" w:rsidP="00693C77">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733ECB0C" w14:textId="0140AA3F" w:rsidR="00693C77" w:rsidRPr="00A6726B" w:rsidRDefault="00693C77" w:rsidP="00693C77">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4B0070BD" w14:textId="4783AC56" w:rsidR="00693C77" w:rsidRPr="00A6726B" w:rsidRDefault="00B35699" w:rsidP="00693C77">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AF1D35B" w14:textId="66E547D2" w:rsidR="00693C77" w:rsidRPr="00A6726B" w:rsidRDefault="00B35699" w:rsidP="00693C77">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5A463BF3" w14:textId="2847C261" w:rsidR="00693C77" w:rsidRPr="00A6726B" w:rsidRDefault="00693C77" w:rsidP="00693C77">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376B6B6" w14:textId="1BE4513D"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B35699">
              <w:rPr>
                <w:rFonts w:cs="Calibri"/>
                <w:color w:val="000000"/>
                <w:sz w:val="22"/>
                <w:szCs w:val="22"/>
                <w:lang w:eastAsia="ko-KR"/>
              </w:rPr>
              <w:t>/R</w:t>
            </w:r>
          </w:p>
        </w:tc>
      </w:tr>
      <w:tr w:rsidR="00693C77" w:rsidRPr="00A6726B" w14:paraId="5C234FEA" w14:textId="77777777" w:rsidTr="00A6726B">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6DA302E"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NURS</w:t>
            </w:r>
          </w:p>
        </w:tc>
        <w:tc>
          <w:tcPr>
            <w:tcW w:w="965" w:type="dxa"/>
            <w:tcBorders>
              <w:top w:val="nil"/>
              <w:left w:val="nil"/>
              <w:bottom w:val="single" w:sz="4" w:space="0" w:color="auto"/>
              <w:right w:val="single" w:sz="4" w:space="0" w:color="auto"/>
            </w:tcBorders>
            <w:shd w:val="clear" w:color="000000" w:fill="C5D9F1"/>
            <w:noWrap/>
            <w:vAlign w:val="bottom"/>
            <w:hideMark/>
          </w:tcPr>
          <w:p w14:paraId="5B7734EB" w14:textId="77777777" w:rsidR="00693C77" w:rsidRPr="000E78B0" w:rsidRDefault="00693C77" w:rsidP="00693C77">
            <w:pPr>
              <w:rPr>
                <w:rFonts w:cs="Calibri"/>
                <w:color w:val="000000"/>
                <w:sz w:val="22"/>
                <w:szCs w:val="22"/>
                <w:lang w:eastAsia="ko-KR"/>
              </w:rPr>
            </w:pPr>
            <w:r w:rsidRPr="000E78B0">
              <w:rPr>
                <w:rFonts w:cs="Calibri"/>
                <w:color w:val="000000"/>
                <w:sz w:val="22"/>
                <w:szCs w:val="22"/>
                <w:lang w:eastAsia="ko-KR"/>
              </w:rPr>
              <w:t>528</w:t>
            </w:r>
          </w:p>
        </w:tc>
        <w:tc>
          <w:tcPr>
            <w:tcW w:w="5360" w:type="dxa"/>
            <w:tcBorders>
              <w:top w:val="nil"/>
              <w:left w:val="nil"/>
              <w:bottom w:val="single" w:sz="4" w:space="0" w:color="auto"/>
              <w:right w:val="single" w:sz="4" w:space="0" w:color="auto"/>
            </w:tcBorders>
            <w:shd w:val="clear" w:color="000000" w:fill="C5D9F1"/>
            <w:noWrap/>
            <w:vAlign w:val="bottom"/>
            <w:hideMark/>
          </w:tcPr>
          <w:p w14:paraId="0735FDE8" w14:textId="77777777"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Leadership and Management in Nursing Administration</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3D5A5B4A" w14:textId="10CE31BA"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4E6CED97" w14:textId="7AC35046"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43E38D2D" w14:textId="29304410" w:rsidR="00693C77" w:rsidRPr="00A6726B" w:rsidRDefault="00C00FAB" w:rsidP="00693C77">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BABD097" w14:textId="22FA8A6D"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596DF125" w14:textId="49073D93" w:rsidR="00693C77" w:rsidRPr="00A6726B" w:rsidRDefault="002E51A2" w:rsidP="00693C77">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9C8EC6F" w14:textId="2636E2A8" w:rsidR="00693C77" w:rsidRPr="00A6726B" w:rsidRDefault="00693C77" w:rsidP="00693C77">
            <w:pPr>
              <w:rPr>
                <w:rFonts w:cs="Calibri"/>
                <w:color w:val="000000"/>
                <w:sz w:val="22"/>
                <w:szCs w:val="22"/>
                <w:lang w:eastAsia="ko-KR"/>
              </w:rPr>
            </w:pPr>
            <w:r w:rsidRPr="00A6726B">
              <w:rPr>
                <w:rFonts w:cs="Calibri"/>
                <w:color w:val="000000"/>
                <w:sz w:val="22"/>
                <w:szCs w:val="22"/>
                <w:lang w:eastAsia="ko-KR"/>
              </w:rPr>
              <w:t>I</w:t>
            </w:r>
            <w:r w:rsidR="002E51A2" w:rsidRPr="00A6726B">
              <w:rPr>
                <w:rFonts w:cs="Calibri"/>
                <w:color w:val="000000"/>
                <w:sz w:val="22"/>
                <w:szCs w:val="22"/>
                <w:lang w:eastAsia="ko-KR"/>
              </w:rPr>
              <w:t>/R</w:t>
            </w:r>
          </w:p>
        </w:tc>
      </w:tr>
    </w:tbl>
    <w:p w14:paraId="4A632814" w14:textId="77777777" w:rsidR="00734CF9" w:rsidRPr="00FA5344" w:rsidRDefault="00734CF9">
      <w:pPr>
        <w:rPr>
          <w:b/>
          <w:bCs/>
          <w:color w:val="FF0000"/>
        </w:rPr>
      </w:pPr>
    </w:p>
    <w:sectPr w:rsidR="00734CF9" w:rsidRPr="00FA5344" w:rsidSect="000975F2">
      <w:footerReference w:type="even" r:id="rId11"/>
      <w:footerReference w:type="default" r:id="rId12"/>
      <w:pgSz w:w="15840" w:h="12240" w:orient="landscape"/>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37AB" w14:textId="77777777" w:rsidR="003B7FB1" w:rsidRDefault="003B7FB1" w:rsidP="001F2A02">
      <w:r>
        <w:separator/>
      </w:r>
    </w:p>
  </w:endnote>
  <w:endnote w:type="continuationSeparator" w:id="0">
    <w:p w14:paraId="4F71430F" w14:textId="77777777" w:rsidR="003B7FB1" w:rsidRDefault="003B7FB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55739A" w:rsidRDefault="0055739A" w:rsidP="005573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55739A" w:rsidRDefault="0055739A"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FFAD7ED" w:rsidR="0055739A" w:rsidRPr="00FB363A" w:rsidRDefault="0055739A" w:rsidP="0055739A">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0A7700">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7F0D2AA5" w14:textId="77777777" w:rsidR="0055739A" w:rsidRPr="00FB363A" w:rsidRDefault="0055739A"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0A5B" w14:textId="77777777" w:rsidR="003B7FB1" w:rsidRDefault="003B7FB1" w:rsidP="001F2A02">
      <w:r>
        <w:separator/>
      </w:r>
    </w:p>
  </w:footnote>
  <w:footnote w:type="continuationSeparator" w:id="0">
    <w:p w14:paraId="6B4695F4" w14:textId="77777777" w:rsidR="003B7FB1" w:rsidRDefault="003B7FB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2AB5"/>
    <w:multiLevelType w:val="hybridMultilevel"/>
    <w:tmpl w:val="76A413D6"/>
    <w:lvl w:ilvl="0" w:tplc="47CE2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06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651F"/>
    <w:rsid w:val="0001791B"/>
    <w:rsid w:val="00025F11"/>
    <w:rsid w:val="00042F4C"/>
    <w:rsid w:val="00046A6C"/>
    <w:rsid w:val="00060BE5"/>
    <w:rsid w:val="00071470"/>
    <w:rsid w:val="000975F2"/>
    <w:rsid w:val="00097E15"/>
    <w:rsid w:val="000A7700"/>
    <w:rsid w:val="000B0241"/>
    <w:rsid w:val="000C2DE0"/>
    <w:rsid w:val="000D2D31"/>
    <w:rsid w:val="000E1689"/>
    <w:rsid w:val="000E78B0"/>
    <w:rsid w:val="0010287E"/>
    <w:rsid w:val="001160F4"/>
    <w:rsid w:val="00141CFC"/>
    <w:rsid w:val="0017571B"/>
    <w:rsid w:val="0017681D"/>
    <w:rsid w:val="001926F3"/>
    <w:rsid w:val="001A7D75"/>
    <w:rsid w:val="001B1F95"/>
    <w:rsid w:val="001F2A02"/>
    <w:rsid w:val="00210DB2"/>
    <w:rsid w:val="00234076"/>
    <w:rsid w:val="00235795"/>
    <w:rsid w:val="002432A3"/>
    <w:rsid w:val="0024670E"/>
    <w:rsid w:val="0025210E"/>
    <w:rsid w:val="00253B6F"/>
    <w:rsid w:val="00262B2F"/>
    <w:rsid w:val="00265027"/>
    <w:rsid w:val="002659E0"/>
    <w:rsid w:val="002C1781"/>
    <w:rsid w:val="002D5D87"/>
    <w:rsid w:val="002E51A2"/>
    <w:rsid w:val="002F75F1"/>
    <w:rsid w:val="00303722"/>
    <w:rsid w:val="003425F4"/>
    <w:rsid w:val="0036061A"/>
    <w:rsid w:val="003A32E4"/>
    <w:rsid w:val="003B7FB1"/>
    <w:rsid w:val="003E0415"/>
    <w:rsid w:val="00402256"/>
    <w:rsid w:val="00406B46"/>
    <w:rsid w:val="00422699"/>
    <w:rsid w:val="0044187F"/>
    <w:rsid w:val="004447FD"/>
    <w:rsid w:val="00447910"/>
    <w:rsid w:val="0045200D"/>
    <w:rsid w:val="004700A2"/>
    <w:rsid w:val="00485486"/>
    <w:rsid w:val="004A360E"/>
    <w:rsid w:val="004B06A0"/>
    <w:rsid w:val="004B0DA2"/>
    <w:rsid w:val="004C0112"/>
    <w:rsid w:val="004D5BD7"/>
    <w:rsid w:val="004D7D95"/>
    <w:rsid w:val="004E4F4C"/>
    <w:rsid w:val="004E577A"/>
    <w:rsid w:val="00516440"/>
    <w:rsid w:val="00536E7E"/>
    <w:rsid w:val="0054583C"/>
    <w:rsid w:val="005551EF"/>
    <w:rsid w:val="0055739A"/>
    <w:rsid w:val="00561B40"/>
    <w:rsid w:val="00573632"/>
    <w:rsid w:val="005770D6"/>
    <w:rsid w:val="005907DF"/>
    <w:rsid w:val="00592E05"/>
    <w:rsid w:val="0059645F"/>
    <w:rsid w:val="005B1721"/>
    <w:rsid w:val="005C7ECF"/>
    <w:rsid w:val="005D68AF"/>
    <w:rsid w:val="005F0B2E"/>
    <w:rsid w:val="005F7C2E"/>
    <w:rsid w:val="0060517E"/>
    <w:rsid w:val="00606BCF"/>
    <w:rsid w:val="00622117"/>
    <w:rsid w:val="006240B6"/>
    <w:rsid w:val="00632529"/>
    <w:rsid w:val="006338F8"/>
    <w:rsid w:val="006354B4"/>
    <w:rsid w:val="0064440D"/>
    <w:rsid w:val="00656559"/>
    <w:rsid w:val="00656AE3"/>
    <w:rsid w:val="00662E52"/>
    <w:rsid w:val="00664A15"/>
    <w:rsid w:val="00677098"/>
    <w:rsid w:val="006879AF"/>
    <w:rsid w:val="00693C77"/>
    <w:rsid w:val="006B282E"/>
    <w:rsid w:val="006C380E"/>
    <w:rsid w:val="006D1A9A"/>
    <w:rsid w:val="006E294C"/>
    <w:rsid w:val="006F7DD0"/>
    <w:rsid w:val="0070232E"/>
    <w:rsid w:val="00734CF9"/>
    <w:rsid w:val="007377F0"/>
    <w:rsid w:val="00744249"/>
    <w:rsid w:val="007531CA"/>
    <w:rsid w:val="0075740F"/>
    <w:rsid w:val="007706BE"/>
    <w:rsid w:val="00792391"/>
    <w:rsid w:val="007E3F9D"/>
    <w:rsid w:val="00843400"/>
    <w:rsid w:val="00874A54"/>
    <w:rsid w:val="0088096C"/>
    <w:rsid w:val="00886031"/>
    <w:rsid w:val="00893D93"/>
    <w:rsid w:val="008A30EE"/>
    <w:rsid w:val="008B7453"/>
    <w:rsid w:val="008C543D"/>
    <w:rsid w:val="008C68F9"/>
    <w:rsid w:val="009005FD"/>
    <w:rsid w:val="00906B14"/>
    <w:rsid w:val="00907DA7"/>
    <w:rsid w:val="009414E6"/>
    <w:rsid w:val="00960555"/>
    <w:rsid w:val="009623FF"/>
    <w:rsid w:val="009952EC"/>
    <w:rsid w:val="009A6B2F"/>
    <w:rsid w:val="009B6886"/>
    <w:rsid w:val="009C0771"/>
    <w:rsid w:val="00A166A9"/>
    <w:rsid w:val="00A46BB3"/>
    <w:rsid w:val="00A6726B"/>
    <w:rsid w:val="00A77149"/>
    <w:rsid w:val="00A8015B"/>
    <w:rsid w:val="00AA5FB2"/>
    <w:rsid w:val="00AA7D4B"/>
    <w:rsid w:val="00AB2C5E"/>
    <w:rsid w:val="00AE7017"/>
    <w:rsid w:val="00AF5D88"/>
    <w:rsid w:val="00B3239E"/>
    <w:rsid w:val="00B35699"/>
    <w:rsid w:val="00B4213E"/>
    <w:rsid w:val="00B63581"/>
    <w:rsid w:val="00B64774"/>
    <w:rsid w:val="00B75562"/>
    <w:rsid w:val="00B96F9F"/>
    <w:rsid w:val="00BA43B7"/>
    <w:rsid w:val="00BC0316"/>
    <w:rsid w:val="00BD0470"/>
    <w:rsid w:val="00BD7431"/>
    <w:rsid w:val="00C00FAB"/>
    <w:rsid w:val="00C1331D"/>
    <w:rsid w:val="00C4455B"/>
    <w:rsid w:val="00C741C7"/>
    <w:rsid w:val="00C77624"/>
    <w:rsid w:val="00C81981"/>
    <w:rsid w:val="00CC5395"/>
    <w:rsid w:val="00CF0519"/>
    <w:rsid w:val="00D0093F"/>
    <w:rsid w:val="00D03ECA"/>
    <w:rsid w:val="00D15BDC"/>
    <w:rsid w:val="00D22710"/>
    <w:rsid w:val="00D32A6F"/>
    <w:rsid w:val="00D55C98"/>
    <w:rsid w:val="00D713AB"/>
    <w:rsid w:val="00D86425"/>
    <w:rsid w:val="00DC054C"/>
    <w:rsid w:val="00DC6AC5"/>
    <w:rsid w:val="00DD4EBB"/>
    <w:rsid w:val="00DF3279"/>
    <w:rsid w:val="00E40C74"/>
    <w:rsid w:val="00E67735"/>
    <w:rsid w:val="00E73499"/>
    <w:rsid w:val="00E77CF5"/>
    <w:rsid w:val="00E95BBD"/>
    <w:rsid w:val="00EB65C8"/>
    <w:rsid w:val="00EC1C25"/>
    <w:rsid w:val="00EF4DA7"/>
    <w:rsid w:val="00F136C3"/>
    <w:rsid w:val="00F51EDD"/>
    <w:rsid w:val="00F9415F"/>
    <w:rsid w:val="00FA5344"/>
    <w:rsid w:val="00FB363A"/>
    <w:rsid w:val="00FB513C"/>
    <w:rsid w:val="00FC1F11"/>
    <w:rsid w:val="00FC2A73"/>
    <w:rsid w:val="00FD4DDB"/>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link w:val="Heading1Char"/>
    <w:uiPriority w:val="9"/>
    <w:qFormat/>
    <w:rsid w:val="004447FD"/>
    <w:pPr>
      <w:spacing w:before="100" w:beforeAutospacing="1" w:after="100" w:afterAutospacing="1"/>
      <w:outlineLvl w:val="0"/>
    </w:pPr>
    <w:rPr>
      <w:rFonts w:ascii="Times New Roman" w:hAnsi="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6F7DD0"/>
    <w:rPr>
      <w:color w:val="0000FF"/>
      <w:u w:val="single"/>
    </w:rPr>
  </w:style>
  <w:style w:type="paragraph" w:styleId="ListParagraph">
    <w:name w:val="List Paragraph"/>
    <w:basedOn w:val="Normal"/>
    <w:uiPriority w:val="34"/>
    <w:qFormat/>
    <w:rsid w:val="00265027"/>
    <w:pPr>
      <w:ind w:left="720"/>
      <w:contextualSpacing/>
    </w:pPr>
  </w:style>
  <w:style w:type="character" w:customStyle="1" w:styleId="Heading1Char">
    <w:name w:val="Heading 1 Char"/>
    <w:basedOn w:val="DefaultParagraphFont"/>
    <w:link w:val="Heading1"/>
    <w:uiPriority w:val="9"/>
    <w:rsid w:val="004447FD"/>
    <w:rPr>
      <w:rFonts w:ascii="Times New Roman" w:eastAsia="Times New Roman" w:hAnsi="Times New Roman" w:cs="Times New Roman"/>
      <w:b/>
      <w:bCs/>
      <w:kern w:val="36"/>
      <w:sz w:val="48"/>
      <w:szCs w:val="4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2335">
      <w:bodyDiv w:val="1"/>
      <w:marLeft w:val="0"/>
      <w:marRight w:val="0"/>
      <w:marTop w:val="0"/>
      <w:marBottom w:val="0"/>
      <w:divBdr>
        <w:top w:val="none" w:sz="0" w:space="0" w:color="auto"/>
        <w:left w:val="none" w:sz="0" w:space="0" w:color="auto"/>
        <w:bottom w:val="none" w:sz="0" w:space="0" w:color="auto"/>
        <w:right w:val="none" w:sz="0" w:space="0" w:color="auto"/>
      </w:divBdr>
    </w:div>
    <w:div w:id="728848915">
      <w:bodyDiv w:val="1"/>
      <w:marLeft w:val="0"/>
      <w:marRight w:val="0"/>
      <w:marTop w:val="0"/>
      <w:marBottom w:val="0"/>
      <w:divBdr>
        <w:top w:val="none" w:sz="0" w:space="0" w:color="auto"/>
        <w:left w:val="none" w:sz="0" w:space="0" w:color="auto"/>
        <w:bottom w:val="none" w:sz="0" w:space="0" w:color="auto"/>
        <w:right w:val="none" w:sz="0" w:space="0" w:color="auto"/>
      </w:divBdr>
    </w:div>
    <w:div w:id="800196873">
      <w:bodyDiv w:val="1"/>
      <w:marLeft w:val="0"/>
      <w:marRight w:val="0"/>
      <w:marTop w:val="0"/>
      <w:marBottom w:val="0"/>
      <w:divBdr>
        <w:top w:val="none" w:sz="0" w:space="0" w:color="auto"/>
        <w:left w:val="none" w:sz="0" w:space="0" w:color="auto"/>
        <w:bottom w:val="none" w:sz="0" w:space="0" w:color="auto"/>
        <w:right w:val="none" w:sz="0" w:space="0" w:color="auto"/>
      </w:divBdr>
    </w:div>
    <w:div w:id="977338511">
      <w:bodyDiv w:val="1"/>
      <w:marLeft w:val="0"/>
      <w:marRight w:val="0"/>
      <w:marTop w:val="0"/>
      <w:marBottom w:val="0"/>
      <w:divBdr>
        <w:top w:val="none" w:sz="0" w:space="0" w:color="auto"/>
        <w:left w:val="none" w:sz="0" w:space="0" w:color="auto"/>
        <w:bottom w:val="none" w:sz="0" w:space="0" w:color="auto"/>
        <w:right w:val="none" w:sz="0" w:space="0" w:color="auto"/>
      </w:divBdr>
    </w:div>
    <w:div w:id="10117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eyoung.Kong@wk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A86A-9117-4258-9AE5-E124FD8C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2022-07-20T14:24:00Z</dcterms:created>
  <dcterms:modified xsi:type="dcterms:W3CDTF">2022-07-20T14:24:00Z</dcterms:modified>
</cp:coreProperties>
</file>