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079C02A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169AB48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AE4331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AE4331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48D0F2E7" w:rsidR="0017571B" w:rsidRPr="00C468FD" w:rsidRDefault="00C468FD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468FD">
              <w:rPr>
                <w:rFonts w:ascii="Times New Roman" w:hAnsi="Times New Roman"/>
                <w:b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2696AEC8" w:rsidR="0017571B" w:rsidRPr="00C468FD" w:rsidRDefault="00C468FD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468FD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77B8D1A1" w:rsidR="0017571B" w:rsidRPr="00C468FD" w:rsidRDefault="00C468FD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468FD">
              <w:rPr>
                <w:rFonts w:ascii="Times New Roman" w:hAnsi="Times New Roman"/>
                <w:bCs/>
                <w:sz w:val="20"/>
                <w:szCs w:val="20"/>
              </w:rPr>
              <w:t>Chemistry, Ref. 623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237E47D9" w:rsidR="00141CFC" w:rsidRPr="004C0112" w:rsidRDefault="00141CF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Replace this with the program director and/or assessment coordinator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53F38D20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sz w:val="22"/>
                <w:szCs w:val="22"/>
              </w:rPr>
            </w:r>
            <w:r w:rsidR="008C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443E3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443E3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sz w:val="22"/>
                <w:szCs w:val="22"/>
              </w:rPr>
            </w:r>
            <w:r w:rsidR="008C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443E3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34567CEA" w:rsidR="0006474C" w:rsidRPr="005B3461" w:rsidRDefault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31556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1556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sz w:val="22"/>
                <w:szCs w:val="22"/>
              </w:rPr>
            </w:r>
            <w:r w:rsidR="008C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1556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6E955571" w:rsidR="00AA7D4B" w:rsidRPr="000C5ED8" w:rsidRDefault="003B294E">
      <w:pPr>
        <w:rPr>
          <w:rFonts w:ascii="Times New Roman" w:hAnsi="Times New Roman"/>
          <w:b/>
          <w:bCs/>
          <w:color w:val="FF0000"/>
        </w:rPr>
      </w:pPr>
      <w:r w:rsidRPr="000C5ED8">
        <w:rPr>
          <w:rFonts w:ascii="Times New Roman" w:hAnsi="Times New Roman"/>
          <w:b/>
          <w:bCs/>
          <w:color w:val="FF0000"/>
        </w:rPr>
        <w:t>*** Please include Curriculum Map as part of this document (at the end), NOT as a separate file</w:t>
      </w:r>
      <w:r w:rsidR="00032B5B">
        <w:rPr>
          <w:rFonts w:ascii="Times New Roman" w:hAnsi="Times New Roman"/>
          <w:b/>
          <w:bCs/>
          <w:color w:val="FF0000"/>
        </w:rPr>
        <w:t>.</w:t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2B52B885" w:rsidR="007706BE" w:rsidRPr="00FF3DCE" w:rsidRDefault="00FF131C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443E3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>Coomunicate</w:t>
            </w:r>
            <w:proofErr w:type="spellEnd"/>
            <w:r w:rsidR="00443E3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Effectively in Written Form</w:t>
            </w:r>
          </w:p>
        </w:tc>
      </w:tr>
      <w:tr w:rsidR="007706BE" w:rsidRPr="00964DD0" w14:paraId="2E4E6283" w14:textId="77777777" w:rsidTr="00443E31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2B25D4B5" w:rsidR="007706BE" w:rsidRPr="00FF3DCE" w:rsidRDefault="00443E3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Laboratory reports from CHEM 451 (Physical Chemistry Lab)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C905AA4" w:rsidR="007706BE" w:rsidRPr="00FF3DCE" w:rsidRDefault="00DF4FBC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8D5E20E" w:rsidR="00B3239E" w:rsidRPr="00FF3DCE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3E3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Interpret and Explain Data about Chemical Systems</w:t>
            </w:r>
          </w:p>
        </w:tc>
      </w:tr>
      <w:tr w:rsidR="00B3239E" w:rsidRPr="00964DD0" w14:paraId="018E91BF" w14:textId="77777777" w:rsidTr="00443E31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254A9C7C" w:rsidR="00B3239E" w:rsidRPr="00FF3DCE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American Chemical Society Exam in Analytical Chemistry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8958903" w:rsidR="00402256" w:rsidRPr="00FF3DCE" w:rsidRDefault="00F55C47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4DC17CD" w:rsidR="00B3239E" w:rsidRPr="00FF3DCE" w:rsidRDefault="00FF131C" w:rsidP="00B323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43E3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Describe and discuss structure-property-function relationships for a variety of molecules</w:t>
            </w:r>
          </w:p>
        </w:tc>
      </w:tr>
      <w:tr w:rsidR="00B3239E" w:rsidRPr="00964DD0" w14:paraId="310AA017" w14:textId="77777777" w:rsidTr="00443E31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465919E4" w:rsidR="00B3239E" w:rsidRPr="00FF3DCE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American Chemical Society Exam in Organic Chemistry</w:t>
            </w: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49C92FC7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2D0A3FDB" w:rsidR="00402256" w:rsidRPr="00FF3DCE" w:rsidRDefault="006612F0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</w:r>
            <w:r w:rsidR="008C0B0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89B64FD" w14:textId="671C5593" w:rsidR="0075740F" w:rsidRDefault="009E049C" w:rsidP="0075740F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The Chemistry Department will co</w:t>
            </w:r>
            <w:r w:rsidR="003958CB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ntinue to use the program SLO’s and </w:t>
            </w:r>
            <w:r w:rsidR="00016D4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instruments currently in place.</w:t>
            </w:r>
          </w:p>
          <w:p w14:paraId="3DB9221C" w14:textId="77777777" w:rsidR="005B3461" w:rsidRPr="00410B0B" w:rsidRDefault="005B3461" w:rsidP="0075740F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  <w:p w14:paraId="3DB6524A" w14:textId="77777777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52837" w14:textId="3169AA48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37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102FA98E" w:rsidR="001160F4" w:rsidRPr="003A32E4" w:rsidRDefault="00443E31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Communicate Effectively in Written Form</w:t>
            </w:r>
          </w:p>
        </w:tc>
      </w:tr>
      <w:tr w:rsidR="00C4455B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5AEA9C4" w14:textId="77777777" w:rsidR="001401EE" w:rsidRDefault="001401EE" w:rsidP="001401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Laboratory reports from CHEM 451 (Physical Chemistry Lab)</w:t>
            </w:r>
          </w:p>
          <w:p w14:paraId="58B391D4" w14:textId="60E19021" w:rsidR="001401EE" w:rsidRDefault="00DE22A4" w:rsidP="001401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Two</w:t>
            </w:r>
            <w:r w:rsidR="001401EE">
              <w:rPr>
                <w:rFonts w:ascii="Times New Roman" w:hAnsi="Times New Roman"/>
                <w:bCs/>
                <w:sz w:val="20"/>
                <w:szCs w:val="20"/>
              </w:rPr>
              <w:t xml:space="preserve"> writing assignments were submitted by each student with writing prompts related to laboratory experiments from the course.</w:t>
            </w:r>
          </w:p>
          <w:p w14:paraId="5A062E2C" w14:textId="7BEE52BF" w:rsidR="0070232E" w:rsidRPr="00FF131C" w:rsidRDefault="001401EE" w:rsidP="001401EE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The instrument was assessed in a fashion consistent with the Written Communication VALUE Rubric from AAC&amp;U.  Basic parameters for </w:t>
            </w:r>
            <w:r w:rsidRPr="00F72BC5">
              <w:rPr>
                <w:rFonts w:ascii="Times New Roman" w:hAnsi="Times New Roman"/>
                <w:bCs/>
                <w:i/>
                <w:sz w:val="20"/>
                <w:szCs w:val="20"/>
              </w:rPr>
              <w:t>Context, Content, Conventions, Sources, and Syntax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were rated on the 1 to 4 scale.  A maximum score of 20 was possible.</w:t>
            </w:r>
          </w:p>
          <w:p w14:paraId="201F83AE" w14:textId="17E57D57" w:rsidR="00FF3DCE" w:rsidRPr="003A32E4" w:rsidRDefault="00FF3DCE" w:rsidP="004A360E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56CEFA2E" w:rsidR="00406B46" w:rsidRPr="00FF3DCE" w:rsidRDefault="000C5615" w:rsidP="001401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944A7E">
              <w:rPr>
                <w:rFonts w:ascii="Times New Roman" w:hAnsi="Times New Roman"/>
                <w:sz w:val="20"/>
                <w:szCs w:val="20"/>
              </w:rPr>
              <w:t>Students shou</w:t>
            </w:r>
            <w:r>
              <w:rPr>
                <w:rFonts w:ascii="Times New Roman" w:hAnsi="Times New Roman"/>
                <w:sz w:val="20"/>
                <w:szCs w:val="20"/>
              </w:rPr>
              <w:t>ld score an average of 2.6 or higher over the 5 areas on the rubric.</w:t>
            </w:r>
          </w:p>
        </w:tc>
      </w:tr>
      <w:tr w:rsidR="00C4455B" w:rsidRPr="00964DD0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47CB9791" w:rsidR="00C4455B" w:rsidRPr="00406B46" w:rsidRDefault="00B84C1D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 least 75% of the papers will score at least an average of 2.6.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C44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8F799" w14:textId="72B56124" w:rsidR="00890375" w:rsidRDefault="00340BD7" w:rsidP="008903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="00890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 for assignment 1</w:t>
            </w:r>
          </w:p>
          <w:p w14:paraId="7AE2DC42" w14:textId="3A950173" w:rsidR="00C4455B" w:rsidRPr="00340BD7" w:rsidRDefault="00340BD7" w:rsidP="00340B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="008903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0% for assignment 2</w:t>
            </w:r>
          </w:p>
        </w:tc>
      </w:tr>
      <w:tr w:rsidR="00C4455B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A801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04E2872D" w:rsidR="00406B46" w:rsidRPr="00406B46" w:rsidRDefault="00DF4FBC" w:rsidP="00406B46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B05B8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The papers were evaluated using the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Written Communication</w:t>
            </w:r>
            <w:r w:rsidRPr="00B05B8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VALUE rubric.  A score of 1 (benchmark) to 4 (capstone) was assigned for each category and the values were averaged.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The average scores on assignment 1 ranged from 2.</w:t>
            </w:r>
            <w:r w:rsidR="008F638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to 3.3.  Scores on the second assignment ranged from </w:t>
            </w:r>
            <w:r w:rsidR="00340B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2.5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to 3.6.  </w:t>
            </w:r>
          </w:p>
        </w:tc>
      </w:tr>
      <w:tr w:rsidR="00402256" w:rsidRPr="00964DD0" w14:paraId="150080E3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07820103" w14:textId="37A7042B" w:rsidR="00410B0B" w:rsidRDefault="00410B0B" w:rsidP="00402256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314630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Writing formal lab reports is a learning process.  The </w:t>
            </w:r>
            <w:r w:rsidR="0085671B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Department sees a significant improvement in the number of </w:t>
            </w:r>
            <w:r w:rsidR="00F00DD3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students meeting the benchmark from the first to second writing assignments.</w:t>
            </w:r>
          </w:p>
          <w:p w14:paraId="27F76B5B" w14:textId="77777777" w:rsidR="00FF131C" w:rsidRDefault="00FF131C" w:rsidP="00402256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05A5FB14" w14:textId="4D8E74A3" w:rsidR="00402256" w:rsidRPr="00FF131C" w:rsidRDefault="00FF131C" w:rsidP="00402256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6A79D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A description of the </w:t>
            </w:r>
            <w:r w:rsidR="00561F5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sections</w:t>
            </w:r>
            <w:r w:rsidR="00C56712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(background, </w:t>
            </w:r>
            <w:r w:rsidR="00BE36C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data analysis, </w:t>
            </w:r>
            <w:proofErr w:type="spellStart"/>
            <w:r w:rsidR="00BE36C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etc</w:t>
            </w:r>
            <w:proofErr w:type="spellEnd"/>
            <w:r w:rsidR="00BE36C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)</w:t>
            </w:r>
            <w:r w:rsidR="00561F5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of the lab reports was given in the syllabus.</w:t>
            </w:r>
            <w:r w:rsidR="00380473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 Students received </w:t>
            </w:r>
            <w:r w:rsidR="00C56712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detailed </w:t>
            </w:r>
            <w:r w:rsidR="00380473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feedback on their </w:t>
            </w:r>
            <w:r w:rsidR="00C56712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first lab report</w:t>
            </w:r>
            <w:r w:rsidR="00BE36C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and were given an opportunity to revise.  </w:t>
            </w:r>
            <w:r w:rsidR="00F632C4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The scores showed improvement </w:t>
            </w:r>
            <w:r w:rsidR="00AB6A3F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from the first to second assignment.  </w:t>
            </w:r>
            <w:r w:rsidR="00B95920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Receiving feedback </w:t>
            </w:r>
            <w:r w:rsidR="00BD308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on the first assignment is critical</w:t>
            </w:r>
            <w:r w:rsidR="001C1AA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for students to learn from their mistakes and to make adjustments in their writing.</w:t>
            </w:r>
          </w:p>
          <w:p w14:paraId="01CA94A2" w14:textId="77777777" w:rsidR="00FF131C" w:rsidRDefault="00FF131C" w:rsidP="0040225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4E4434C8" w14:textId="078A56F5" w:rsidR="00FF131C" w:rsidRDefault="00FF131C" w:rsidP="00FF131C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D23F93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quality of the submissions increased </w:t>
            </w:r>
            <w:r w:rsidR="00A92E94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from </w:t>
            </w:r>
            <w:proofErr w:type="spellStart"/>
            <w:r w:rsidR="00A92E94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assisgnment</w:t>
            </w:r>
            <w:proofErr w:type="spellEnd"/>
            <w:r w:rsidR="00A92E94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1 to assignment 2.  </w:t>
            </w:r>
            <w:r w:rsidR="008A471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</w:t>
            </w:r>
            <w:r w:rsidR="00AF3F2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current </w:t>
            </w:r>
            <w:proofErr w:type="spellStart"/>
            <w:r w:rsidR="00B51CC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mwthod</w:t>
            </w:r>
            <w:proofErr w:type="spellEnd"/>
            <w:r w:rsidR="00B51CC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works and </w:t>
            </w:r>
            <w:r w:rsidR="008A471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will continue</w:t>
            </w:r>
            <w:r w:rsidR="00B51CC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to be used</w:t>
            </w:r>
            <w:r w:rsidR="008A471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to assess students’ writing </w:t>
            </w:r>
            <w:r w:rsidR="00AF3F2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assignment</w:t>
            </w:r>
            <w:r w:rsidR="00B51CC0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s.</w:t>
            </w:r>
            <w:r w:rsidR="00AF3F2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2B3811B9" w14:textId="78B18B91" w:rsidR="00510051" w:rsidRPr="0054609C" w:rsidRDefault="00510051" w:rsidP="00FF131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3746B93" w14:textId="77777777" w:rsidR="0037497A" w:rsidRDefault="0037497A"/>
    <w:p w14:paraId="03984C2E" w14:textId="77777777" w:rsidR="008C0B0A" w:rsidRDefault="008C0B0A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315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28814DF4" w:rsidR="003A32E4" w:rsidRPr="001E35D2" w:rsidRDefault="00FF131C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2BD2B618" w:rsidR="003A32E4" w:rsidRPr="003A32E4" w:rsidRDefault="00443E3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>Interpret and Explain Data about Chemical Systems</w:t>
            </w:r>
          </w:p>
        </w:tc>
      </w:tr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2ADD1" w14:textId="77777777" w:rsidR="00443E31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American Chemical Society Exam in Analytical Chemistry</w:t>
            </w:r>
          </w:p>
          <w:p w14:paraId="0194078B" w14:textId="0C32FA21" w:rsidR="003A32E4" w:rsidRPr="005D68AF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This is a nationally-normed 50-question multiple choice exam given at the conclusion of the CHEM 330 (Quantitative Analysis) course (required of all majors and minors).  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06C58C46" w:rsidR="003A32E4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3577AA">
              <w:rPr>
                <w:rFonts w:ascii="Times New Roman" w:hAnsi="Times New Roman"/>
                <w:sz w:val="20"/>
                <w:szCs w:val="20"/>
              </w:rPr>
              <w:t>50%</w:t>
            </w:r>
            <w:r>
              <w:rPr>
                <w:rFonts w:ascii="Times New Roman" w:hAnsi="Times New Roman"/>
                <w:sz w:val="20"/>
                <w:szCs w:val="20"/>
              </w:rPr>
              <w:t>-tile ranking or higher</w:t>
            </w:r>
          </w:p>
          <w:p w14:paraId="306F016A" w14:textId="74CD76D4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6C48E2A1" w:rsidR="003A32E4" w:rsidRPr="00964DD0" w:rsidRDefault="00443E3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50% of students taking the exam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2C89C9EF" w:rsidR="003A32E4" w:rsidRPr="0075740F" w:rsidRDefault="0053626F" w:rsidP="00F55C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60%</w:t>
            </w: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5C27BA12" w:rsidR="003A32E4" w:rsidRPr="00964DD0" w:rsidRDefault="000F456C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Assessment w</w:t>
            </w:r>
            <w:r w:rsidR="003E05A3">
              <w:rPr>
                <w:rFonts w:ascii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given to all students in the course</w:t>
            </w:r>
            <w:r w:rsidR="003E05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461" w:rsidRPr="00964DD0" w14:paraId="0D3445A0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58492B65" w14:textId="01788993" w:rsidR="005B3461" w:rsidRDefault="005B3461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F55C4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The percentage of students achieving the target percentile of content mastery over the last three AY’s is: 73% AY 21/22, 54% AY 22/23 and 60% AY23/24.  The course i</w:t>
            </w:r>
            <w:r w:rsidR="00FE091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s</w:t>
            </w:r>
            <w:r w:rsidR="00F55C4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a sophomore/junior-level course.  However, we are seeing more student delaying the course until their senior year.  As a result</w:t>
            </w:r>
            <w:r w:rsidR="00FE091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, some students have difficulty in recalling information and material covered in the freshman-level courses (121 and 222).</w:t>
            </w:r>
          </w:p>
          <w:p w14:paraId="0A12A1FA" w14:textId="77777777" w:rsidR="005B3461" w:rsidRDefault="005B3461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07DCB6F6" w14:textId="3FFE14EC" w:rsidR="005B3461" w:rsidRPr="00FF131C" w:rsidRDefault="005B3461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FE091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With the retirement of a long-standing faculty member, a new faculty member was charged with teaching the course during AY 23/24.  The new faculty member introduced several new laboratories to </w:t>
            </w:r>
            <w:proofErr w:type="spellStart"/>
            <w:r w:rsidR="00FE091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rejuventate</w:t>
            </w:r>
            <w:proofErr w:type="spellEnd"/>
            <w:r w:rsidR="00FE0917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this lab aspect of the course.  It is too early to know if changes in the course will lead to students opting to take the course earlier in the </w:t>
            </w:r>
            <w:r w:rsidR="0053626F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academic career.</w:t>
            </w:r>
          </w:p>
          <w:p w14:paraId="3963A541" w14:textId="77777777" w:rsidR="005B3461" w:rsidRDefault="005B3461" w:rsidP="005B3461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295FC4F9" w14:textId="0CB22BB9" w:rsidR="005B3461" w:rsidRPr="0054609C" w:rsidRDefault="005B3461" w:rsidP="005B346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53626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Review-type exercises at the beginning of the course may be used so that students can identify their content weaknesses and review </w:t>
            </w:r>
            <w:proofErr w:type="spellStart"/>
            <w:r w:rsidR="0053626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tose</w:t>
            </w:r>
            <w:proofErr w:type="spellEnd"/>
            <w:r w:rsidR="0053626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areas early in the course.  Additionally, instructors in the freshman-level courses and advisors will be asked to encourage students to take the course earlier in </w:t>
            </w:r>
            <w:proofErr w:type="spellStart"/>
            <w:r w:rsidR="0053626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theor</w:t>
            </w:r>
            <w:proofErr w:type="spellEnd"/>
            <w:r w:rsidR="0053626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academic careers. </w:t>
            </w:r>
          </w:p>
        </w:tc>
      </w:tr>
    </w:tbl>
    <w:p w14:paraId="4BB552C8" w14:textId="77777777" w:rsidR="00060BE5" w:rsidRDefault="00060BE5"/>
    <w:p w14:paraId="5226D373" w14:textId="77777777" w:rsidR="008C0B0A" w:rsidRDefault="008C0B0A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315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4AF3F94" w:rsidR="005D68AF" w:rsidRPr="001E35D2" w:rsidRDefault="005B346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454B8E1A" w:rsidR="005D68AF" w:rsidRPr="003A32E4" w:rsidRDefault="00443E3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>Describe and discuss structure-property-function relationships for a variety of molecules</w:t>
            </w:r>
          </w:p>
        </w:tc>
      </w:tr>
      <w:tr w:rsidR="005D68AF" w:rsidRPr="00964DD0" w14:paraId="1251223B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EE3063" w14:textId="77777777" w:rsidR="00443E31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American Chemical Society Exam in Organic Chemistry</w:t>
            </w:r>
          </w:p>
          <w:p w14:paraId="25A05106" w14:textId="64C34365" w:rsidR="005D68AF" w:rsidRPr="005D68AF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This is a nationally-normed 50-question multiple choice exam given at the conclusion of the CHEM 342 (Organic Chemistry 2) course.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05F8203" w14:textId="77777777" w:rsidR="00443E31" w:rsidRDefault="00443E31" w:rsidP="00443E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50%-tile ranking of higher</w:t>
            </w:r>
          </w:p>
          <w:p w14:paraId="4DED068B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  <w:p w14:paraId="1920E781" w14:textId="77777777" w:rsidR="005D68AF" w:rsidRPr="00F136C3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85486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E9009AE" w14:textId="0C2F5DAE" w:rsidR="005D68AF" w:rsidRPr="00964DD0" w:rsidRDefault="00443E31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50% of students taking the exam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64B9F7D" w:rsidR="005D68AF" w:rsidRPr="0075740F" w:rsidRDefault="0053626F" w:rsidP="005362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26%</w:t>
            </w: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629C284E" w:rsidR="005D68AF" w:rsidRPr="00964DD0" w:rsidRDefault="006612F0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Assessment w</w:t>
            </w:r>
            <w:r w:rsidR="003E05A3">
              <w:rPr>
                <w:rFonts w:ascii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taken by all students in the course.</w:t>
            </w:r>
          </w:p>
        </w:tc>
      </w:tr>
      <w:tr w:rsidR="005B3461" w:rsidRPr="00964DD0" w14:paraId="5A878A8F" w14:textId="77777777" w:rsidTr="00060BE5"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5B34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2AAC8294" w14:textId="77777777" w:rsidTr="00060BE5">
        <w:trPr>
          <w:trHeight w:val="1340"/>
        </w:trPr>
        <w:tc>
          <w:tcPr>
            <w:tcW w:w="14395" w:type="dxa"/>
            <w:gridSpan w:val="5"/>
            <w:shd w:val="clear" w:color="auto" w:fill="auto"/>
            <w:tcMar>
              <w:top w:w="100" w:type="nil"/>
              <w:right w:w="100" w:type="nil"/>
            </w:tcMar>
          </w:tcPr>
          <w:p w14:paraId="6D5B7740" w14:textId="6476E6C2" w:rsidR="005B3461" w:rsidRDefault="005B3461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Results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: </w:t>
            </w:r>
            <w:r w:rsidR="00E019B5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The percentage of students achieving the target percentile of content mastery over the last three AY’s is: </w:t>
            </w:r>
            <w:r w:rsidR="00F16618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39</w:t>
            </w:r>
            <w:r w:rsidR="00E019B5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% AY 21/22, </w:t>
            </w:r>
            <w:r w:rsidR="00F16618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46</w:t>
            </w:r>
            <w:r w:rsidR="00E019B5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% AY 22/23 and </w:t>
            </w:r>
            <w:r w:rsidR="00F16618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26</w:t>
            </w:r>
            <w:r w:rsidR="00E019B5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% AY23/24.  The course is a sophomore/junior-level course.  However, we are seeing more student delaying the course until their senior year.  As a result, some students have difficulty in recalling information and material covered in the freshman-level courses (121 and 222).</w:t>
            </w:r>
          </w:p>
          <w:p w14:paraId="690D0330" w14:textId="77777777" w:rsidR="00E019B5" w:rsidRDefault="00E019B5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</w:p>
          <w:p w14:paraId="68FAC45D" w14:textId="065195E4" w:rsidR="005B3461" w:rsidRPr="00FF131C" w:rsidRDefault="005B3461" w:rsidP="005B3461">
            <w:pPr>
              <w:jc w:val="both"/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</w:pPr>
            <w:r w:rsidRPr="005B3461">
              <w:rPr>
                <w:rFonts w:ascii="Times New Roman" w:hAnsi="Times New Roman"/>
                <w:b/>
                <w:color w:val="767171" w:themeColor="background2" w:themeShade="80"/>
                <w:sz w:val="20"/>
                <w:u w:val="single"/>
              </w:rPr>
              <w:t>Conclusions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:</w:t>
            </w:r>
            <w:r w:rsidR="00F05B0C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</w:t>
            </w:r>
            <w:r w:rsidR="00A24EBC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It </w:t>
            </w:r>
            <w:r w:rsidR="00861221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was p</w:t>
            </w:r>
            <w:r w:rsidR="00CD394D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roposed that the low percentages of students </w:t>
            </w:r>
            <w:r w:rsidR="0056306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achieving the target percentile of content mastery was a </w:t>
            </w:r>
            <w:proofErr w:type="spellStart"/>
            <w:r w:rsidR="0056306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fuction</w:t>
            </w:r>
            <w:proofErr w:type="spellEnd"/>
            <w:r w:rsidR="0056306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of the students’ lack of mastery of content material from previous coursework and </w:t>
            </w:r>
            <w:r w:rsidR="00884FD3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the use of online instruction during the pandemic</w:t>
            </w:r>
            <w:r w:rsidR="003010DA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, and the return to in-person learning would </w:t>
            </w:r>
            <w:r w:rsidR="00A33628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lead to a higher percentage of students achieving </w:t>
            </w:r>
            <w:r w:rsidR="00F219CD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mastery of the content as reflected </w:t>
            </w:r>
            <w:r w:rsidR="005B2CC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by the increase from AY 21/22 to AY 22/23.  </w:t>
            </w:r>
            <w:r w:rsidR="00A70D28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The current drop</w:t>
            </w:r>
            <w:r w:rsidR="009D16C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 in student performance is not easily explained.  There have been no major changes in </w:t>
            </w:r>
            <w:r w:rsidR="000F2CFE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 xml:space="preserve">content coverage, textbook, ancillary materials or </w:t>
            </w:r>
            <w:r w:rsidR="001F0286">
              <w:rPr>
                <w:rFonts w:ascii="Times New Roman" w:hAnsi="Times New Roman"/>
                <w:bCs/>
                <w:color w:val="767171" w:themeColor="background2" w:themeShade="80"/>
                <w:sz w:val="20"/>
              </w:rPr>
              <w:t>testing from previous cycles.</w:t>
            </w:r>
          </w:p>
          <w:p w14:paraId="774C21BD" w14:textId="77777777" w:rsidR="005B3461" w:rsidRDefault="005B3461" w:rsidP="005B3461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1CDB788D" w14:textId="5B91EAF9" w:rsidR="005B3461" w:rsidRPr="0054609C" w:rsidRDefault="005B3461" w:rsidP="005B346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B3461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u w:val="single"/>
              </w:rPr>
              <w:t>Plans for Next Assessment Cycle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Pr="00FB363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1F0286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The faculty in charge of the CHEM 340</w:t>
            </w:r>
            <w:r w:rsidR="00431C39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and 342 </w:t>
            </w:r>
            <w:proofErr w:type="spellStart"/>
            <w:r w:rsidR="00431C39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Organc</w:t>
            </w:r>
            <w:proofErr w:type="spellEnd"/>
            <w:r w:rsidR="00431C39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Chemistry sequence will meet at the beginning of the Fall semester to discuss </w:t>
            </w:r>
            <w:r w:rsidR="00427A7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the implementation of </w:t>
            </w:r>
            <w:r w:rsidR="00431C39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intervention</w:t>
            </w:r>
            <w:r w:rsidR="00673D4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s</w:t>
            </w:r>
            <w:r w:rsidR="00427A7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, such as </w:t>
            </w:r>
            <w:r w:rsidR="0049527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use</w:t>
            </w:r>
            <w:r w:rsidR="00427A7A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of </w:t>
            </w:r>
            <w:r w:rsidR="00204DFF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review exercises, faculty/student-lead review sessions</w:t>
            </w:r>
            <w:r w:rsidR="00F74A78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and introduction of online homework.</w:t>
            </w:r>
            <w:r w:rsidR="00DF1ED5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</w:tr>
    </w:tbl>
    <w:p w14:paraId="0EEA9A3C" w14:textId="592B993B" w:rsidR="003A32E4" w:rsidRDefault="003A32E4"/>
    <w:p w14:paraId="06ABFDF8" w14:textId="23ADB1ED" w:rsidR="008C0B0A" w:rsidRDefault="008C0B0A">
      <w:r>
        <w:br w:type="page"/>
      </w:r>
    </w:p>
    <w:p w14:paraId="598F9E59" w14:textId="1E150C30" w:rsidR="005A525F" w:rsidRDefault="008C0B0A">
      <w:r w:rsidRPr="008C0B0A">
        <w:lastRenderedPageBreak/>
        <w:drawing>
          <wp:inline distT="0" distB="0" distL="0" distR="0" wp14:anchorId="145E5CBB" wp14:editId="7DD98D77">
            <wp:extent cx="7892415" cy="6858000"/>
            <wp:effectExtent l="0" t="0" r="0" b="0"/>
            <wp:docPr id="83248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41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25F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14CBB" w14:textId="77777777" w:rsidR="00C85B15" w:rsidRDefault="00C85B15" w:rsidP="001F2A02">
      <w:r>
        <w:separator/>
      </w:r>
    </w:p>
  </w:endnote>
  <w:endnote w:type="continuationSeparator" w:id="0">
    <w:p w14:paraId="19F89CA0" w14:textId="77777777" w:rsidR="00C85B15" w:rsidRDefault="00C85B15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D0C3" w14:textId="77777777" w:rsidR="00C85B15" w:rsidRDefault="00C85B15" w:rsidP="001F2A02">
      <w:r>
        <w:separator/>
      </w:r>
    </w:p>
  </w:footnote>
  <w:footnote w:type="continuationSeparator" w:id="0">
    <w:p w14:paraId="425F3B73" w14:textId="77777777" w:rsidR="00C85B15" w:rsidRDefault="00C85B15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B2"/>
    <w:rsid w:val="00016D44"/>
    <w:rsid w:val="0001791B"/>
    <w:rsid w:val="00032B5B"/>
    <w:rsid w:val="00046A6C"/>
    <w:rsid w:val="00046D9E"/>
    <w:rsid w:val="00060BE5"/>
    <w:rsid w:val="0006474C"/>
    <w:rsid w:val="00071470"/>
    <w:rsid w:val="00090F93"/>
    <w:rsid w:val="000B12E4"/>
    <w:rsid w:val="000C5615"/>
    <w:rsid w:val="000C5ED8"/>
    <w:rsid w:val="000F2CFE"/>
    <w:rsid w:val="000F456C"/>
    <w:rsid w:val="000F6D9F"/>
    <w:rsid w:val="0010287E"/>
    <w:rsid w:val="001160F4"/>
    <w:rsid w:val="001401EE"/>
    <w:rsid w:val="00141CFC"/>
    <w:rsid w:val="0017571B"/>
    <w:rsid w:val="00176F58"/>
    <w:rsid w:val="001926F3"/>
    <w:rsid w:val="001A7D75"/>
    <w:rsid w:val="001B1F95"/>
    <w:rsid w:val="001C1AAE"/>
    <w:rsid w:val="001F0286"/>
    <w:rsid w:val="001F2A02"/>
    <w:rsid w:val="00204DFF"/>
    <w:rsid w:val="00234076"/>
    <w:rsid w:val="002432A3"/>
    <w:rsid w:val="0024670E"/>
    <w:rsid w:val="002C1781"/>
    <w:rsid w:val="002D5D87"/>
    <w:rsid w:val="002F75F1"/>
    <w:rsid w:val="003010DA"/>
    <w:rsid w:val="00314630"/>
    <w:rsid w:val="00315561"/>
    <w:rsid w:val="00340BD7"/>
    <w:rsid w:val="003425F4"/>
    <w:rsid w:val="0036061A"/>
    <w:rsid w:val="0037497A"/>
    <w:rsid w:val="00380473"/>
    <w:rsid w:val="003958CB"/>
    <w:rsid w:val="003A32E4"/>
    <w:rsid w:val="003B294E"/>
    <w:rsid w:val="003E0415"/>
    <w:rsid w:val="003E05A3"/>
    <w:rsid w:val="003F1E5B"/>
    <w:rsid w:val="00402256"/>
    <w:rsid w:val="00406B46"/>
    <w:rsid w:val="00410B0B"/>
    <w:rsid w:val="00427A7A"/>
    <w:rsid w:val="00431C39"/>
    <w:rsid w:val="0044187F"/>
    <w:rsid w:val="00443E31"/>
    <w:rsid w:val="00485486"/>
    <w:rsid w:val="0049527F"/>
    <w:rsid w:val="004A360E"/>
    <w:rsid w:val="004B0DA2"/>
    <w:rsid w:val="004C0112"/>
    <w:rsid w:val="004D5BD7"/>
    <w:rsid w:val="004D7D95"/>
    <w:rsid w:val="004E577A"/>
    <w:rsid w:val="00510051"/>
    <w:rsid w:val="0053626F"/>
    <w:rsid w:val="00561F5E"/>
    <w:rsid w:val="00563066"/>
    <w:rsid w:val="005907DF"/>
    <w:rsid w:val="005A525F"/>
    <w:rsid w:val="005B2CC6"/>
    <w:rsid w:val="005B3461"/>
    <w:rsid w:val="005C7ECF"/>
    <w:rsid w:val="005D68AF"/>
    <w:rsid w:val="005F0B2E"/>
    <w:rsid w:val="00606BCF"/>
    <w:rsid w:val="006354B4"/>
    <w:rsid w:val="00656559"/>
    <w:rsid w:val="006612F0"/>
    <w:rsid w:val="00664A15"/>
    <w:rsid w:val="00673D4F"/>
    <w:rsid w:val="006A79D7"/>
    <w:rsid w:val="006D1A9A"/>
    <w:rsid w:val="006E294C"/>
    <w:rsid w:val="006F6028"/>
    <w:rsid w:val="0070232E"/>
    <w:rsid w:val="007377F0"/>
    <w:rsid w:val="007531CA"/>
    <w:rsid w:val="0075740F"/>
    <w:rsid w:val="007706BE"/>
    <w:rsid w:val="00810874"/>
    <w:rsid w:val="0085671B"/>
    <w:rsid w:val="00861221"/>
    <w:rsid w:val="00884FD3"/>
    <w:rsid w:val="00885D49"/>
    <w:rsid w:val="00886031"/>
    <w:rsid w:val="00890375"/>
    <w:rsid w:val="00893D93"/>
    <w:rsid w:val="008A4710"/>
    <w:rsid w:val="008C0B0A"/>
    <w:rsid w:val="008C19E6"/>
    <w:rsid w:val="008C543D"/>
    <w:rsid w:val="008C6DD7"/>
    <w:rsid w:val="008F638E"/>
    <w:rsid w:val="00906B14"/>
    <w:rsid w:val="00920539"/>
    <w:rsid w:val="009414E6"/>
    <w:rsid w:val="009952EC"/>
    <w:rsid w:val="009D16C6"/>
    <w:rsid w:val="009E049C"/>
    <w:rsid w:val="009F21FB"/>
    <w:rsid w:val="00A24EBC"/>
    <w:rsid w:val="00A33628"/>
    <w:rsid w:val="00A65726"/>
    <w:rsid w:val="00A70D28"/>
    <w:rsid w:val="00A8015B"/>
    <w:rsid w:val="00A92E94"/>
    <w:rsid w:val="00AA5FB2"/>
    <w:rsid w:val="00AA7D4B"/>
    <w:rsid w:val="00AB6A3F"/>
    <w:rsid w:val="00AE4331"/>
    <w:rsid w:val="00AE7017"/>
    <w:rsid w:val="00AF3F2A"/>
    <w:rsid w:val="00B00701"/>
    <w:rsid w:val="00B3239E"/>
    <w:rsid w:val="00B36F14"/>
    <w:rsid w:val="00B51CC0"/>
    <w:rsid w:val="00B63581"/>
    <w:rsid w:val="00B84C1D"/>
    <w:rsid w:val="00B87E56"/>
    <w:rsid w:val="00B95920"/>
    <w:rsid w:val="00BA43B7"/>
    <w:rsid w:val="00BA4E8A"/>
    <w:rsid w:val="00BC0316"/>
    <w:rsid w:val="00BD0470"/>
    <w:rsid w:val="00BD3086"/>
    <w:rsid w:val="00BE36C1"/>
    <w:rsid w:val="00C4455B"/>
    <w:rsid w:val="00C468FD"/>
    <w:rsid w:val="00C56712"/>
    <w:rsid w:val="00C81981"/>
    <w:rsid w:val="00C85B15"/>
    <w:rsid w:val="00CD394D"/>
    <w:rsid w:val="00D03ECA"/>
    <w:rsid w:val="00D23F93"/>
    <w:rsid w:val="00D713AB"/>
    <w:rsid w:val="00D86425"/>
    <w:rsid w:val="00DD4EBB"/>
    <w:rsid w:val="00DE22A4"/>
    <w:rsid w:val="00DF1ED5"/>
    <w:rsid w:val="00DF4FBC"/>
    <w:rsid w:val="00E019B5"/>
    <w:rsid w:val="00E73499"/>
    <w:rsid w:val="00E95BBD"/>
    <w:rsid w:val="00EB65C8"/>
    <w:rsid w:val="00EC1C25"/>
    <w:rsid w:val="00F00DD3"/>
    <w:rsid w:val="00F05B0C"/>
    <w:rsid w:val="00F136C3"/>
    <w:rsid w:val="00F16618"/>
    <w:rsid w:val="00F219CD"/>
    <w:rsid w:val="00F51EDD"/>
    <w:rsid w:val="00F55C47"/>
    <w:rsid w:val="00F632C4"/>
    <w:rsid w:val="00F74A78"/>
    <w:rsid w:val="00F9415F"/>
    <w:rsid w:val="00FA5344"/>
    <w:rsid w:val="00FB363A"/>
    <w:rsid w:val="00FC2A73"/>
    <w:rsid w:val="00FD1B27"/>
    <w:rsid w:val="00FD711D"/>
    <w:rsid w:val="00FE0917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72</cp:revision>
  <cp:lastPrinted>2023-04-11T19:13:00Z</cp:lastPrinted>
  <dcterms:created xsi:type="dcterms:W3CDTF">2024-05-13T16:36:00Z</dcterms:created>
  <dcterms:modified xsi:type="dcterms:W3CDTF">2024-05-14T16:11:00Z</dcterms:modified>
</cp:coreProperties>
</file>