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7A0CB230"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7356868F"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FF131C" w14:paraId="3FB6829E" w14:textId="77777777" w:rsidTr="00FF131C">
        <w:trPr>
          <w:trHeight w:val="222"/>
        </w:trPr>
        <w:tc>
          <w:tcPr>
            <w:tcW w:w="14383" w:type="dxa"/>
            <w:gridSpan w:val="3"/>
          </w:tcPr>
          <w:p w14:paraId="7CC57F6D" w14:textId="3597B67C" w:rsidR="0017571B" w:rsidRPr="004C0112" w:rsidRDefault="002648C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(056</w:t>
            </w:r>
            <w:r w:rsidR="002C3913">
              <w:rPr>
                <w:rFonts w:ascii="Times New Roman" w:hAnsi="Times New Roman"/>
                <w:bCs/>
                <w:i/>
                <w:iCs/>
                <w:sz w:val="20"/>
                <w:szCs w:val="20"/>
              </w:rPr>
              <w:t>)</w:t>
            </w:r>
          </w:p>
        </w:tc>
      </w:tr>
      <w:tr w:rsidR="00FF131C" w14:paraId="56A671A4" w14:textId="77777777" w:rsidTr="00FF131C">
        <w:trPr>
          <w:trHeight w:val="222"/>
        </w:trPr>
        <w:tc>
          <w:tcPr>
            <w:tcW w:w="14383" w:type="dxa"/>
            <w:gridSpan w:val="3"/>
          </w:tcPr>
          <w:p w14:paraId="6AD05DAC" w14:textId="542738EB" w:rsidR="00141CFC" w:rsidRPr="004C0112" w:rsidRDefault="002C3913" w:rsidP="002C3913">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Michael Smith, Program Coordinator; Kerrie McDaniel, Doug McElroy, Assessment Coordinators</w:t>
            </w:r>
          </w:p>
        </w:tc>
      </w:tr>
      <w:tr w:rsidR="00FF131C" w14:paraId="53FAE6BE" w14:textId="77777777" w:rsidTr="005B3461">
        <w:trPr>
          <w:trHeight w:val="584"/>
        </w:trPr>
        <w:tc>
          <w:tcPr>
            <w:tcW w:w="4045" w:type="dxa"/>
          </w:tcPr>
          <w:p w14:paraId="611250FD" w14:textId="74E3255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6332AA">
              <w:rPr>
                <w:rFonts w:ascii="Times New Roman" w:hAnsi="Times New Roman"/>
                <w:sz w:val="22"/>
                <w:szCs w:val="22"/>
              </w:rPr>
            </w:r>
            <w:r w:rsidR="006332AA">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2C3913">
              <w:rPr>
                <w:rFonts w:ascii="Times New Roman" w:hAnsi="Times New Roman"/>
                <w:sz w:val="22"/>
                <w:szCs w:val="22"/>
              </w:rPr>
              <w:fldChar w:fldCharType="begin">
                <w:ffData>
                  <w:name w:val="Check14"/>
                  <w:enabled/>
                  <w:calcOnExit w:val="0"/>
                  <w:checkBox>
                    <w:sizeAuto/>
                    <w:default w:val="1"/>
                  </w:checkBox>
                </w:ffData>
              </w:fldChar>
            </w:r>
            <w:bookmarkStart w:id="1" w:name="Check14"/>
            <w:r w:rsidR="002C3913">
              <w:rPr>
                <w:rFonts w:ascii="Times New Roman" w:hAnsi="Times New Roman"/>
                <w:sz w:val="22"/>
                <w:szCs w:val="22"/>
              </w:rPr>
              <w:instrText xml:space="preserve"> FORMCHECKBOX </w:instrText>
            </w:r>
            <w:r w:rsidR="006332AA">
              <w:rPr>
                <w:rFonts w:ascii="Times New Roman" w:hAnsi="Times New Roman"/>
                <w:sz w:val="22"/>
                <w:szCs w:val="22"/>
              </w:rPr>
            </w:r>
            <w:r w:rsidR="006332AA">
              <w:rPr>
                <w:rFonts w:ascii="Times New Roman" w:hAnsi="Times New Roman"/>
                <w:sz w:val="22"/>
                <w:szCs w:val="22"/>
              </w:rPr>
              <w:fldChar w:fldCharType="separate"/>
            </w:r>
            <w:r w:rsidR="002C391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82C596A" w:rsidR="0006474C" w:rsidRPr="005B3461" w:rsidRDefault="0006474C" w:rsidP="002C3913">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2C3913">
              <w:rPr>
                <w:rFonts w:ascii="Times New Roman" w:hAnsi="Times New Roman"/>
                <w:sz w:val="22"/>
                <w:szCs w:val="22"/>
              </w:rPr>
              <w:fldChar w:fldCharType="begin">
                <w:ffData>
                  <w:name w:val=""/>
                  <w:enabled/>
                  <w:calcOnExit w:val="0"/>
                  <w:checkBox>
                    <w:sizeAuto/>
                    <w:default w:val="1"/>
                  </w:checkBox>
                </w:ffData>
              </w:fldChar>
            </w:r>
            <w:r w:rsidR="002C3913">
              <w:rPr>
                <w:rFonts w:ascii="Times New Roman" w:hAnsi="Times New Roman"/>
                <w:sz w:val="22"/>
                <w:szCs w:val="22"/>
              </w:rPr>
              <w:instrText xml:space="preserve"> FORMCHECKBOX </w:instrText>
            </w:r>
            <w:r w:rsidR="006332AA">
              <w:rPr>
                <w:rFonts w:ascii="Times New Roman" w:hAnsi="Times New Roman"/>
                <w:sz w:val="22"/>
                <w:szCs w:val="22"/>
              </w:rPr>
            </w:r>
            <w:r w:rsidR="006332AA">
              <w:rPr>
                <w:rFonts w:ascii="Times New Roman" w:hAnsi="Times New Roman"/>
                <w:sz w:val="22"/>
                <w:szCs w:val="22"/>
              </w:rPr>
              <w:fldChar w:fldCharType="separate"/>
            </w:r>
            <w:r w:rsidR="002C391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E78EF39"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2C3913" w:rsidRPr="000C3627">
              <w:rPr>
                <w:rFonts w:ascii="Times New Roman" w:hAnsi="Times New Roman"/>
                <w:sz w:val="20"/>
                <w:szCs w:val="20"/>
              </w:rPr>
              <w:t xml:space="preserve"> 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231673BE" w:rsidR="007706BE" w:rsidRPr="002C3913" w:rsidRDefault="002C3913" w:rsidP="002C3913">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A6067B4" w:rsidR="007706BE" w:rsidRPr="00FF3DCE" w:rsidRDefault="002C391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6332AA">
              <w:rPr>
                <w:rFonts w:ascii="Times New Roman" w:hAnsi="Times New Roman"/>
                <w:b/>
                <w:sz w:val="20"/>
                <w:szCs w:val="20"/>
              </w:rPr>
            </w:r>
            <w:r w:rsidR="006332AA">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6332AA">
              <w:rPr>
                <w:rFonts w:ascii="Times New Roman" w:hAnsi="Times New Roman"/>
                <w:b/>
                <w:sz w:val="20"/>
                <w:szCs w:val="20"/>
              </w:rPr>
            </w:r>
            <w:r w:rsidR="006332A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1CE9E66F" w:rsidR="00B3239E" w:rsidRPr="00FF3DCE" w:rsidRDefault="00FF131C" w:rsidP="002C391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2C3913"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8EF3B49" w:rsidR="00B3239E" w:rsidRPr="00FF3DCE" w:rsidRDefault="002C3913" w:rsidP="002C3913">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CITI Responsible Conduct of Research Course modules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6332AA">
              <w:rPr>
                <w:rFonts w:ascii="Times New Roman" w:hAnsi="Times New Roman"/>
                <w:b/>
                <w:sz w:val="20"/>
                <w:szCs w:val="20"/>
              </w:rPr>
            </w:r>
            <w:r w:rsidR="006332AA">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5857C875" w:rsidR="00402256" w:rsidRPr="00FF3DCE" w:rsidRDefault="002C391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6332AA">
              <w:rPr>
                <w:rFonts w:ascii="Times New Roman" w:hAnsi="Times New Roman"/>
                <w:b/>
                <w:sz w:val="20"/>
                <w:szCs w:val="20"/>
              </w:rPr>
            </w:r>
            <w:r w:rsidR="006332AA">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CE76A6C"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2C3913"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2C3913" w:rsidRPr="00964DD0" w14:paraId="310AA017" w14:textId="77777777" w:rsidTr="00B3239E">
        <w:tc>
          <w:tcPr>
            <w:tcW w:w="1435" w:type="dxa"/>
            <w:shd w:val="clear" w:color="auto" w:fill="auto"/>
            <w:tcMar>
              <w:top w:w="100" w:type="nil"/>
              <w:right w:w="100" w:type="nil"/>
            </w:tcMar>
          </w:tcPr>
          <w:p w14:paraId="483DCE38" w14:textId="77777777" w:rsidR="002C3913" w:rsidRPr="00FF3DCE" w:rsidRDefault="002C3913" w:rsidP="002C391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2C3913" w:rsidRPr="00FF3DCE" w:rsidRDefault="002C3913" w:rsidP="002C391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996BFF6" w:rsidR="002C3913" w:rsidRPr="00FF3DCE" w:rsidRDefault="002C3913" w:rsidP="002C3913">
            <w:pPr>
              <w:widowControl w:val="0"/>
              <w:autoSpaceDE w:val="0"/>
              <w:autoSpaceDN w:val="0"/>
              <w:adjustRightInd w:val="0"/>
              <w:jc w:val="center"/>
              <w:rPr>
                <w:rFonts w:ascii="Times New Roman" w:hAnsi="Times New Roman"/>
                <w:b/>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2C3913" w:rsidRPr="00964DD0" w14:paraId="2CD12D7C" w14:textId="77777777" w:rsidTr="009A663B">
        <w:tc>
          <w:tcPr>
            <w:tcW w:w="11875" w:type="dxa"/>
            <w:gridSpan w:val="2"/>
            <w:shd w:val="clear" w:color="auto" w:fill="auto"/>
            <w:tcMar>
              <w:top w:w="100" w:type="nil"/>
              <w:right w:w="100" w:type="nil"/>
            </w:tcMar>
          </w:tcPr>
          <w:p w14:paraId="1737E22A" w14:textId="0ED276B0" w:rsidR="002C3913" w:rsidRPr="00FF3DCE" w:rsidRDefault="002C3913" w:rsidP="002C391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2C3913" w:rsidRPr="00FF3DCE" w:rsidRDefault="002C3913" w:rsidP="002C391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5FFDA12" w:rsidR="002C3913" w:rsidRPr="00FF3DCE" w:rsidRDefault="002C3913" w:rsidP="002C391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6332AA">
              <w:rPr>
                <w:rFonts w:ascii="Times New Roman" w:hAnsi="Times New Roman"/>
                <w:b/>
                <w:sz w:val="20"/>
                <w:szCs w:val="20"/>
              </w:rPr>
            </w:r>
            <w:r w:rsidR="006332AA">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2C3913" w:rsidRPr="00FF3DCE" w:rsidRDefault="002C3913" w:rsidP="002C391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6332AA">
              <w:rPr>
                <w:rFonts w:ascii="Times New Roman" w:hAnsi="Times New Roman"/>
                <w:b/>
                <w:sz w:val="20"/>
                <w:szCs w:val="20"/>
              </w:rPr>
            </w:r>
            <w:r w:rsidR="006332AA">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2C3913" w:rsidRPr="00964DD0" w14:paraId="5B196B4E" w14:textId="77777777" w:rsidTr="007706BE">
        <w:tc>
          <w:tcPr>
            <w:tcW w:w="14395" w:type="dxa"/>
            <w:gridSpan w:val="4"/>
            <w:shd w:val="clear" w:color="auto" w:fill="auto"/>
            <w:tcMar>
              <w:top w:w="100" w:type="nil"/>
              <w:right w:w="100" w:type="nil"/>
            </w:tcMar>
          </w:tcPr>
          <w:p w14:paraId="72344A75" w14:textId="47B5A959" w:rsidR="002C3913" w:rsidRPr="00FF3DCE" w:rsidRDefault="002C3913" w:rsidP="002C391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2C3913" w:rsidRPr="00964DD0" w14:paraId="3FD47350" w14:textId="77777777" w:rsidTr="007706BE">
        <w:tc>
          <w:tcPr>
            <w:tcW w:w="14395" w:type="dxa"/>
            <w:gridSpan w:val="4"/>
            <w:shd w:val="clear" w:color="auto" w:fill="auto"/>
            <w:tcMar>
              <w:top w:w="100" w:type="nil"/>
              <w:right w:w="100" w:type="nil"/>
            </w:tcMar>
          </w:tcPr>
          <w:p w14:paraId="3DB6524A" w14:textId="1C08BB94" w:rsidR="002C3913" w:rsidRPr="00FF3DCE" w:rsidRDefault="002C3913" w:rsidP="002C3913">
            <w:pPr>
              <w:jc w:val="both"/>
              <w:rPr>
                <w:rFonts w:ascii="Times New Roman" w:hAnsi="Times New Roman"/>
                <w:bCs/>
                <w:sz w:val="20"/>
                <w:szCs w:val="20"/>
              </w:rPr>
            </w:pPr>
            <w:r>
              <w:rPr>
                <w:rFonts w:ascii="Times New Roman" w:hAnsi="Times New Roman"/>
                <w:sz w:val="20"/>
                <w:szCs w:val="20"/>
              </w:rPr>
              <w:t>During</w:t>
            </w:r>
            <w:r w:rsidR="00885478">
              <w:rPr>
                <w:rFonts w:ascii="Times New Roman" w:hAnsi="Times New Roman"/>
                <w:sz w:val="20"/>
                <w:szCs w:val="20"/>
              </w:rPr>
              <w:t xml:space="preserve"> 2022-23 and consistent with it</w:t>
            </w:r>
            <w:r>
              <w:rPr>
                <w:rFonts w:ascii="Times New Roman" w:hAnsi="Times New Roman"/>
                <w:sz w:val="20"/>
                <w:szCs w:val="20"/>
              </w:rPr>
              <w:t xml:space="preserve">s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and faculty (1) implemented follow-up activities identified in its 2021-22 ASL Report, and (2) collected artifacts for the next round of bi-annual assessment of all SLOs. These assessment data will be analyzed and form the basis of the 2023-24 ASL Report.</w:t>
            </w:r>
          </w:p>
          <w:p w14:paraId="0BB52837" w14:textId="3169AA48" w:rsidR="002C3913" w:rsidRPr="00FF3DCE" w:rsidRDefault="002C3913" w:rsidP="002C3913">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6107156" w:rsidR="001160F4" w:rsidRPr="003A32E4" w:rsidRDefault="002C3913" w:rsidP="003A32E4">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05C4300" w14:textId="77777777" w:rsidR="002C3913" w:rsidRDefault="002C3913" w:rsidP="002C391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6E830CA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3489183F" w14:textId="77777777" w:rsidR="002C3913" w:rsidRDefault="002C3913" w:rsidP="002C3913">
            <w:pPr>
              <w:widowControl w:val="0"/>
              <w:autoSpaceDE w:val="0"/>
              <w:autoSpaceDN w:val="0"/>
              <w:adjustRightInd w:val="0"/>
              <w:rPr>
                <w:rFonts w:ascii="Times New Roman" w:hAnsi="Times New Roman"/>
                <w:sz w:val="20"/>
                <w:szCs w:val="20"/>
              </w:rPr>
            </w:pPr>
          </w:p>
          <w:p w14:paraId="0A73E5F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1B499CE8" w14:textId="77777777" w:rsidR="002C3913" w:rsidRDefault="002C3913" w:rsidP="002C3913">
            <w:pPr>
              <w:widowControl w:val="0"/>
              <w:autoSpaceDE w:val="0"/>
              <w:autoSpaceDN w:val="0"/>
              <w:adjustRightInd w:val="0"/>
              <w:rPr>
                <w:rFonts w:ascii="Times New Roman" w:hAnsi="Times New Roman"/>
                <w:sz w:val="20"/>
                <w:szCs w:val="20"/>
              </w:rPr>
            </w:pPr>
          </w:p>
          <w:p w14:paraId="5D079BF4" w14:textId="77777777" w:rsidR="00885478" w:rsidRDefault="00885478" w:rsidP="00885478">
            <w:pPr>
              <w:widowControl w:val="0"/>
              <w:autoSpaceDE w:val="0"/>
              <w:autoSpaceDN w:val="0"/>
              <w:adjustRightInd w:val="0"/>
              <w:rPr>
                <w:rFonts w:ascii="Times New Roman" w:hAnsi="Times New Roman"/>
                <w:sz w:val="20"/>
                <w:szCs w:val="20"/>
              </w:rPr>
            </w:pPr>
            <w:r>
              <w:rPr>
                <w:rFonts w:ascii="Times New Roman" w:hAnsi="Times New Roman"/>
                <w:sz w:val="20"/>
                <w:szCs w:val="20"/>
              </w:rPr>
              <w:t>The exam is given either electronically or in-person as part of BIOL 500, our required program course that is taken by students during their first semester at WKU. This is an appropriate time to deliver this assessment, as performance on the assessment exam is used by the program and a student’s graduate advisor as a basis for determining the extent and nature of any remedial coursework that will be required in order for a student to complete the program, as well as design the student’s Program of Study.</w:t>
            </w:r>
          </w:p>
          <w:p w14:paraId="07F6CB77" w14:textId="77777777" w:rsidR="00885478" w:rsidRDefault="00885478" w:rsidP="002C3913">
            <w:pPr>
              <w:widowControl w:val="0"/>
              <w:autoSpaceDE w:val="0"/>
              <w:autoSpaceDN w:val="0"/>
              <w:adjustRightInd w:val="0"/>
              <w:rPr>
                <w:rFonts w:ascii="Times New Roman" w:hAnsi="Times New Roman"/>
                <w:sz w:val="20"/>
                <w:szCs w:val="20"/>
              </w:rPr>
            </w:pPr>
          </w:p>
          <w:p w14:paraId="092050DC" w14:textId="6AA93162"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2022-23, the assessment exam was expanded to include a 9-question module addressing topics </w:t>
            </w:r>
            <w:r w:rsidR="00E86098">
              <w:rPr>
                <w:rFonts w:ascii="Times New Roman" w:hAnsi="Times New Roman"/>
                <w:sz w:val="20"/>
                <w:szCs w:val="20"/>
              </w:rPr>
              <w:t>related to molecular biotechnology, immunology, and microbiology.</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E10E2A2" w14:textId="77777777" w:rsidR="002648CE" w:rsidRDefault="002648CE" w:rsidP="002648CE">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score at least 60% or higher, with the score on Introductory and Developing level items at least 60%.</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53204E0" w:rsidR="00C4455B" w:rsidRPr="00406B46" w:rsidRDefault="00E86098" w:rsidP="00A8015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0488388" w14:textId="36829C40" w:rsidR="00E86098" w:rsidRDefault="00E86098" w:rsidP="00E86098">
            <w:pPr>
              <w:widowControl w:val="0"/>
              <w:autoSpaceDE w:val="0"/>
              <w:autoSpaceDN w:val="0"/>
              <w:adjustRightInd w:val="0"/>
              <w:rPr>
                <w:rFonts w:ascii="Times New Roman" w:hAnsi="Times New Roman"/>
                <w:sz w:val="20"/>
                <w:szCs w:val="20"/>
              </w:rPr>
            </w:pPr>
            <w:r>
              <w:rPr>
                <w:rFonts w:ascii="Times New Roman" w:hAnsi="Times New Roman"/>
                <w:sz w:val="20"/>
                <w:szCs w:val="20"/>
              </w:rPr>
              <w:t>N/A – this was not an assessment year</w:t>
            </w:r>
          </w:p>
          <w:p w14:paraId="7AE2DC42" w14:textId="4AF1E0A3" w:rsidR="00C4455B" w:rsidRPr="0075740F" w:rsidRDefault="00C4455B" w:rsidP="00406B4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6D37622" w14:textId="5A65676C" w:rsidR="00C4455B" w:rsidRDefault="00E86098" w:rsidP="00406B46">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E4DD15C" w:rsidR="00402256" w:rsidRPr="003A32E4" w:rsidRDefault="00E8609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6332AA">
              <w:rPr>
                <w:rFonts w:ascii="Times New Roman" w:hAnsi="Times New Roman"/>
                <w:b/>
                <w:sz w:val="22"/>
                <w:szCs w:val="22"/>
              </w:rPr>
            </w:r>
            <w:r w:rsidR="006332AA">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6332AA">
              <w:rPr>
                <w:rFonts w:ascii="Times New Roman" w:hAnsi="Times New Roman"/>
                <w:b/>
                <w:sz w:val="22"/>
                <w:szCs w:val="22"/>
              </w:rPr>
            </w:r>
            <w:r w:rsidR="006332AA">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4451C2AB" w14:textId="6926FD05" w:rsidR="00E86098" w:rsidRDefault="00E86098" w:rsidP="00E86098">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xml:space="preserve">: In the 2021-22 ASL Report, the program developed and implement an additional 9-question module within the assessment exam to focus on topics related to molecular biotechnology, immunology and microbiology, and clinical applications; this module addressed deficiencies in coverage identified during analysis of 2020-21 assessment data. </w:t>
            </w:r>
          </w:p>
          <w:p w14:paraId="6A343111" w14:textId="77777777" w:rsidR="00E86098" w:rsidRDefault="00E86098" w:rsidP="00E86098">
            <w:pPr>
              <w:rPr>
                <w:rFonts w:ascii="Times New Roman" w:hAnsi="Times New Roman"/>
                <w:sz w:val="20"/>
                <w:szCs w:val="20"/>
              </w:rPr>
            </w:pPr>
          </w:p>
          <w:p w14:paraId="615E7087" w14:textId="426344E1" w:rsidR="00E86098" w:rsidRDefault="00E86098" w:rsidP="00E86098">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xml:space="preserve">: This activity was completed. These new questions were included in the Fall 2022 and Spring 2023 </w:t>
            </w:r>
            <w:r w:rsidR="00E14865">
              <w:rPr>
                <w:rFonts w:ascii="Times New Roman" w:hAnsi="Times New Roman"/>
                <w:sz w:val="20"/>
                <w:szCs w:val="20"/>
              </w:rPr>
              <w:t>adminsitrations of the assessment, and will be analyzed as part of the 2023-24 ASL Report.</w:t>
            </w:r>
          </w:p>
          <w:p w14:paraId="4F5D11FF" w14:textId="77777777" w:rsidR="00E14865" w:rsidRDefault="00E14865" w:rsidP="00E86098">
            <w:pPr>
              <w:rPr>
                <w:rFonts w:ascii="Times New Roman" w:hAnsi="Times New Roman"/>
                <w:sz w:val="20"/>
                <w:szCs w:val="20"/>
              </w:rPr>
            </w:pPr>
          </w:p>
          <w:p w14:paraId="4737F125" w14:textId="482AF893" w:rsidR="00E14865" w:rsidRDefault="00E14865" w:rsidP="00E86098">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p>
          <w:p w14:paraId="2B3811B9" w14:textId="78B18B91" w:rsidR="00510051" w:rsidRPr="0054609C" w:rsidRDefault="00510051" w:rsidP="00E14865">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E14865"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E14865" w:rsidRPr="00EB65C8" w:rsidRDefault="00E14865" w:rsidP="00E1486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6C10450" w:rsidR="00E14865" w:rsidRPr="003A32E4" w:rsidRDefault="00E14865" w:rsidP="00E14865">
            <w:pPr>
              <w:widowControl w:val="0"/>
              <w:autoSpaceDE w:val="0"/>
              <w:autoSpaceDN w:val="0"/>
              <w:adjustRightInd w:val="0"/>
              <w:rPr>
                <w:rFonts w:ascii="Times New Roman" w:hAnsi="Times New Roman"/>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E14865"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E14865" w:rsidRPr="005D68AF" w:rsidRDefault="00E14865" w:rsidP="00E1486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73B790" w14:textId="77777777"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F55C110"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The Collaborative Institutional Training Initiative (CITI) is a web-based ethics training course for responsible conduct in research that has been adopted by the WKU IRB, IACUC, and IBS Committees as a prerequisite certification to be attained by any investigator seeking approval for a research project through one or more of these committees. All PIs, Co-PIs, and Faculty Sponsors are required to complete CITI RCR training and receive certification (based on a minimum score of 80%) across all course training modules. These module educate and evaluate researchers on up-to-date issues and standards of research ethics, research integrity, and researcher conduct.</w:t>
            </w:r>
          </w:p>
          <w:p w14:paraId="27DC7408" w14:textId="77777777" w:rsidR="00E14865" w:rsidRDefault="00E14865" w:rsidP="00E14865">
            <w:pPr>
              <w:widowControl w:val="0"/>
              <w:autoSpaceDE w:val="0"/>
              <w:autoSpaceDN w:val="0"/>
              <w:adjustRightInd w:val="0"/>
              <w:rPr>
                <w:rFonts w:ascii="Times New Roman" w:hAnsi="Times New Roman"/>
                <w:sz w:val="20"/>
                <w:szCs w:val="20"/>
              </w:rPr>
            </w:pPr>
          </w:p>
          <w:p w14:paraId="4F5C2774"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 RCR Course used to assess this SLO consists of 7 individual modules: (1) Research Misconduct; (2) Data Management; (3) Authorship; (4) Peer Review; (5) Mentoring; (6) Conflicts of Interest; and (7) Collaborative Research. Within each module, participants review a multimedia presentation and several seminal articles related to the topic. At the end, participants demonstrate competency through a five-question multiple choice test, with test items randomly drawn from a larger question pool.</w:t>
            </w:r>
          </w:p>
          <w:p w14:paraId="1D627119" w14:textId="77777777" w:rsidR="00E14865" w:rsidRDefault="00E14865" w:rsidP="00E14865">
            <w:pPr>
              <w:widowControl w:val="0"/>
              <w:autoSpaceDE w:val="0"/>
              <w:autoSpaceDN w:val="0"/>
              <w:adjustRightInd w:val="0"/>
              <w:rPr>
                <w:rFonts w:ascii="Times New Roman" w:hAnsi="Times New Roman"/>
                <w:sz w:val="20"/>
                <w:szCs w:val="20"/>
              </w:rPr>
            </w:pPr>
          </w:p>
          <w:p w14:paraId="067BF813" w14:textId="77777777" w:rsidR="00885478" w:rsidRDefault="00885478" w:rsidP="0088547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w:t>
            </w:r>
            <w:r w:rsidRPr="001070DE">
              <w:rPr>
                <w:rFonts w:ascii="Times New Roman" w:hAnsi="Times New Roman"/>
                <w:sz w:val="20"/>
                <w:szCs w:val="20"/>
              </w:rPr>
              <w:t xml:space="preserve">in BIOL 500, our required </w:t>
            </w:r>
            <w:r>
              <w:rPr>
                <w:rFonts w:ascii="Times New Roman" w:hAnsi="Times New Roman"/>
                <w:sz w:val="20"/>
                <w:szCs w:val="20"/>
              </w:rPr>
              <w:t xml:space="preserve">Introduction to Graduate Studies </w:t>
            </w:r>
            <w:r w:rsidRPr="001070DE">
              <w:rPr>
                <w:rFonts w:ascii="Times New Roman" w:hAnsi="Times New Roman"/>
                <w:sz w:val="20"/>
                <w:szCs w:val="20"/>
              </w:rPr>
              <w:t>course that is taken by students during their first semester at WKU. This is an appropriate time to deliver this assessment</w:t>
            </w:r>
            <w:r>
              <w:rPr>
                <w:rFonts w:ascii="Times New Roman" w:hAnsi="Times New Roman"/>
                <w:sz w:val="20"/>
                <w:szCs w:val="20"/>
              </w:rPr>
              <w:t>, as students are preparing to initiate a thesis research or investigatory project as part of their Program of Study</w:t>
            </w:r>
            <w:r w:rsidRPr="001070DE">
              <w:rPr>
                <w:rFonts w:ascii="Times New Roman" w:hAnsi="Times New Roman"/>
                <w:sz w:val="20"/>
                <w:szCs w:val="20"/>
              </w:rPr>
              <w:t xml:space="preserve">. Students </w:t>
            </w:r>
            <w:r>
              <w:rPr>
                <w:rFonts w:ascii="Times New Roman" w:hAnsi="Times New Roman"/>
                <w:sz w:val="20"/>
                <w:szCs w:val="20"/>
              </w:rPr>
              <w:t>are required to submit (1) a Completion Certificate indicating that they have attained a minimum score of 80% across all course modules, and (2) individual module scores (percentage of questions answered correctly) from their first attempt.</w:t>
            </w:r>
          </w:p>
          <w:p w14:paraId="0194078B" w14:textId="05CF248B" w:rsidR="00E14865" w:rsidRPr="005D68AF" w:rsidRDefault="00E14865" w:rsidP="00E14865">
            <w:pPr>
              <w:widowControl w:val="0"/>
              <w:autoSpaceDE w:val="0"/>
              <w:autoSpaceDN w:val="0"/>
              <w:adjustRightInd w:val="0"/>
              <w:rPr>
                <w:rFonts w:ascii="Times New Roman" w:hAnsi="Times New Roman"/>
                <w:b/>
                <w:bCs/>
                <w:sz w:val="20"/>
                <w:szCs w:val="20"/>
              </w:rPr>
            </w:pPr>
          </w:p>
        </w:tc>
      </w:tr>
      <w:tr w:rsidR="00E14865"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E14865" w:rsidRPr="001160F4" w:rsidRDefault="00E14865" w:rsidP="00E1486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CC917A3" w14:textId="77777777" w:rsidR="002648CE" w:rsidRPr="001070DE" w:rsidRDefault="002648CE" w:rsidP="002648CE">
            <w:pPr>
              <w:widowControl w:val="0"/>
              <w:autoSpaceDE w:val="0"/>
              <w:autoSpaceDN w:val="0"/>
              <w:adjustRightInd w:val="0"/>
              <w:rPr>
                <w:rFonts w:ascii="Times New Roman" w:hAnsi="Times New Roman"/>
                <w:sz w:val="20"/>
                <w:szCs w:val="20"/>
              </w:rPr>
            </w:pPr>
            <w:r w:rsidRPr="001070DE">
              <w:rPr>
                <w:rFonts w:ascii="Times New Roman" w:hAnsi="Times New Roman"/>
                <w:sz w:val="20"/>
                <w:szCs w:val="20"/>
              </w:rPr>
              <w:t>Students will attain the required minimum score for certification, with at least 60% correct answers on each module from their first attempt, including 80% or higher on at least 4 of the 7 modules.</w:t>
            </w:r>
          </w:p>
          <w:p w14:paraId="306F016A" w14:textId="74CD76D4" w:rsidR="00E14865" w:rsidRPr="00F136C3" w:rsidRDefault="00E14865" w:rsidP="00E14865">
            <w:pPr>
              <w:widowControl w:val="0"/>
              <w:autoSpaceDE w:val="0"/>
              <w:autoSpaceDN w:val="0"/>
              <w:adjustRightInd w:val="0"/>
              <w:rPr>
                <w:rFonts w:ascii="Times New Roman" w:hAnsi="Times New Roman"/>
                <w:color w:val="767171" w:themeColor="background2" w:themeShade="80"/>
                <w:sz w:val="20"/>
                <w:szCs w:val="20"/>
              </w:rPr>
            </w:pPr>
          </w:p>
        </w:tc>
      </w:tr>
      <w:tr w:rsidR="00E1486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E14865" w:rsidRDefault="00E14865" w:rsidP="00E1486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E14865" w:rsidRDefault="00E14865" w:rsidP="00E14865">
            <w:pPr>
              <w:widowControl w:val="0"/>
              <w:autoSpaceDE w:val="0"/>
              <w:autoSpaceDN w:val="0"/>
              <w:adjustRightInd w:val="0"/>
              <w:rPr>
                <w:rFonts w:ascii="Times New Roman" w:hAnsi="Times New Roman"/>
                <w:sz w:val="20"/>
                <w:szCs w:val="20"/>
              </w:rPr>
            </w:pPr>
          </w:p>
          <w:p w14:paraId="73BCDD76" w14:textId="77777777" w:rsidR="00E14865" w:rsidRPr="00964DD0" w:rsidRDefault="00E14865" w:rsidP="00E1486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80FC91D" w:rsidR="00E14865" w:rsidRPr="00964DD0" w:rsidRDefault="00E14865" w:rsidP="00E1486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2151992" w14:textId="77777777" w:rsidR="00E14865" w:rsidRPr="00C4455B" w:rsidRDefault="00E14865" w:rsidP="00E1486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116CD4F" w:rsidR="00E14865" w:rsidRPr="0075740F" w:rsidRDefault="00E14865" w:rsidP="00E14865">
            <w:pPr>
              <w:widowControl w:val="0"/>
              <w:autoSpaceDE w:val="0"/>
              <w:autoSpaceDN w:val="0"/>
              <w:adjustRightInd w:val="0"/>
              <w:rPr>
                <w:rFonts w:ascii="Times New Roman" w:hAnsi="Times New Roman"/>
                <w:color w:val="767171" w:themeColor="background2" w:themeShade="80"/>
                <w:sz w:val="20"/>
                <w:szCs w:val="20"/>
              </w:rPr>
            </w:pPr>
            <w:r w:rsidRPr="00E14865">
              <w:rPr>
                <w:rFonts w:ascii="Times New Roman" w:hAnsi="Times New Roman"/>
                <w:sz w:val="20"/>
                <w:szCs w:val="20"/>
              </w:rPr>
              <w:t>N/A – this was not an assessment year</w:t>
            </w:r>
          </w:p>
        </w:tc>
      </w:tr>
      <w:tr w:rsidR="00E1486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E14865" w:rsidRPr="00EB65C8"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8097B5E" w14:textId="77777777" w:rsidR="00E14865" w:rsidRDefault="00E14865" w:rsidP="00E14865">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70E861C6" w14:textId="72940D98" w:rsidR="00E14865" w:rsidRPr="00964DD0" w:rsidRDefault="00E14865" w:rsidP="00E14865">
            <w:pPr>
              <w:widowControl w:val="0"/>
              <w:autoSpaceDE w:val="0"/>
              <w:autoSpaceDN w:val="0"/>
              <w:adjustRightInd w:val="0"/>
              <w:rPr>
                <w:rFonts w:ascii="Times New Roman" w:hAnsi="Times New Roman"/>
                <w:sz w:val="20"/>
                <w:szCs w:val="20"/>
              </w:rPr>
            </w:pPr>
          </w:p>
        </w:tc>
      </w:tr>
      <w:tr w:rsidR="00E1486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14865" w:rsidRPr="003A32E4" w:rsidRDefault="00E14865" w:rsidP="00E1486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6332AA">
              <w:rPr>
                <w:rFonts w:ascii="Times New Roman" w:hAnsi="Times New Roman"/>
                <w:b/>
                <w:sz w:val="22"/>
                <w:szCs w:val="22"/>
              </w:rPr>
            </w:r>
            <w:r w:rsidR="006332AA">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3D239300"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6332AA">
              <w:rPr>
                <w:rFonts w:ascii="Times New Roman" w:hAnsi="Times New Roman"/>
                <w:b/>
                <w:sz w:val="22"/>
                <w:szCs w:val="22"/>
              </w:rPr>
            </w:r>
            <w:r w:rsidR="006332AA">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E14865" w:rsidRPr="00964DD0" w14:paraId="0D3445A0" w14:textId="77777777" w:rsidTr="00060BE5">
        <w:tc>
          <w:tcPr>
            <w:tcW w:w="14395" w:type="dxa"/>
            <w:gridSpan w:val="6"/>
            <w:shd w:val="clear" w:color="auto" w:fill="auto"/>
            <w:tcMar>
              <w:top w:w="100" w:type="nil"/>
              <w:right w:w="100" w:type="nil"/>
            </w:tcMar>
          </w:tcPr>
          <w:p w14:paraId="00566383" w14:textId="2DE228EF" w:rsidR="00E14865" w:rsidRPr="0054609C" w:rsidRDefault="00E14865" w:rsidP="00E1486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14865" w:rsidRPr="00964DD0" w14:paraId="5A144F00" w14:textId="77777777" w:rsidTr="00060BE5">
        <w:trPr>
          <w:trHeight w:val="1340"/>
        </w:trPr>
        <w:tc>
          <w:tcPr>
            <w:tcW w:w="14395" w:type="dxa"/>
            <w:gridSpan w:val="6"/>
            <w:shd w:val="clear" w:color="auto" w:fill="auto"/>
            <w:tcMar>
              <w:top w:w="100" w:type="nil"/>
              <w:right w:w="100" w:type="nil"/>
            </w:tcMar>
          </w:tcPr>
          <w:p w14:paraId="725278CC" w14:textId="42715C18" w:rsidR="00E14865" w:rsidRDefault="00E14865" w:rsidP="00E14865">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xml:space="preserve">: In the 2021-22 ASL Report, the program </w:t>
            </w:r>
            <w:r w:rsidR="002648CE">
              <w:rPr>
                <w:rFonts w:ascii="Times New Roman" w:hAnsi="Times New Roman"/>
                <w:sz w:val="20"/>
                <w:szCs w:val="20"/>
              </w:rPr>
              <w:t>committed to integrate and r</w:t>
            </w:r>
            <w:r w:rsidR="002648CE" w:rsidRPr="00DA3037">
              <w:rPr>
                <w:rFonts w:ascii="Times New Roman" w:hAnsi="Times New Roman"/>
                <w:sz w:val="20"/>
                <w:szCs w:val="20"/>
              </w:rPr>
              <w:t xml:space="preserve">equire all students in BIOL </w:t>
            </w:r>
            <w:r w:rsidR="002648CE">
              <w:rPr>
                <w:rFonts w:ascii="Times New Roman" w:hAnsi="Times New Roman"/>
                <w:sz w:val="20"/>
                <w:szCs w:val="20"/>
              </w:rPr>
              <w:t>500</w:t>
            </w:r>
            <w:r w:rsidR="002648CE" w:rsidRPr="00DA3037">
              <w:rPr>
                <w:rFonts w:ascii="Times New Roman" w:hAnsi="Times New Roman"/>
                <w:sz w:val="20"/>
                <w:szCs w:val="20"/>
              </w:rPr>
              <w:t xml:space="preserve"> to complete the (1) Investigators, Staff, and Students Basic Course, and (2) Physical Sciences Responsible Conduct of Research Course</w:t>
            </w:r>
            <w:r w:rsidR="002648CE">
              <w:rPr>
                <w:rFonts w:ascii="Times New Roman" w:hAnsi="Times New Roman"/>
                <w:sz w:val="20"/>
                <w:szCs w:val="20"/>
              </w:rPr>
              <w:t xml:space="preserve">, (3) </w:t>
            </w:r>
            <w:r w:rsidR="002648CE" w:rsidRPr="00DA3037">
              <w:rPr>
                <w:rFonts w:ascii="Times New Roman" w:hAnsi="Times New Roman"/>
                <w:sz w:val="20"/>
                <w:szCs w:val="20"/>
              </w:rPr>
              <w:t>Basic Biosafety Course</w:t>
            </w:r>
            <w:r w:rsidR="002648CE">
              <w:rPr>
                <w:rFonts w:ascii="Times New Roman" w:hAnsi="Times New Roman"/>
                <w:sz w:val="20"/>
                <w:szCs w:val="20"/>
              </w:rPr>
              <w:t xml:space="preserve">, and (4) one other </w:t>
            </w:r>
            <w:r w:rsidR="002648CE" w:rsidRPr="00DA3037">
              <w:rPr>
                <w:rFonts w:ascii="Times New Roman" w:hAnsi="Times New Roman"/>
                <w:sz w:val="20"/>
                <w:szCs w:val="20"/>
              </w:rPr>
              <w:t>CITI course</w:t>
            </w:r>
            <w:r w:rsidR="002648CE">
              <w:rPr>
                <w:rFonts w:ascii="Times New Roman" w:hAnsi="Times New Roman"/>
                <w:sz w:val="20"/>
                <w:szCs w:val="20"/>
              </w:rPr>
              <w:t xml:space="preserve"> appropriate to their program of study</w:t>
            </w:r>
            <w:r w:rsidR="002648CE" w:rsidRPr="00DA3037">
              <w:rPr>
                <w:rFonts w:ascii="Times New Roman" w:hAnsi="Times New Roman"/>
                <w:sz w:val="20"/>
                <w:szCs w:val="20"/>
              </w:rPr>
              <w:t xml:space="preserve">. </w:t>
            </w:r>
          </w:p>
          <w:p w14:paraId="11E6CCBA" w14:textId="77777777" w:rsidR="002648CE" w:rsidRDefault="002648CE" w:rsidP="00E14865">
            <w:pPr>
              <w:rPr>
                <w:rFonts w:ascii="Times New Roman" w:hAnsi="Times New Roman"/>
                <w:sz w:val="20"/>
                <w:szCs w:val="20"/>
              </w:rPr>
            </w:pPr>
          </w:p>
          <w:p w14:paraId="60F11F72" w14:textId="2079BC23" w:rsidR="00E14865" w:rsidRDefault="00E14865" w:rsidP="00E14865">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xml:space="preserve">: This plan was approved by the program faculty, and is in the process of being implemented. Our intent is to integrate these additional modules </w:t>
            </w:r>
            <w:r w:rsidR="002648CE">
              <w:rPr>
                <w:rFonts w:ascii="Times New Roman" w:hAnsi="Times New Roman"/>
                <w:sz w:val="20"/>
                <w:szCs w:val="20"/>
              </w:rPr>
              <w:t xml:space="preserve">beginning with the </w:t>
            </w:r>
            <w:r>
              <w:rPr>
                <w:rFonts w:ascii="Times New Roman" w:hAnsi="Times New Roman"/>
                <w:sz w:val="20"/>
                <w:szCs w:val="20"/>
              </w:rPr>
              <w:t>Fall 2023 entering cohort.</w:t>
            </w:r>
          </w:p>
          <w:p w14:paraId="1D5043A4" w14:textId="77777777" w:rsidR="00E14865" w:rsidRDefault="00E14865" w:rsidP="00E14865">
            <w:pPr>
              <w:rPr>
                <w:rFonts w:ascii="Times New Roman" w:hAnsi="Times New Roman"/>
                <w:sz w:val="20"/>
                <w:szCs w:val="20"/>
              </w:rPr>
            </w:pPr>
          </w:p>
          <w:p w14:paraId="2B3F9B48" w14:textId="77777777" w:rsidR="00E14865" w:rsidRDefault="00E14865" w:rsidP="00E14865">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p>
          <w:p w14:paraId="295FC4F9" w14:textId="18CB29D7" w:rsidR="00E14865" w:rsidRPr="0054609C" w:rsidRDefault="00E14865" w:rsidP="00E14865">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E14865"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E14865" w:rsidRPr="00EB65C8" w:rsidRDefault="00E14865" w:rsidP="00E1486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E39A220" w:rsidR="00E14865" w:rsidRPr="003A32E4" w:rsidRDefault="00E14865" w:rsidP="00E14865">
            <w:pPr>
              <w:widowControl w:val="0"/>
              <w:autoSpaceDE w:val="0"/>
              <w:autoSpaceDN w:val="0"/>
              <w:adjustRightInd w:val="0"/>
              <w:rPr>
                <w:rFonts w:ascii="Times New Roman" w:hAnsi="Times New Roman"/>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E14865"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E14865" w:rsidRPr="005D68AF" w:rsidRDefault="00E14865" w:rsidP="00E1486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2C16CDF" w14:textId="77777777" w:rsidR="00E14865" w:rsidRDefault="00E14865" w:rsidP="00E14865">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215B5D1C" w14:textId="77777777" w:rsidR="00885478" w:rsidRDefault="00885478" w:rsidP="00885478">
            <w:pPr>
              <w:widowControl w:val="0"/>
              <w:autoSpaceDE w:val="0"/>
              <w:autoSpaceDN w:val="0"/>
              <w:adjustRightInd w:val="0"/>
              <w:rPr>
                <w:rFonts w:ascii="Times New Roman" w:hAnsi="Times New Roman"/>
                <w:bCs/>
                <w:sz w:val="20"/>
                <w:szCs w:val="20"/>
              </w:rPr>
            </w:pPr>
            <w:r w:rsidRPr="00D73E5B">
              <w:rPr>
                <w:rFonts w:ascii="Times New Roman" w:hAnsi="Times New Roman"/>
                <w:bCs/>
                <w:sz w:val="20"/>
                <w:szCs w:val="20"/>
              </w:rPr>
              <w:t xml:space="preserve">All students in the program are required to complete a process-based project, culminating in either a master’s thesis (BIOL 599) or a product of independant investigation (BIOL l516), in which application of part or all of the scientific process to address a relevant question in biology. Both </w:t>
            </w:r>
            <w:r>
              <w:rPr>
                <w:rFonts w:ascii="Times New Roman" w:hAnsi="Times New Roman"/>
                <w:bCs/>
                <w:sz w:val="20"/>
                <w:szCs w:val="20"/>
              </w:rPr>
              <w:t xml:space="preserve">of these experiences yield artifacts – such as evidence and argument papers, research presentations or posters, honors CE/T projects, or manuscripts – that allow for assessment of this SLO. Students are required to submit the artifact as part of their BIOL 599 (thesis) or BIOL 516 (non-thesis) course. </w:t>
            </w:r>
          </w:p>
          <w:p w14:paraId="71CB1297" w14:textId="77777777" w:rsidR="00E14865" w:rsidRDefault="00E14865" w:rsidP="00E14865">
            <w:pPr>
              <w:widowControl w:val="0"/>
              <w:autoSpaceDE w:val="0"/>
              <w:autoSpaceDN w:val="0"/>
              <w:adjustRightInd w:val="0"/>
              <w:rPr>
                <w:rFonts w:ascii="Times New Roman" w:hAnsi="Times New Roman"/>
                <w:bCs/>
                <w:sz w:val="20"/>
                <w:szCs w:val="20"/>
              </w:rPr>
            </w:pPr>
          </w:p>
          <w:p w14:paraId="62648104" w14:textId="70AD0733" w:rsidR="00885478" w:rsidRDefault="00885478" w:rsidP="00885478">
            <w:pPr>
              <w:widowControl w:val="0"/>
              <w:autoSpaceDE w:val="0"/>
              <w:autoSpaceDN w:val="0"/>
              <w:adjustRightInd w:val="0"/>
              <w:rPr>
                <w:rFonts w:ascii="Times New Roman" w:hAnsi="Times New Roman"/>
                <w:sz w:val="20"/>
                <w:szCs w:val="20"/>
              </w:rPr>
            </w:pPr>
            <w:r>
              <w:rPr>
                <w:rFonts w:ascii="Times New Roman" w:hAnsi="Times New Roman"/>
                <w:bCs/>
                <w:sz w:val="20"/>
                <w:szCs w:val="20"/>
              </w:rPr>
              <w:t>Thesis a</w:t>
            </w:r>
            <w:r>
              <w:rPr>
                <w:rFonts w:ascii="Times New Roman" w:hAnsi="Times New Roman"/>
                <w:bCs/>
                <w:sz w:val="20"/>
                <w:szCs w:val="20"/>
              </w:rPr>
              <w:t>rtifacts are assessed by the student’s major advisor and/or graduate committee</w:t>
            </w:r>
            <w:r w:rsidRPr="00CC13E2">
              <w:rPr>
                <w:rFonts w:ascii="Times New Roman" w:hAnsi="Times New Roman"/>
                <w:bCs/>
                <w:sz w:val="20"/>
                <w:szCs w:val="20"/>
              </w:rPr>
              <w:t xml:space="preserve">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 rubric. </w:t>
            </w:r>
            <w:r>
              <w:rPr>
                <w:rFonts w:ascii="Times New Roman" w:hAnsi="Times New Roman"/>
                <w:bCs/>
                <w:sz w:val="20"/>
                <w:szCs w:val="20"/>
              </w:rPr>
              <w:t xml:space="preserve">BIOL 516 projects are assessed by 2-person faculty teams using the same rubric. </w:t>
            </w:r>
            <w:bookmarkStart w:id="12" w:name="_GoBack"/>
            <w:bookmarkEnd w:id="12"/>
            <w:r>
              <w:rPr>
                <w:rFonts w:ascii="Times New Roman" w:hAnsi="Times New Roman"/>
                <w:bCs/>
                <w:sz w:val="20"/>
                <w:szCs w:val="20"/>
              </w:rPr>
              <w:t xml:space="preserve">Faculty </w:t>
            </w:r>
            <w:r w:rsidRPr="00CC13E2">
              <w:rPr>
                <w:rFonts w:ascii="Times New Roman" w:hAnsi="Times New Roman"/>
                <w:bCs/>
                <w:sz w:val="20"/>
                <w:szCs w:val="20"/>
              </w:rPr>
              <w:t xml:space="preserve">independently assess each artifacts they are assigned; when faculty ratings differ by more than 25% </w:t>
            </w:r>
            <w:r w:rsidRPr="00CC13E2">
              <w:rPr>
                <w:rFonts w:ascii="Times New Roman" w:hAnsi="Times New Roman"/>
                <w:sz w:val="20"/>
                <w:szCs w:val="20"/>
              </w:rPr>
              <w:t xml:space="preserve">across all rubric elements, artifacts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Pr>
                <w:rFonts w:ascii="Times New Roman" w:hAnsi="Times New Roman"/>
                <w:sz w:val="20"/>
                <w:szCs w:val="20"/>
              </w:rPr>
              <w:t>. The Inquiry and Analysis rubric is attached to this report.</w:t>
            </w:r>
          </w:p>
          <w:p w14:paraId="25A05106" w14:textId="340DA05C" w:rsidR="00E14865" w:rsidRPr="005D68AF" w:rsidRDefault="00E14865" w:rsidP="00E14865">
            <w:pPr>
              <w:widowControl w:val="0"/>
              <w:autoSpaceDE w:val="0"/>
              <w:autoSpaceDN w:val="0"/>
              <w:adjustRightInd w:val="0"/>
              <w:rPr>
                <w:rFonts w:ascii="Times New Roman" w:hAnsi="Times New Roman"/>
                <w:b/>
                <w:bCs/>
                <w:sz w:val="20"/>
                <w:szCs w:val="20"/>
              </w:rPr>
            </w:pPr>
          </w:p>
        </w:tc>
      </w:tr>
      <w:tr w:rsidR="00E14865"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E14865" w:rsidRPr="001160F4" w:rsidRDefault="00E14865" w:rsidP="00E1486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7334F74" w14:textId="77777777" w:rsidR="002648CE" w:rsidRDefault="002648CE" w:rsidP="002648CE">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receive an rating of 3.0 or higher across all rubric elements, with no rubric element below 3 (out of 4).</w:t>
            </w:r>
          </w:p>
          <w:p w14:paraId="1920E781" w14:textId="77777777" w:rsidR="00E14865" w:rsidRPr="00F136C3" w:rsidRDefault="00E14865" w:rsidP="00E14865">
            <w:pPr>
              <w:widowControl w:val="0"/>
              <w:autoSpaceDE w:val="0"/>
              <w:autoSpaceDN w:val="0"/>
              <w:adjustRightInd w:val="0"/>
              <w:rPr>
                <w:rFonts w:ascii="Times New Roman" w:hAnsi="Times New Roman"/>
                <w:color w:val="767171" w:themeColor="background2" w:themeShade="80"/>
                <w:sz w:val="20"/>
                <w:szCs w:val="20"/>
              </w:rPr>
            </w:pPr>
          </w:p>
        </w:tc>
      </w:tr>
      <w:tr w:rsidR="00E14865"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E14865" w:rsidRDefault="00E14865" w:rsidP="00E1486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E14865" w:rsidRDefault="00E14865" w:rsidP="00E14865">
            <w:pPr>
              <w:widowControl w:val="0"/>
              <w:autoSpaceDE w:val="0"/>
              <w:autoSpaceDN w:val="0"/>
              <w:adjustRightInd w:val="0"/>
              <w:rPr>
                <w:rFonts w:ascii="Times New Roman" w:hAnsi="Times New Roman"/>
                <w:sz w:val="20"/>
                <w:szCs w:val="20"/>
              </w:rPr>
            </w:pPr>
          </w:p>
          <w:p w14:paraId="7E2C24E3" w14:textId="77777777" w:rsidR="00E14865" w:rsidRPr="00964DD0" w:rsidRDefault="00E14865" w:rsidP="00E1486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2FABBBD" w:rsidR="00E14865" w:rsidRPr="00964DD0" w:rsidRDefault="00E14865" w:rsidP="00E1486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76D043BB" w14:textId="77777777" w:rsidR="00E14865" w:rsidRPr="00C4455B" w:rsidRDefault="00E14865" w:rsidP="00E1486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FB7D3FF" w:rsidR="00E14865" w:rsidRPr="0075740F" w:rsidRDefault="00E14865" w:rsidP="00E14865">
            <w:pPr>
              <w:widowControl w:val="0"/>
              <w:autoSpaceDE w:val="0"/>
              <w:autoSpaceDN w:val="0"/>
              <w:adjustRightInd w:val="0"/>
              <w:rPr>
                <w:rFonts w:ascii="Times New Roman" w:hAnsi="Times New Roman"/>
                <w:color w:val="767171" w:themeColor="background2" w:themeShade="80"/>
                <w:sz w:val="20"/>
                <w:szCs w:val="20"/>
              </w:rPr>
            </w:pPr>
            <w:r w:rsidRPr="00E14865">
              <w:rPr>
                <w:rFonts w:ascii="Times New Roman" w:hAnsi="Times New Roman"/>
                <w:sz w:val="20"/>
                <w:szCs w:val="20"/>
              </w:rPr>
              <w:t>N/A – this is not an assessment year</w:t>
            </w:r>
          </w:p>
        </w:tc>
      </w:tr>
      <w:tr w:rsidR="00E14865"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E14865" w:rsidRPr="00EB65C8"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B51461D" w14:textId="77777777" w:rsidR="00E14865" w:rsidRDefault="00E14865" w:rsidP="00E14865">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7269AB7C" w14:textId="77777777" w:rsidR="00E14865" w:rsidRPr="00964DD0" w:rsidRDefault="00E14865" w:rsidP="00E14865">
            <w:pPr>
              <w:widowControl w:val="0"/>
              <w:autoSpaceDE w:val="0"/>
              <w:autoSpaceDN w:val="0"/>
              <w:adjustRightInd w:val="0"/>
              <w:rPr>
                <w:rFonts w:ascii="Times New Roman" w:hAnsi="Times New Roman"/>
                <w:sz w:val="20"/>
                <w:szCs w:val="20"/>
              </w:rPr>
            </w:pPr>
          </w:p>
        </w:tc>
      </w:tr>
      <w:tr w:rsidR="00E14865"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E14865" w:rsidRPr="003A32E4" w:rsidRDefault="00E14865" w:rsidP="00E1486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BBAF973"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3" w:name="Check11"/>
            <w:r>
              <w:rPr>
                <w:rFonts w:ascii="Times New Roman" w:hAnsi="Times New Roman"/>
                <w:b/>
                <w:sz w:val="22"/>
                <w:szCs w:val="22"/>
              </w:rPr>
              <w:instrText xml:space="preserve"> FORMCHECKBOX </w:instrText>
            </w:r>
            <w:r w:rsidR="006332AA">
              <w:rPr>
                <w:rFonts w:ascii="Times New Roman" w:hAnsi="Times New Roman"/>
                <w:b/>
                <w:sz w:val="22"/>
                <w:szCs w:val="22"/>
              </w:rPr>
            </w:r>
            <w:r w:rsidR="006332AA">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4" w:name="Check12"/>
            <w:r>
              <w:rPr>
                <w:rFonts w:ascii="Times New Roman" w:hAnsi="Times New Roman"/>
                <w:b/>
                <w:sz w:val="22"/>
                <w:szCs w:val="22"/>
              </w:rPr>
              <w:instrText xml:space="preserve"> FORMCHECKBOX </w:instrText>
            </w:r>
            <w:r w:rsidR="006332AA">
              <w:rPr>
                <w:rFonts w:ascii="Times New Roman" w:hAnsi="Times New Roman"/>
                <w:b/>
                <w:sz w:val="22"/>
                <w:szCs w:val="22"/>
              </w:rPr>
            </w:r>
            <w:r w:rsidR="006332AA">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Pr="003A32E4">
              <w:rPr>
                <w:rFonts w:ascii="Times New Roman" w:hAnsi="Times New Roman"/>
                <w:b/>
                <w:sz w:val="22"/>
                <w:szCs w:val="22"/>
              </w:rPr>
              <w:t>Not Met</w:t>
            </w:r>
          </w:p>
        </w:tc>
      </w:tr>
      <w:tr w:rsidR="00E14865" w:rsidRPr="00964DD0" w14:paraId="5A878A8F" w14:textId="77777777" w:rsidTr="00060BE5">
        <w:tc>
          <w:tcPr>
            <w:tcW w:w="14395" w:type="dxa"/>
            <w:gridSpan w:val="6"/>
            <w:shd w:val="clear" w:color="auto" w:fill="auto"/>
            <w:tcMar>
              <w:top w:w="100" w:type="nil"/>
              <w:right w:w="100" w:type="nil"/>
            </w:tcMar>
          </w:tcPr>
          <w:p w14:paraId="2CD3F5C0" w14:textId="0EDAF79C" w:rsidR="00E14865" w:rsidRPr="0054609C" w:rsidRDefault="00E14865" w:rsidP="00E1486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14865" w:rsidRPr="00964DD0" w14:paraId="2AAC8294" w14:textId="77777777" w:rsidTr="00060BE5">
        <w:trPr>
          <w:trHeight w:val="1340"/>
        </w:trPr>
        <w:tc>
          <w:tcPr>
            <w:tcW w:w="14395" w:type="dxa"/>
            <w:gridSpan w:val="6"/>
            <w:shd w:val="clear" w:color="auto" w:fill="auto"/>
            <w:tcMar>
              <w:top w:w="100" w:type="nil"/>
              <w:right w:w="100" w:type="nil"/>
            </w:tcMar>
          </w:tcPr>
          <w:p w14:paraId="58059350" w14:textId="3D01A1FF" w:rsidR="003E2CDB" w:rsidRDefault="003E2CDB" w:rsidP="003E2CDB">
            <w:pPr>
              <w:rPr>
                <w:rFonts w:ascii="Times New Roman" w:hAnsi="Times New Roman"/>
                <w:sz w:val="20"/>
                <w:szCs w:val="20"/>
              </w:rPr>
            </w:pPr>
            <w:r w:rsidRPr="00E86098">
              <w:rPr>
                <w:rFonts w:ascii="Times New Roman" w:hAnsi="Times New Roman"/>
                <w:sz w:val="20"/>
                <w:szCs w:val="20"/>
                <w:u w:val="single"/>
              </w:rPr>
              <w:t>Results</w:t>
            </w:r>
            <w:r>
              <w:rPr>
                <w:rFonts w:ascii="Times New Roman" w:hAnsi="Times New Roman"/>
                <w:sz w:val="20"/>
                <w:szCs w:val="20"/>
              </w:rPr>
              <w:t>: In the 2021-22 ASL Report, the program faculty committed to establish a framework and process within the department to review and standardize expectations for process course artifacts.</w:t>
            </w:r>
          </w:p>
          <w:p w14:paraId="68F13CDA" w14:textId="77777777" w:rsidR="003E2CDB" w:rsidRDefault="003E2CDB" w:rsidP="003E2CDB">
            <w:pPr>
              <w:rPr>
                <w:rFonts w:ascii="Times New Roman" w:hAnsi="Times New Roman"/>
                <w:sz w:val="20"/>
                <w:szCs w:val="20"/>
              </w:rPr>
            </w:pPr>
          </w:p>
          <w:p w14:paraId="09B85A67" w14:textId="27A990D1" w:rsidR="003E2CDB" w:rsidRDefault="003E2CDB" w:rsidP="003E2CDB">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This activity was completed. The Program Review/Assessment and Curriculum Committees developed and received approval of a set of standards for process course artifacts to be followed in all process courses. These standards set forth criteria for the format and elements of process course assignments (and resulting artifacts), which map directly to the LEAP Inquiry &amp; Analysis rubric used to assess the artifacts. These will be implemented beginning in Fall 2023.</w:t>
            </w:r>
          </w:p>
          <w:p w14:paraId="0070E7C8" w14:textId="77777777" w:rsidR="003E2CDB" w:rsidRDefault="003E2CDB" w:rsidP="003E2CDB">
            <w:pPr>
              <w:rPr>
                <w:rFonts w:ascii="Times New Roman" w:hAnsi="Times New Roman"/>
                <w:sz w:val="20"/>
                <w:szCs w:val="20"/>
              </w:rPr>
            </w:pPr>
          </w:p>
          <w:p w14:paraId="06788647" w14:textId="4644BAAE" w:rsidR="003E2CDB" w:rsidRDefault="003E2CDB" w:rsidP="003E2CDB">
            <w:pPr>
              <w:rPr>
                <w:rFonts w:ascii="Times New Roman" w:hAnsi="Times New Roman"/>
                <w:sz w:val="20"/>
                <w:szCs w:val="20"/>
              </w:rPr>
            </w:pPr>
            <w:r w:rsidRPr="00E14865">
              <w:rPr>
                <w:rFonts w:ascii="Times New Roman" w:hAnsi="Times New Roman"/>
                <w:sz w:val="20"/>
                <w:szCs w:val="20"/>
                <w:u w:val="single"/>
              </w:rPr>
              <w:lastRenderedPageBreak/>
              <w:t>Plans for the Next Assessment Cycle</w:t>
            </w:r>
            <w:r>
              <w:rPr>
                <w:rFonts w:ascii="Times New Roman" w:hAnsi="Times New Roman"/>
                <w:sz w:val="20"/>
                <w:szCs w:val="20"/>
              </w:rPr>
              <w:t xml:space="preserve">: Analyze and report on assessment data collected during 2022-23, and develop follow-up activities based on the findings. Note that the artifacts in this cycle will not explicitly reflect the newly-adopted standards, though some faculty have independently modified their process assignments based on their experiences with assessing the artifacts included in the 2021-22 ASL Report. </w:t>
            </w:r>
          </w:p>
          <w:p w14:paraId="1CDB788D" w14:textId="6F007E1A" w:rsidR="00E14865" w:rsidRPr="0054609C" w:rsidRDefault="00E14865" w:rsidP="00E14865">
            <w:pPr>
              <w:jc w:val="both"/>
              <w:rPr>
                <w:rFonts w:ascii="Times New Roman" w:hAnsi="Times New Roman"/>
                <w:b/>
                <w:sz w:val="20"/>
                <w:szCs w:val="20"/>
              </w:rPr>
            </w:pPr>
          </w:p>
        </w:tc>
      </w:tr>
    </w:tbl>
    <w:p w14:paraId="0EEA9A3C" w14:textId="592B993B" w:rsidR="003A32E4" w:rsidRDefault="003A32E4"/>
    <w:p w14:paraId="78A2576E" w14:textId="6B03E2C2" w:rsidR="003E2CDB" w:rsidRDefault="00FA5344">
      <w:pPr>
        <w:rPr>
          <w:b/>
          <w:bCs/>
          <w:color w:val="FF0000"/>
        </w:rPr>
      </w:pPr>
      <w:r w:rsidRPr="00FA5344">
        <w:rPr>
          <w:b/>
          <w:bCs/>
          <w:color w:val="FF0000"/>
        </w:rPr>
        <w:t>*** Please include Curriculum Map (below/next page) as part of this document</w:t>
      </w:r>
    </w:p>
    <w:p w14:paraId="0F1F153B" w14:textId="77777777" w:rsidR="003E2CDB" w:rsidRDefault="003E2CDB">
      <w:pPr>
        <w:rPr>
          <w:b/>
          <w:bCs/>
          <w:color w:val="FF0000"/>
        </w:rPr>
      </w:pPr>
      <w:r>
        <w:rPr>
          <w:b/>
          <w:bCs/>
          <w:color w:val="FF0000"/>
        </w:rPr>
        <w:br w:type="page"/>
      </w:r>
    </w:p>
    <w:p w14:paraId="41DBC574" w14:textId="77777777" w:rsidR="003E2CDB" w:rsidRDefault="003E2CDB" w:rsidP="003E2CDB"/>
    <w:p w14:paraId="2732DAC5" w14:textId="77777777" w:rsidR="003E2CDB" w:rsidRDefault="003E2CDB" w:rsidP="003E2CDB">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drawing>
          <wp:anchor distT="0" distB="0" distL="114300" distR="114300" simplePos="0" relativeHeight="251659264" behindDoc="0" locked="0" layoutInCell="1" allowOverlap="0" wp14:anchorId="1473506D" wp14:editId="26E12344">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6"/>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64FF7E86" w14:textId="77777777" w:rsidR="003E2CDB" w:rsidRPr="00776FD3" w:rsidRDefault="003E2CDB" w:rsidP="003E2CDB">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38A5B50B" w14:textId="77777777" w:rsidR="003E2CDB" w:rsidRDefault="003E2CDB" w:rsidP="003E2CDB">
      <w:pPr>
        <w:contextualSpacing/>
        <w:rPr>
          <w:rFonts w:asciiTheme="majorHAnsi" w:hAnsiTheme="majorHAnsi" w:cstheme="majorHAnsi"/>
          <w:b/>
          <w:bCs/>
          <w:sz w:val="20"/>
          <w:szCs w:val="20"/>
        </w:rPr>
      </w:pPr>
    </w:p>
    <w:p w14:paraId="481F4315" w14:textId="77777777" w:rsidR="003E2CDB" w:rsidRDefault="003E2CDB" w:rsidP="003E2CDB">
      <w:pPr>
        <w:contextualSpacing/>
        <w:rPr>
          <w:rFonts w:asciiTheme="majorHAnsi" w:hAnsiTheme="majorHAnsi" w:cstheme="majorHAnsi"/>
          <w:b/>
          <w:bCs/>
          <w:sz w:val="20"/>
          <w:szCs w:val="20"/>
        </w:rPr>
      </w:pPr>
    </w:p>
    <w:p w14:paraId="725D5F88" w14:textId="77777777" w:rsidR="003E2CDB" w:rsidRPr="00776FD3" w:rsidRDefault="003E2CDB" w:rsidP="003E2CDB">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0326DB9F" w14:textId="77777777" w:rsidR="003E2CDB" w:rsidRDefault="003E2CDB" w:rsidP="003E2CDB">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04C415F1" w14:textId="77777777" w:rsidR="003E2CDB" w:rsidRDefault="003E2CDB" w:rsidP="003E2CDB">
      <w:pPr>
        <w:ind w:left="55"/>
        <w:contextualSpacing/>
        <w:jc w:val="center"/>
        <w:rPr>
          <w:rFonts w:asciiTheme="majorHAnsi" w:hAnsiTheme="majorHAnsi" w:cstheme="majorHAnsi"/>
          <w:sz w:val="20"/>
          <w:szCs w:val="20"/>
        </w:rPr>
      </w:pPr>
    </w:p>
    <w:p w14:paraId="718A7459" w14:textId="77777777" w:rsidR="003E2CDB" w:rsidRPr="00B43B4B" w:rsidRDefault="003E2CDB" w:rsidP="003E2CDB">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679E7B32" w14:textId="77777777" w:rsidR="003E2CDB" w:rsidRPr="00B43B4B" w:rsidRDefault="003E2CDB" w:rsidP="003E2CDB">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3E2CDB" w:rsidRPr="00776FD3" w14:paraId="62EC5D1D" w14:textId="77777777" w:rsidTr="006E16CB">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5E92E6A" w14:textId="77777777" w:rsidR="003E2CDB" w:rsidRPr="007F25CD" w:rsidRDefault="003E2CDB" w:rsidP="006E16CB">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DA67F03" w14:textId="77777777" w:rsidR="003E2CDB" w:rsidRDefault="003E2CDB" w:rsidP="006E16CB">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17635C27" w14:textId="77777777" w:rsidR="003E2CDB" w:rsidRPr="007F25CD" w:rsidRDefault="003E2CDB" w:rsidP="006E16CB">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9D2F146" w14:textId="77777777" w:rsidR="003E2CDB" w:rsidRPr="007F25CD" w:rsidRDefault="003E2CDB" w:rsidP="006E16CB">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0C7EF19C" w14:textId="77777777" w:rsidR="003E2CDB" w:rsidRPr="007F25CD" w:rsidRDefault="003E2CDB" w:rsidP="006E16CB">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D07A5B7" w14:textId="77777777" w:rsidR="003E2CDB" w:rsidRDefault="003E2CDB" w:rsidP="006E16CB">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296D5897" w14:textId="77777777" w:rsidR="003E2CDB" w:rsidRPr="007F25CD" w:rsidRDefault="003E2CDB" w:rsidP="006E16CB">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3E2CDB" w:rsidRPr="00776FD3" w14:paraId="693CAF4B" w14:textId="77777777" w:rsidTr="006E16CB">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20BD0D96"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0FBEE420" w14:textId="77777777" w:rsidR="003E2CDB" w:rsidRPr="00516126" w:rsidRDefault="003E2CDB" w:rsidP="006E16CB">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9424EAF" w14:textId="77777777" w:rsidR="003E2CDB" w:rsidRPr="00516126" w:rsidRDefault="003E2CDB" w:rsidP="006E16CB">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6FD145BF" w14:textId="77777777" w:rsidR="003E2CDB" w:rsidRPr="00516126" w:rsidRDefault="003E2CDB" w:rsidP="006E16CB">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4A6D96BD" w14:textId="77777777" w:rsidR="003E2CDB" w:rsidRPr="00516126" w:rsidRDefault="003E2CDB" w:rsidP="006E16CB">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3E2CDB" w:rsidRPr="00776FD3" w14:paraId="16F7B8A2" w14:textId="77777777" w:rsidTr="006E16CB">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81DB9E5" w14:textId="77777777" w:rsidR="003E2CDB" w:rsidRPr="007F25CD" w:rsidRDefault="003E2CDB" w:rsidP="006E16CB">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7716461"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4249D14" w14:textId="77777777" w:rsidR="003E2CDB" w:rsidRPr="00516126" w:rsidRDefault="003E2CDB" w:rsidP="006E16CB">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BAAD8D1" w14:textId="77777777" w:rsidR="003E2CDB" w:rsidRPr="00516126" w:rsidRDefault="003E2CDB" w:rsidP="006E16CB">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44C8784" w14:textId="77777777" w:rsidR="003E2CDB" w:rsidRPr="00516126" w:rsidRDefault="003E2CDB" w:rsidP="006E16CB">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3E2CDB" w:rsidRPr="00776FD3" w14:paraId="26AD707A" w14:textId="77777777" w:rsidTr="006E16CB">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3872E4FC"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2AC771FD" w14:textId="77777777" w:rsidR="003E2CDB" w:rsidRPr="00516126" w:rsidRDefault="003E2CDB" w:rsidP="006E16CB">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406CB39A" w14:textId="77777777" w:rsidR="003E2CDB" w:rsidRPr="00516126" w:rsidRDefault="003E2CDB" w:rsidP="006E16CB">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2532F9BB"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2FA34C28" w14:textId="77777777" w:rsidR="003E2CDB" w:rsidRPr="00516126" w:rsidRDefault="003E2CDB" w:rsidP="006E16CB">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3E2CDB" w:rsidRPr="00776FD3" w14:paraId="0A748D7F" w14:textId="77777777" w:rsidTr="006E16CB">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6C0B8E8" w14:textId="77777777" w:rsidR="003E2CDB" w:rsidRPr="007F25CD" w:rsidRDefault="003E2CDB" w:rsidP="006E16CB">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A828C27" w14:textId="77777777" w:rsidR="003E2CDB" w:rsidRPr="00516126" w:rsidRDefault="003E2CDB" w:rsidP="006E16CB">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D476EE9" w14:textId="77777777" w:rsidR="003E2CDB" w:rsidRPr="00516126" w:rsidRDefault="003E2CDB" w:rsidP="006E16CB">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876CA12" w14:textId="77777777" w:rsidR="003E2CDB" w:rsidRPr="00516126" w:rsidRDefault="003E2CDB" w:rsidP="006E16CB">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032DDD2"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3E2CDB" w:rsidRPr="00776FD3" w14:paraId="52A5625B" w14:textId="77777777" w:rsidTr="006E16CB">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3464EA33"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1E796EB0"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3980658" w14:textId="77777777" w:rsidR="003E2CDB" w:rsidRPr="00516126" w:rsidRDefault="003E2CDB" w:rsidP="006E16CB">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6A381E7B"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5F63D96"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3E2CDB" w:rsidRPr="00776FD3" w14:paraId="77CC1DF0" w14:textId="77777777" w:rsidTr="006E16CB">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2DBB261C"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FB1CCF8"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3114D43"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9CDF741"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D935260" w14:textId="77777777" w:rsidR="003E2CDB" w:rsidRPr="00516126" w:rsidRDefault="003E2CDB" w:rsidP="006E16CB">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6CA5840F" w14:textId="4A298655" w:rsidR="002648CE" w:rsidRDefault="002648CE" w:rsidP="003E2CDB">
      <w:pPr>
        <w:rPr>
          <w:rFonts w:asciiTheme="majorHAnsi" w:hAnsiTheme="majorHAnsi" w:cstheme="majorHAnsi"/>
          <w:sz w:val="20"/>
          <w:szCs w:val="20"/>
        </w:rPr>
      </w:pPr>
    </w:p>
    <w:p w14:paraId="361346AB" w14:textId="77777777" w:rsidR="002648CE" w:rsidRDefault="002648CE">
      <w:pPr>
        <w:rPr>
          <w:rFonts w:asciiTheme="majorHAnsi" w:hAnsiTheme="majorHAnsi" w:cstheme="majorHAnsi"/>
          <w:sz w:val="20"/>
          <w:szCs w:val="20"/>
        </w:rPr>
      </w:pPr>
      <w:r>
        <w:rPr>
          <w:rFonts w:asciiTheme="majorHAnsi" w:hAnsiTheme="majorHAnsi" w:cstheme="majorHAnsi"/>
          <w:sz w:val="20"/>
          <w:szCs w:val="20"/>
        </w:rPr>
        <w:br w:type="page"/>
      </w:r>
    </w:p>
    <w:tbl>
      <w:tblPr>
        <w:tblW w:w="13160" w:type="dxa"/>
        <w:tblLook w:val="04A0" w:firstRow="1" w:lastRow="0" w:firstColumn="1" w:lastColumn="0" w:noHBand="0" w:noVBand="1"/>
      </w:tblPr>
      <w:tblGrid>
        <w:gridCol w:w="1872"/>
        <w:gridCol w:w="987"/>
        <w:gridCol w:w="3541"/>
        <w:gridCol w:w="2360"/>
        <w:gridCol w:w="2200"/>
        <w:gridCol w:w="2200"/>
      </w:tblGrid>
      <w:tr w:rsidR="002648CE" w:rsidRPr="00A62DE3" w14:paraId="6F3DC23A" w14:textId="77777777" w:rsidTr="00400038">
        <w:trPr>
          <w:trHeight w:val="375"/>
        </w:trPr>
        <w:tc>
          <w:tcPr>
            <w:tcW w:w="6400" w:type="dxa"/>
            <w:gridSpan w:val="3"/>
            <w:tcBorders>
              <w:top w:val="nil"/>
              <w:left w:val="single" w:sz="4" w:space="0" w:color="auto"/>
              <w:bottom w:val="nil"/>
              <w:right w:val="nil"/>
            </w:tcBorders>
            <w:shd w:val="clear" w:color="auto" w:fill="auto"/>
            <w:noWrap/>
            <w:vAlign w:val="bottom"/>
            <w:hideMark/>
          </w:tcPr>
          <w:p w14:paraId="15201A81" w14:textId="77777777" w:rsidR="002648CE" w:rsidRPr="00A62DE3" w:rsidRDefault="002648CE" w:rsidP="00400038">
            <w:pPr>
              <w:rPr>
                <w:rFonts w:cs="Calibri"/>
                <w:b/>
                <w:bCs/>
                <w:color w:val="000000"/>
                <w:sz w:val="28"/>
                <w:szCs w:val="28"/>
              </w:rPr>
            </w:pPr>
            <w:r w:rsidRPr="00A62DE3">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0BA57878" w14:textId="77777777" w:rsidR="002648CE" w:rsidRPr="00A62DE3" w:rsidRDefault="002648CE" w:rsidP="00400038">
            <w:pPr>
              <w:rPr>
                <w:rFonts w:cs="Calibri"/>
                <w:b/>
                <w:bCs/>
                <w:color w:val="000000"/>
                <w:sz w:val="28"/>
                <w:szCs w:val="28"/>
              </w:rPr>
            </w:pPr>
          </w:p>
        </w:tc>
        <w:tc>
          <w:tcPr>
            <w:tcW w:w="2200" w:type="dxa"/>
            <w:tcBorders>
              <w:top w:val="nil"/>
              <w:left w:val="nil"/>
              <w:bottom w:val="nil"/>
              <w:right w:val="nil"/>
            </w:tcBorders>
            <w:shd w:val="clear" w:color="auto" w:fill="auto"/>
            <w:noWrap/>
            <w:vAlign w:val="bottom"/>
            <w:hideMark/>
          </w:tcPr>
          <w:p w14:paraId="660B5082"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B1C7EEA" w14:textId="77777777" w:rsidR="002648CE" w:rsidRPr="00A62DE3" w:rsidRDefault="002648CE" w:rsidP="00400038">
            <w:pPr>
              <w:rPr>
                <w:rFonts w:ascii="Times New Roman" w:hAnsi="Times New Roman"/>
                <w:sz w:val="20"/>
                <w:szCs w:val="20"/>
              </w:rPr>
            </w:pPr>
          </w:p>
        </w:tc>
      </w:tr>
      <w:tr w:rsidR="002648CE" w:rsidRPr="00A62DE3" w14:paraId="4813F92F" w14:textId="77777777" w:rsidTr="00400038">
        <w:trPr>
          <w:trHeight w:val="375"/>
        </w:trPr>
        <w:tc>
          <w:tcPr>
            <w:tcW w:w="1872" w:type="dxa"/>
            <w:tcBorders>
              <w:top w:val="nil"/>
              <w:left w:val="single" w:sz="4" w:space="0" w:color="auto"/>
              <w:bottom w:val="nil"/>
              <w:right w:val="nil"/>
            </w:tcBorders>
            <w:shd w:val="clear" w:color="auto" w:fill="auto"/>
            <w:noWrap/>
            <w:vAlign w:val="bottom"/>
            <w:hideMark/>
          </w:tcPr>
          <w:p w14:paraId="2F512880" w14:textId="77777777" w:rsidR="002648CE" w:rsidRPr="00A62DE3" w:rsidRDefault="002648CE" w:rsidP="00400038">
            <w:pPr>
              <w:rPr>
                <w:rFonts w:cs="Calibri"/>
                <w:b/>
                <w:bCs/>
                <w:color w:val="000000"/>
                <w:sz w:val="28"/>
                <w:szCs w:val="28"/>
              </w:rPr>
            </w:pPr>
            <w:r w:rsidRPr="00A62DE3">
              <w:rPr>
                <w:rFonts w:cs="Calibri"/>
                <w:b/>
                <w:bCs/>
                <w:color w:val="000000"/>
                <w:sz w:val="28"/>
                <w:szCs w:val="28"/>
              </w:rPr>
              <w:t> </w:t>
            </w:r>
          </w:p>
        </w:tc>
        <w:tc>
          <w:tcPr>
            <w:tcW w:w="987" w:type="dxa"/>
            <w:tcBorders>
              <w:top w:val="nil"/>
              <w:left w:val="nil"/>
              <w:bottom w:val="nil"/>
              <w:right w:val="nil"/>
            </w:tcBorders>
            <w:shd w:val="clear" w:color="auto" w:fill="auto"/>
            <w:noWrap/>
            <w:vAlign w:val="bottom"/>
            <w:hideMark/>
          </w:tcPr>
          <w:p w14:paraId="578B9309" w14:textId="77777777" w:rsidR="002648CE" w:rsidRPr="00A62DE3" w:rsidRDefault="002648CE" w:rsidP="00400038">
            <w:pPr>
              <w:rPr>
                <w:rFonts w:cs="Calibri"/>
                <w:b/>
                <w:bCs/>
                <w:color w:val="000000"/>
                <w:sz w:val="28"/>
                <w:szCs w:val="28"/>
              </w:rPr>
            </w:pPr>
          </w:p>
        </w:tc>
        <w:tc>
          <w:tcPr>
            <w:tcW w:w="3541" w:type="dxa"/>
            <w:tcBorders>
              <w:top w:val="nil"/>
              <w:left w:val="nil"/>
              <w:bottom w:val="nil"/>
              <w:right w:val="nil"/>
            </w:tcBorders>
            <w:shd w:val="clear" w:color="auto" w:fill="auto"/>
            <w:noWrap/>
            <w:vAlign w:val="bottom"/>
            <w:hideMark/>
          </w:tcPr>
          <w:p w14:paraId="2094A6A0" w14:textId="77777777" w:rsidR="002648CE" w:rsidRPr="00A62DE3" w:rsidRDefault="002648CE" w:rsidP="00400038">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01C90040"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71B4C9A"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D567004" w14:textId="77777777" w:rsidR="002648CE" w:rsidRPr="00A62DE3" w:rsidRDefault="002648CE" w:rsidP="00400038">
            <w:pPr>
              <w:rPr>
                <w:rFonts w:ascii="Times New Roman" w:hAnsi="Times New Roman"/>
                <w:sz w:val="20"/>
                <w:szCs w:val="20"/>
              </w:rPr>
            </w:pPr>
          </w:p>
        </w:tc>
      </w:tr>
      <w:tr w:rsidR="002648CE" w:rsidRPr="00A62DE3" w14:paraId="7966DF7B" w14:textId="77777777" w:rsidTr="00400038">
        <w:trPr>
          <w:trHeight w:val="30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14B4E99" w14:textId="77777777" w:rsidR="002648CE" w:rsidRPr="00A62DE3" w:rsidRDefault="002648CE" w:rsidP="00400038">
            <w:pPr>
              <w:rPr>
                <w:rFonts w:cs="Calibri"/>
                <w:b/>
                <w:bCs/>
                <w:color w:val="000000"/>
                <w:sz w:val="22"/>
                <w:szCs w:val="22"/>
              </w:rPr>
            </w:pPr>
            <w:r w:rsidRPr="00A62DE3">
              <w:rPr>
                <w:rFonts w:cs="Calibri"/>
                <w:b/>
                <w:bCs/>
                <w:color w:val="000000"/>
                <w:sz w:val="22"/>
                <w:szCs w:val="22"/>
              </w:rPr>
              <w:t>Program name:</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132B36" w14:textId="77777777" w:rsidR="002648CE" w:rsidRPr="00A62DE3" w:rsidRDefault="002648CE" w:rsidP="00400038">
            <w:pPr>
              <w:rPr>
                <w:rFonts w:cs="Calibri"/>
                <w:color w:val="000000"/>
                <w:sz w:val="22"/>
                <w:szCs w:val="22"/>
              </w:rPr>
            </w:pPr>
            <w:r w:rsidRPr="00A62DE3">
              <w:rPr>
                <w:rFonts w:cs="Calibri"/>
                <w:color w:val="000000"/>
                <w:sz w:val="22"/>
                <w:szCs w:val="22"/>
              </w:rPr>
              <w:t>056 Master of Science-Biology</w:t>
            </w:r>
          </w:p>
        </w:tc>
        <w:tc>
          <w:tcPr>
            <w:tcW w:w="2200" w:type="dxa"/>
            <w:tcBorders>
              <w:top w:val="nil"/>
              <w:left w:val="nil"/>
              <w:bottom w:val="nil"/>
              <w:right w:val="nil"/>
            </w:tcBorders>
            <w:shd w:val="clear" w:color="auto" w:fill="auto"/>
            <w:noWrap/>
            <w:vAlign w:val="bottom"/>
            <w:hideMark/>
          </w:tcPr>
          <w:p w14:paraId="576D721C" w14:textId="77777777" w:rsidR="002648CE" w:rsidRPr="00A62DE3" w:rsidRDefault="002648CE" w:rsidP="00400038">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CBF7E8E" w14:textId="77777777" w:rsidR="002648CE" w:rsidRPr="00A62DE3" w:rsidRDefault="002648CE" w:rsidP="00400038">
            <w:pPr>
              <w:rPr>
                <w:rFonts w:ascii="Times New Roman" w:hAnsi="Times New Roman"/>
                <w:sz w:val="20"/>
                <w:szCs w:val="20"/>
              </w:rPr>
            </w:pPr>
          </w:p>
        </w:tc>
      </w:tr>
      <w:tr w:rsidR="002648CE" w:rsidRPr="00A62DE3" w14:paraId="4098F6B9" w14:textId="77777777" w:rsidTr="00400038">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A985FFA" w14:textId="77777777" w:rsidR="002648CE" w:rsidRPr="00A62DE3" w:rsidRDefault="002648CE" w:rsidP="00400038">
            <w:pPr>
              <w:rPr>
                <w:rFonts w:cs="Calibri"/>
                <w:b/>
                <w:bCs/>
                <w:color w:val="000000"/>
                <w:sz w:val="22"/>
                <w:szCs w:val="22"/>
              </w:rPr>
            </w:pPr>
            <w:r w:rsidRPr="00A62DE3">
              <w:rPr>
                <w:rFonts w:cs="Calibri"/>
                <w:b/>
                <w:bCs/>
                <w:color w:val="000000"/>
                <w:sz w:val="22"/>
                <w:szCs w:val="22"/>
              </w:rPr>
              <w:t>Department:</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A6E20C" w14:textId="77777777" w:rsidR="002648CE" w:rsidRPr="00A62DE3" w:rsidRDefault="002648CE" w:rsidP="00400038">
            <w:pPr>
              <w:rPr>
                <w:rFonts w:cs="Calibri"/>
                <w:color w:val="000000"/>
                <w:sz w:val="22"/>
                <w:szCs w:val="22"/>
              </w:rPr>
            </w:pPr>
            <w:r w:rsidRPr="00A62DE3">
              <w:rPr>
                <w:rFonts w:cs="Calibri"/>
                <w:color w:val="000000"/>
                <w:sz w:val="22"/>
                <w:szCs w:val="22"/>
              </w:rPr>
              <w:t>Biology</w:t>
            </w:r>
          </w:p>
        </w:tc>
        <w:tc>
          <w:tcPr>
            <w:tcW w:w="2200" w:type="dxa"/>
            <w:tcBorders>
              <w:top w:val="nil"/>
              <w:left w:val="nil"/>
              <w:bottom w:val="nil"/>
              <w:right w:val="nil"/>
            </w:tcBorders>
            <w:shd w:val="clear" w:color="auto" w:fill="auto"/>
            <w:noWrap/>
            <w:vAlign w:val="bottom"/>
            <w:hideMark/>
          </w:tcPr>
          <w:p w14:paraId="173AB350" w14:textId="77777777" w:rsidR="002648CE" w:rsidRPr="00A62DE3" w:rsidRDefault="002648CE" w:rsidP="00400038">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1FDCC72" w14:textId="77777777" w:rsidR="002648CE" w:rsidRPr="00A62DE3" w:rsidRDefault="002648CE" w:rsidP="00400038">
            <w:pPr>
              <w:rPr>
                <w:rFonts w:ascii="Times New Roman" w:hAnsi="Times New Roman"/>
                <w:sz w:val="20"/>
                <w:szCs w:val="20"/>
              </w:rPr>
            </w:pPr>
          </w:p>
        </w:tc>
      </w:tr>
      <w:tr w:rsidR="002648CE" w:rsidRPr="00A62DE3" w14:paraId="39097FE4" w14:textId="77777777" w:rsidTr="00400038">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473DF1B8" w14:textId="77777777" w:rsidR="002648CE" w:rsidRPr="00A62DE3" w:rsidRDefault="002648CE" w:rsidP="00400038">
            <w:pPr>
              <w:rPr>
                <w:rFonts w:cs="Calibri"/>
                <w:b/>
                <w:bCs/>
                <w:color w:val="000000"/>
                <w:sz w:val="22"/>
                <w:szCs w:val="22"/>
              </w:rPr>
            </w:pPr>
            <w:r w:rsidRPr="00A62DE3">
              <w:rPr>
                <w:rFonts w:cs="Calibri"/>
                <w:b/>
                <w:bCs/>
                <w:color w:val="000000"/>
                <w:sz w:val="22"/>
                <w:szCs w:val="22"/>
              </w:rPr>
              <w:t>College:</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E6F09DE" w14:textId="77777777" w:rsidR="002648CE" w:rsidRPr="00A62DE3" w:rsidRDefault="002648CE" w:rsidP="00400038">
            <w:pPr>
              <w:rPr>
                <w:rFonts w:cs="Calibri"/>
                <w:color w:val="000000"/>
                <w:sz w:val="22"/>
                <w:szCs w:val="22"/>
              </w:rPr>
            </w:pPr>
            <w:r w:rsidRPr="00A62DE3">
              <w:rPr>
                <w:rFonts w:cs="Calibri"/>
                <w:color w:val="000000"/>
                <w:sz w:val="22"/>
                <w:szCs w:val="22"/>
              </w:rPr>
              <w:t>Ogden</w:t>
            </w:r>
          </w:p>
        </w:tc>
        <w:tc>
          <w:tcPr>
            <w:tcW w:w="2200" w:type="dxa"/>
            <w:tcBorders>
              <w:top w:val="nil"/>
              <w:left w:val="nil"/>
              <w:bottom w:val="nil"/>
              <w:right w:val="nil"/>
            </w:tcBorders>
            <w:shd w:val="clear" w:color="auto" w:fill="auto"/>
            <w:noWrap/>
            <w:vAlign w:val="bottom"/>
            <w:hideMark/>
          </w:tcPr>
          <w:p w14:paraId="74DA644F" w14:textId="77777777" w:rsidR="002648CE" w:rsidRPr="00A62DE3" w:rsidRDefault="002648CE" w:rsidP="00400038">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94722A8" w14:textId="77777777" w:rsidR="002648CE" w:rsidRPr="00A62DE3" w:rsidRDefault="002648CE" w:rsidP="00400038">
            <w:pPr>
              <w:rPr>
                <w:rFonts w:ascii="Times New Roman" w:hAnsi="Times New Roman"/>
                <w:sz w:val="20"/>
                <w:szCs w:val="20"/>
              </w:rPr>
            </w:pPr>
          </w:p>
        </w:tc>
      </w:tr>
      <w:tr w:rsidR="002648CE" w:rsidRPr="00A62DE3" w14:paraId="20C18918" w14:textId="77777777" w:rsidTr="00400038">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C7C2738" w14:textId="77777777" w:rsidR="002648CE" w:rsidRPr="00A62DE3" w:rsidRDefault="002648CE" w:rsidP="00400038">
            <w:pPr>
              <w:rPr>
                <w:rFonts w:cs="Calibri"/>
                <w:b/>
                <w:bCs/>
                <w:color w:val="000000"/>
                <w:sz w:val="22"/>
                <w:szCs w:val="22"/>
              </w:rPr>
            </w:pPr>
            <w:r w:rsidRPr="00A62DE3">
              <w:rPr>
                <w:rFonts w:cs="Calibri"/>
                <w:b/>
                <w:bCs/>
                <w:color w:val="000000"/>
                <w:sz w:val="22"/>
                <w:szCs w:val="22"/>
              </w:rPr>
              <w:t>Contact person:</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F95D93" w14:textId="77777777" w:rsidR="002648CE" w:rsidRPr="00A62DE3" w:rsidRDefault="002648CE" w:rsidP="00400038">
            <w:pPr>
              <w:rPr>
                <w:rFonts w:cs="Calibri"/>
                <w:color w:val="000000"/>
                <w:sz w:val="22"/>
                <w:szCs w:val="22"/>
              </w:rPr>
            </w:pPr>
            <w:r w:rsidRPr="00A62DE3">
              <w:rPr>
                <w:rFonts w:cs="Calibri"/>
                <w:color w:val="000000"/>
                <w:sz w:val="22"/>
                <w:szCs w:val="22"/>
              </w:rPr>
              <w:t>Carl Dick</w:t>
            </w:r>
          </w:p>
        </w:tc>
        <w:tc>
          <w:tcPr>
            <w:tcW w:w="2200" w:type="dxa"/>
            <w:tcBorders>
              <w:top w:val="nil"/>
              <w:left w:val="nil"/>
              <w:bottom w:val="nil"/>
              <w:right w:val="nil"/>
            </w:tcBorders>
            <w:shd w:val="clear" w:color="auto" w:fill="auto"/>
            <w:noWrap/>
            <w:vAlign w:val="bottom"/>
            <w:hideMark/>
          </w:tcPr>
          <w:p w14:paraId="568775CA" w14:textId="77777777" w:rsidR="002648CE" w:rsidRPr="00A62DE3" w:rsidRDefault="002648CE" w:rsidP="00400038">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5BEB8BA" w14:textId="77777777" w:rsidR="002648CE" w:rsidRPr="00A62DE3" w:rsidRDefault="002648CE" w:rsidP="00400038">
            <w:pPr>
              <w:rPr>
                <w:rFonts w:ascii="Times New Roman" w:hAnsi="Times New Roman"/>
                <w:sz w:val="20"/>
                <w:szCs w:val="20"/>
              </w:rPr>
            </w:pPr>
          </w:p>
        </w:tc>
      </w:tr>
      <w:tr w:rsidR="002648CE" w:rsidRPr="00A62DE3" w14:paraId="715FAC98" w14:textId="77777777" w:rsidTr="00400038">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BB5292C" w14:textId="77777777" w:rsidR="002648CE" w:rsidRPr="00A62DE3" w:rsidRDefault="002648CE" w:rsidP="00400038">
            <w:pPr>
              <w:rPr>
                <w:rFonts w:cs="Calibri"/>
                <w:b/>
                <w:bCs/>
                <w:color w:val="000000"/>
                <w:sz w:val="22"/>
                <w:szCs w:val="22"/>
              </w:rPr>
            </w:pPr>
            <w:r w:rsidRPr="00A62DE3">
              <w:rPr>
                <w:rFonts w:cs="Calibri"/>
                <w:b/>
                <w:bCs/>
                <w:color w:val="000000"/>
                <w:sz w:val="22"/>
                <w:szCs w:val="22"/>
              </w:rPr>
              <w:t>Email:</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FF95374" w14:textId="77777777" w:rsidR="002648CE" w:rsidRPr="00A62DE3" w:rsidRDefault="006332AA" w:rsidP="00400038">
            <w:pPr>
              <w:rPr>
                <w:rFonts w:cs="Calibri"/>
                <w:color w:val="0000FF"/>
                <w:sz w:val="22"/>
                <w:szCs w:val="22"/>
                <w:u w:val="single"/>
              </w:rPr>
            </w:pPr>
            <w:hyperlink r:id="rId7" w:history="1">
              <w:r w:rsidR="002648CE" w:rsidRPr="00A62DE3">
                <w:rPr>
                  <w:rFonts w:cs="Calibri"/>
                  <w:color w:val="0000FF"/>
                  <w:sz w:val="22"/>
                  <w:szCs w:val="22"/>
                  <w:u w:val="single"/>
                </w:rPr>
                <w:t>carl.dick@wku.edu</w:t>
              </w:r>
            </w:hyperlink>
          </w:p>
        </w:tc>
        <w:tc>
          <w:tcPr>
            <w:tcW w:w="2200" w:type="dxa"/>
            <w:tcBorders>
              <w:top w:val="nil"/>
              <w:left w:val="nil"/>
              <w:bottom w:val="nil"/>
              <w:right w:val="nil"/>
            </w:tcBorders>
            <w:shd w:val="clear" w:color="auto" w:fill="auto"/>
            <w:noWrap/>
            <w:vAlign w:val="bottom"/>
            <w:hideMark/>
          </w:tcPr>
          <w:p w14:paraId="0B035426" w14:textId="77777777" w:rsidR="002648CE" w:rsidRPr="00A62DE3" w:rsidRDefault="002648CE" w:rsidP="00400038">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19BFE277" w14:textId="77777777" w:rsidR="002648CE" w:rsidRPr="00A62DE3" w:rsidRDefault="002648CE" w:rsidP="00400038">
            <w:pPr>
              <w:rPr>
                <w:rFonts w:ascii="Times New Roman" w:hAnsi="Times New Roman"/>
                <w:sz w:val="20"/>
                <w:szCs w:val="20"/>
              </w:rPr>
            </w:pPr>
          </w:p>
        </w:tc>
      </w:tr>
      <w:tr w:rsidR="002648CE" w:rsidRPr="00A62DE3" w14:paraId="4D00E849" w14:textId="77777777" w:rsidTr="00400038">
        <w:trPr>
          <w:trHeight w:val="402"/>
        </w:trPr>
        <w:tc>
          <w:tcPr>
            <w:tcW w:w="1872" w:type="dxa"/>
            <w:tcBorders>
              <w:top w:val="nil"/>
              <w:left w:val="single" w:sz="4" w:space="0" w:color="auto"/>
              <w:bottom w:val="nil"/>
              <w:right w:val="nil"/>
            </w:tcBorders>
            <w:shd w:val="clear" w:color="auto" w:fill="auto"/>
            <w:noWrap/>
            <w:vAlign w:val="bottom"/>
            <w:hideMark/>
          </w:tcPr>
          <w:p w14:paraId="7E6D3A5A" w14:textId="77777777" w:rsidR="002648CE" w:rsidRPr="00A62DE3" w:rsidRDefault="002648CE" w:rsidP="00400038">
            <w:pPr>
              <w:rPr>
                <w:rFonts w:cs="Calibri"/>
                <w:color w:val="000000"/>
                <w:sz w:val="22"/>
                <w:szCs w:val="22"/>
              </w:rPr>
            </w:pPr>
            <w:r w:rsidRPr="00A62DE3">
              <w:rPr>
                <w:rFonts w:cs="Calibri"/>
                <w:color w:val="000000"/>
                <w:sz w:val="22"/>
                <w:szCs w:val="22"/>
              </w:rPr>
              <w:t> </w:t>
            </w:r>
          </w:p>
        </w:tc>
        <w:tc>
          <w:tcPr>
            <w:tcW w:w="987" w:type="dxa"/>
            <w:tcBorders>
              <w:top w:val="nil"/>
              <w:left w:val="nil"/>
              <w:bottom w:val="nil"/>
              <w:right w:val="nil"/>
            </w:tcBorders>
            <w:shd w:val="clear" w:color="auto" w:fill="auto"/>
            <w:noWrap/>
            <w:vAlign w:val="bottom"/>
            <w:hideMark/>
          </w:tcPr>
          <w:p w14:paraId="3F6487B4" w14:textId="77777777" w:rsidR="002648CE" w:rsidRPr="00A62DE3" w:rsidRDefault="002648CE" w:rsidP="00400038">
            <w:pPr>
              <w:rPr>
                <w:rFonts w:cs="Calibri"/>
                <w:color w:val="000000"/>
                <w:sz w:val="22"/>
                <w:szCs w:val="22"/>
              </w:rPr>
            </w:pPr>
          </w:p>
        </w:tc>
        <w:tc>
          <w:tcPr>
            <w:tcW w:w="3541" w:type="dxa"/>
            <w:tcBorders>
              <w:top w:val="nil"/>
              <w:left w:val="nil"/>
              <w:bottom w:val="nil"/>
              <w:right w:val="nil"/>
            </w:tcBorders>
            <w:shd w:val="clear" w:color="auto" w:fill="auto"/>
            <w:noWrap/>
            <w:vAlign w:val="bottom"/>
            <w:hideMark/>
          </w:tcPr>
          <w:p w14:paraId="0EB6EBB8" w14:textId="77777777" w:rsidR="002648CE" w:rsidRPr="00A62DE3" w:rsidRDefault="002648CE" w:rsidP="00400038">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A7DB7D4"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4020C84"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DA70F40" w14:textId="77777777" w:rsidR="002648CE" w:rsidRPr="00A62DE3" w:rsidRDefault="002648CE" w:rsidP="00400038">
            <w:pPr>
              <w:rPr>
                <w:rFonts w:ascii="Times New Roman" w:hAnsi="Times New Roman"/>
                <w:sz w:val="20"/>
                <w:szCs w:val="20"/>
              </w:rPr>
            </w:pPr>
          </w:p>
        </w:tc>
      </w:tr>
      <w:tr w:rsidR="002648CE" w:rsidRPr="00A62DE3" w14:paraId="2AB90725" w14:textId="77777777" w:rsidTr="00400038">
        <w:trPr>
          <w:trHeight w:val="402"/>
        </w:trPr>
        <w:tc>
          <w:tcPr>
            <w:tcW w:w="2859" w:type="dxa"/>
            <w:gridSpan w:val="2"/>
            <w:tcBorders>
              <w:top w:val="nil"/>
              <w:left w:val="single" w:sz="4" w:space="0" w:color="auto"/>
              <w:bottom w:val="nil"/>
              <w:right w:val="nil"/>
            </w:tcBorders>
            <w:shd w:val="clear" w:color="auto" w:fill="auto"/>
            <w:noWrap/>
            <w:vAlign w:val="bottom"/>
            <w:hideMark/>
          </w:tcPr>
          <w:p w14:paraId="36DC10C9" w14:textId="77777777" w:rsidR="002648CE" w:rsidRPr="00A62DE3" w:rsidRDefault="002648CE" w:rsidP="00400038">
            <w:pPr>
              <w:rPr>
                <w:rFonts w:cs="Calibri"/>
                <w:b/>
                <w:bCs/>
                <w:color w:val="000000"/>
                <w:sz w:val="22"/>
                <w:szCs w:val="22"/>
                <w:u w:val="single"/>
              </w:rPr>
            </w:pPr>
            <w:r w:rsidRPr="00A62DE3">
              <w:rPr>
                <w:rFonts w:cs="Calibri"/>
                <w:b/>
                <w:bCs/>
                <w:color w:val="000000"/>
                <w:sz w:val="22"/>
                <w:szCs w:val="22"/>
                <w:u w:val="single"/>
              </w:rPr>
              <w:t>KEY:</w:t>
            </w:r>
          </w:p>
        </w:tc>
        <w:tc>
          <w:tcPr>
            <w:tcW w:w="3541" w:type="dxa"/>
            <w:tcBorders>
              <w:top w:val="nil"/>
              <w:left w:val="nil"/>
              <w:bottom w:val="nil"/>
              <w:right w:val="nil"/>
            </w:tcBorders>
            <w:shd w:val="clear" w:color="auto" w:fill="auto"/>
            <w:noWrap/>
            <w:vAlign w:val="bottom"/>
            <w:hideMark/>
          </w:tcPr>
          <w:p w14:paraId="337CC7D0" w14:textId="77777777" w:rsidR="002648CE" w:rsidRPr="00A62DE3" w:rsidRDefault="002648CE" w:rsidP="00400038">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550A3367"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362E325"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3B0A510" w14:textId="77777777" w:rsidR="002648CE" w:rsidRPr="00A62DE3" w:rsidRDefault="002648CE" w:rsidP="00400038">
            <w:pPr>
              <w:rPr>
                <w:rFonts w:ascii="Times New Roman" w:hAnsi="Times New Roman"/>
                <w:sz w:val="20"/>
                <w:szCs w:val="20"/>
              </w:rPr>
            </w:pPr>
          </w:p>
        </w:tc>
      </w:tr>
      <w:tr w:rsidR="002648CE" w:rsidRPr="00A62DE3" w14:paraId="4F4BA2FC" w14:textId="77777777" w:rsidTr="00400038">
        <w:trPr>
          <w:trHeight w:val="402"/>
        </w:trPr>
        <w:tc>
          <w:tcPr>
            <w:tcW w:w="2859" w:type="dxa"/>
            <w:gridSpan w:val="2"/>
            <w:tcBorders>
              <w:top w:val="nil"/>
              <w:left w:val="single" w:sz="4" w:space="0" w:color="auto"/>
              <w:bottom w:val="nil"/>
              <w:right w:val="nil"/>
            </w:tcBorders>
            <w:shd w:val="clear" w:color="auto" w:fill="auto"/>
            <w:noWrap/>
            <w:vAlign w:val="bottom"/>
            <w:hideMark/>
          </w:tcPr>
          <w:p w14:paraId="1753CFFD" w14:textId="77777777" w:rsidR="002648CE" w:rsidRPr="00A62DE3" w:rsidRDefault="002648CE" w:rsidP="00400038">
            <w:pPr>
              <w:rPr>
                <w:rFonts w:cs="Calibri"/>
                <w:b/>
                <w:bCs/>
                <w:color w:val="000000"/>
                <w:sz w:val="22"/>
                <w:szCs w:val="22"/>
              </w:rPr>
            </w:pPr>
            <w:r w:rsidRPr="00A62DE3">
              <w:rPr>
                <w:rFonts w:cs="Calibri"/>
                <w:b/>
                <w:bCs/>
                <w:color w:val="000000"/>
                <w:sz w:val="22"/>
                <w:szCs w:val="22"/>
              </w:rPr>
              <w:t>I = Introduced</w:t>
            </w:r>
          </w:p>
        </w:tc>
        <w:tc>
          <w:tcPr>
            <w:tcW w:w="3541" w:type="dxa"/>
            <w:tcBorders>
              <w:top w:val="nil"/>
              <w:left w:val="nil"/>
              <w:bottom w:val="nil"/>
              <w:right w:val="nil"/>
            </w:tcBorders>
            <w:shd w:val="clear" w:color="auto" w:fill="auto"/>
            <w:noWrap/>
            <w:vAlign w:val="bottom"/>
            <w:hideMark/>
          </w:tcPr>
          <w:p w14:paraId="055EE392" w14:textId="77777777" w:rsidR="002648CE" w:rsidRPr="00A62DE3" w:rsidRDefault="002648CE" w:rsidP="0040003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44D1688"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C66259D"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5BDD971" w14:textId="77777777" w:rsidR="002648CE" w:rsidRPr="00A62DE3" w:rsidRDefault="002648CE" w:rsidP="00400038">
            <w:pPr>
              <w:rPr>
                <w:rFonts w:ascii="Times New Roman" w:hAnsi="Times New Roman"/>
                <w:sz w:val="20"/>
                <w:szCs w:val="20"/>
              </w:rPr>
            </w:pPr>
          </w:p>
        </w:tc>
      </w:tr>
      <w:tr w:rsidR="002648CE" w:rsidRPr="00A62DE3" w14:paraId="4375BE04" w14:textId="77777777" w:rsidTr="00400038">
        <w:trPr>
          <w:trHeight w:val="402"/>
        </w:trPr>
        <w:tc>
          <w:tcPr>
            <w:tcW w:w="2859" w:type="dxa"/>
            <w:gridSpan w:val="2"/>
            <w:tcBorders>
              <w:top w:val="nil"/>
              <w:left w:val="single" w:sz="4" w:space="0" w:color="auto"/>
              <w:bottom w:val="nil"/>
              <w:right w:val="nil"/>
            </w:tcBorders>
            <w:shd w:val="clear" w:color="auto" w:fill="auto"/>
            <w:noWrap/>
            <w:vAlign w:val="bottom"/>
            <w:hideMark/>
          </w:tcPr>
          <w:p w14:paraId="23B87CB5" w14:textId="77777777" w:rsidR="002648CE" w:rsidRPr="00A62DE3" w:rsidRDefault="002648CE" w:rsidP="00400038">
            <w:pPr>
              <w:rPr>
                <w:rFonts w:cs="Calibri"/>
                <w:b/>
                <w:bCs/>
                <w:color w:val="000000"/>
                <w:sz w:val="22"/>
                <w:szCs w:val="22"/>
              </w:rPr>
            </w:pPr>
            <w:r w:rsidRPr="00A62DE3">
              <w:rPr>
                <w:rFonts w:cs="Calibri"/>
                <w:b/>
                <w:bCs/>
                <w:color w:val="000000"/>
                <w:sz w:val="22"/>
                <w:szCs w:val="22"/>
              </w:rPr>
              <w:t>R = Reinforced/Developed</w:t>
            </w:r>
          </w:p>
        </w:tc>
        <w:tc>
          <w:tcPr>
            <w:tcW w:w="3541" w:type="dxa"/>
            <w:tcBorders>
              <w:top w:val="nil"/>
              <w:left w:val="nil"/>
              <w:bottom w:val="nil"/>
              <w:right w:val="nil"/>
            </w:tcBorders>
            <w:shd w:val="clear" w:color="auto" w:fill="auto"/>
            <w:noWrap/>
            <w:vAlign w:val="bottom"/>
            <w:hideMark/>
          </w:tcPr>
          <w:p w14:paraId="7794F974" w14:textId="77777777" w:rsidR="002648CE" w:rsidRPr="00A62DE3" w:rsidRDefault="002648CE" w:rsidP="0040003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932BED8"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AD026EF"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E7256B9" w14:textId="77777777" w:rsidR="002648CE" w:rsidRPr="00A62DE3" w:rsidRDefault="002648CE" w:rsidP="00400038">
            <w:pPr>
              <w:rPr>
                <w:rFonts w:ascii="Times New Roman" w:hAnsi="Times New Roman"/>
                <w:sz w:val="20"/>
                <w:szCs w:val="20"/>
              </w:rPr>
            </w:pPr>
          </w:p>
        </w:tc>
      </w:tr>
      <w:tr w:rsidR="002648CE" w:rsidRPr="00A62DE3" w14:paraId="08D38B30" w14:textId="77777777" w:rsidTr="00400038">
        <w:trPr>
          <w:trHeight w:val="402"/>
        </w:trPr>
        <w:tc>
          <w:tcPr>
            <w:tcW w:w="2859" w:type="dxa"/>
            <w:gridSpan w:val="2"/>
            <w:tcBorders>
              <w:top w:val="nil"/>
              <w:left w:val="single" w:sz="4" w:space="0" w:color="auto"/>
              <w:bottom w:val="nil"/>
              <w:right w:val="nil"/>
            </w:tcBorders>
            <w:shd w:val="clear" w:color="auto" w:fill="auto"/>
            <w:noWrap/>
            <w:vAlign w:val="bottom"/>
            <w:hideMark/>
          </w:tcPr>
          <w:p w14:paraId="17076BE2" w14:textId="77777777" w:rsidR="002648CE" w:rsidRPr="00A62DE3" w:rsidRDefault="002648CE" w:rsidP="00400038">
            <w:pPr>
              <w:rPr>
                <w:rFonts w:cs="Calibri"/>
                <w:b/>
                <w:bCs/>
                <w:color w:val="000000"/>
                <w:sz w:val="22"/>
                <w:szCs w:val="22"/>
              </w:rPr>
            </w:pPr>
            <w:r w:rsidRPr="00A62DE3">
              <w:rPr>
                <w:rFonts w:cs="Calibri"/>
                <w:b/>
                <w:bCs/>
                <w:color w:val="000000"/>
                <w:sz w:val="22"/>
                <w:szCs w:val="22"/>
              </w:rPr>
              <w:t>M = Mastered</w:t>
            </w:r>
          </w:p>
        </w:tc>
        <w:tc>
          <w:tcPr>
            <w:tcW w:w="3541" w:type="dxa"/>
            <w:tcBorders>
              <w:top w:val="nil"/>
              <w:left w:val="nil"/>
              <w:bottom w:val="nil"/>
              <w:right w:val="nil"/>
            </w:tcBorders>
            <w:shd w:val="clear" w:color="auto" w:fill="auto"/>
            <w:noWrap/>
            <w:vAlign w:val="bottom"/>
            <w:hideMark/>
          </w:tcPr>
          <w:p w14:paraId="12C27B12" w14:textId="77777777" w:rsidR="002648CE" w:rsidRPr="00A62DE3" w:rsidRDefault="002648CE" w:rsidP="0040003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9F81D55"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E8A1DC5"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3A4EAE1" w14:textId="77777777" w:rsidR="002648CE" w:rsidRPr="00A62DE3" w:rsidRDefault="002648CE" w:rsidP="00400038">
            <w:pPr>
              <w:rPr>
                <w:rFonts w:ascii="Times New Roman" w:hAnsi="Times New Roman"/>
                <w:sz w:val="20"/>
                <w:szCs w:val="20"/>
              </w:rPr>
            </w:pPr>
          </w:p>
        </w:tc>
      </w:tr>
      <w:tr w:rsidR="002648CE" w:rsidRPr="00A62DE3" w14:paraId="33378045" w14:textId="77777777" w:rsidTr="00400038">
        <w:trPr>
          <w:trHeight w:val="360"/>
        </w:trPr>
        <w:tc>
          <w:tcPr>
            <w:tcW w:w="2859" w:type="dxa"/>
            <w:gridSpan w:val="2"/>
            <w:tcBorders>
              <w:top w:val="nil"/>
              <w:left w:val="single" w:sz="4" w:space="0" w:color="auto"/>
              <w:bottom w:val="single" w:sz="4" w:space="0" w:color="auto"/>
              <w:right w:val="nil"/>
            </w:tcBorders>
            <w:shd w:val="clear" w:color="auto" w:fill="auto"/>
            <w:noWrap/>
            <w:vAlign w:val="bottom"/>
            <w:hideMark/>
          </w:tcPr>
          <w:p w14:paraId="368F74EC" w14:textId="77777777" w:rsidR="002648CE" w:rsidRPr="00A62DE3" w:rsidRDefault="002648CE" w:rsidP="00400038">
            <w:pPr>
              <w:rPr>
                <w:rFonts w:cs="Calibri"/>
                <w:b/>
                <w:bCs/>
                <w:color w:val="000000"/>
                <w:sz w:val="22"/>
                <w:szCs w:val="22"/>
              </w:rPr>
            </w:pPr>
            <w:r w:rsidRPr="00A62DE3">
              <w:rPr>
                <w:rFonts w:cs="Calibri"/>
                <w:b/>
                <w:bCs/>
                <w:color w:val="000000"/>
                <w:sz w:val="22"/>
                <w:szCs w:val="22"/>
              </w:rPr>
              <w:t>A = Assessed</w:t>
            </w:r>
          </w:p>
        </w:tc>
        <w:tc>
          <w:tcPr>
            <w:tcW w:w="3541" w:type="dxa"/>
            <w:tcBorders>
              <w:top w:val="nil"/>
              <w:left w:val="nil"/>
              <w:bottom w:val="nil"/>
              <w:right w:val="nil"/>
            </w:tcBorders>
            <w:shd w:val="clear" w:color="auto" w:fill="auto"/>
            <w:noWrap/>
            <w:vAlign w:val="bottom"/>
            <w:hideMark/>
          </w:tcPr>
          <w:p w14:paraId="38855C53" w14:textId="77777777" w:rsidR="002648CE" w:rsidRPr="00A62DE3" w:rsidRDefault="002648CE" w:rsidP="00400038">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6F33A6C7"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B921D33" w14:textId="77777777" w:rsidR="002648CE" w:rsidRPr="00A62DE3" w:rsidRDefault="002648CE" w:rsidP="0040003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F76FF93" w14:textId="77777777" w:rsidR="002648CE" w:rsidRPr="00A62DE3" w:rsidRDefault="002648CE" w:rsidP="00400038">
            <w:pPr>
              <w:rPr>
                <w:rFonts w:ascii="Times New Roman" w:hAnsi="Times New Roman"/>
                <w:sz w:val="20"/>
                <w:szCs w:val="20"/>
              </w:rPr>
            </w:pPr>
          </w:p>
        </w:tc>
      </w:tr>
      <w:tr w:rsidR="002648CE" w:rsidRPr="00A62DE3" w14:paraId="0E9B2F5A" w14:textId="77777777" w:rsidTr="00400038">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340B70C" w14:textId="77777777" w:rsidR="002648CE" w:rsidRPr="00A62DE3" w:rsidRDefault="002648CE" w:rsidP="00400038">
            <w:pPr>
              <w:rPr>
                <w:rFonts w:cs="Calibri"/>
                <w:b/>
                <w:bCs/>
                <w:sz w:val="22"/>
                <w:szCs w:val="22"/>
              </w:rPr>
            </w:pPr>
            <w:r w:rsidRPr="00A62DE3">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14BB3B5A" w14:textId="77777777" w:rsidR="002648CE" w:rsidRPr="00A62DE3" w:rsidRDefault="002648CE" w:rsidP="00400038">
            <w:pPr>
              <w:rPr>
                <w:rFonts w:cs="Calibri"/>
                <w:b/>
                <w:bCs/>
                <w:sz w:val="22"/>
                <w:szCs w:val="22"/>
              </w:rPr>
            </w:pPr>
            <w:r w:rsidRPr="00A62DE3">
              <w:rPr>
                <w:rFonts w:cs="Calibri"/>
                <w:b/>
                <w:bCs/>
                <w:sz w:val="22"/>
                <w:szCs w:val="22"/>
              </w:rPr>
              <w:t> </w:t>
            </w:r>
          </w:p>
        </w:tc>
        <w:tc>
          <w:tcPr>
            <w:tcW w:w="3541" w:type="dxa"/>
            <w:tcBorders>
              <w:top w:val="single" w:sz="4" w:space="0" w:color="auto"/>
              <w:left w:val="nil"/>
              <w:bottom w:val="single" w:sz="4" w:space="0" w:color="auto"/>
              <w:right w:val="single" w:sz="4" w:space="0" w:color="auto"/>
            </w:tcBorders>
            <w:shd w:val="clear" w:color="000000" w:fill="C5D9F1"/>
            <w:noWrap/>
            <w:vAlign w:val="bottom"/>
            <w:hideMark/>
          </w:tcPr>
          <w:p w14:paraId="6DE0A610" w14:textId="77777777" w:rsidR="002648CE" w:rsidRPr="00A62DE3" w:rsidRDefault="002648CE" w:rsidP="00400038">
            <w:pPr>
              <w:rPr>
                <w:rFonts w:cs="Calibri"/>
                <w:b/>
                <w:bCs/>
                <w:sz w:val="22"/>
                <w:szCs w:val="22"/>
              </w:rPr>
            </w:pPr>
            <w:r w:rsidRPr="00A62DE3">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5E4FA0C2" w14:textId="77777777" w:rsidR="002648CE" w:rsidRPr="00A62DE3" w:rsidRDefault="002648CE" w:rsidP="00400038">
            <w:pPr>
              <w:rPr>
                <w:rFonts w:cs="Calibri"/>
                <w:b/>
                <w:bCs/>
                <w:sz w:val="22"/>
                <w:szCs w:val="22"/>
              </w:rPr>
            </w:pPr>
            <w:r w:rsidRPr="00A62DE3">
              <w:rPr>
                <w:rFonts w:cs="Calibri"/>
                <w:b/>
                <w:bCs/>
                <w:sz w:val="22"/>
                <w:szCs w:val="22"/>
              </w:rPr>
              <w:t>Learning Outcomes</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2FD71083" w14:textId="77777777" w:rsidR="002648CE" w:rsidRPr="00A62DE3" w:rsidRDefault="002648CE" w:rsidP="00400038">
            <w:pPr>
              <w:rPr>
                <w:rFonts w:cs="Calibri"/>
                <w:b/>
                <w:bCs/>
                <w:sz w:val="22"/>
                <w:szCs w:val="22"/>
              </w:rPr>
            </w:pPr>
            <w:r w:rsidRPr="00A62DE3">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68A149DA" w14:textId="77777777" w:rsidR="002648CE" w:rsidRPr="00A62DE3" w:rsidRDefault="002648CE" w:rsidP="00400038">
            <w:pPr>
              <w:rPr>
                <w:rFonts w:cs="Calibri"/>
                <w:b/>
                <w:bCs/>
                <w:sz w:val="22"/>
                <w:szCs w:val="22"/>
              </w:rPr>
            </w:pPr>
            <w:r w:rsidRPr="00A62DE3">
              <w:rPr>
                <w:rFonts w:cs="Calibri"/>
                <w:b/>
                <w:bCs/>
                <w:sz w:val="22"/>
                <w:szCs w:val="22"/>
              </w:rPr>
              <w:t> </w:t>
            </w:r>
          </w:p>
        </w:tc>
      </w:tr>
      <w:tr w:rsidR="002648CE" w:rsidRPr="00A62DE3" w14:paraId="68B21229" w14:textId="77777777" w:rsidTr="00400038">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2744C89" w14:textId="77777777" w:rsidR="002648CE" w:rsidRPr="00A62DE3" w:rsidRDefault="002648CE" w:rsidP="00400038">
            <w:pPr>
              <w:rPr>
                <w:rFonts w:cs="Calibri"/>
                <w:b/>
                <w:bCs/>
                <w:sz w:val="22"/>
                <w:szCs w:val="22"/>
              </w:rPr>
            </w:pPr>
            <w:r w:rsidRPr="00A62DE3">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72A9107D" w14:textId="77777777" w:rsidR="002648CE" w:rsidRPr="00A62DE3" w:rsidRDefault="002648CE" w:rsidP="00400038">
            <w:pPr>
              <w:rPr>
                <w:rFonts w:cs="Calibri"/>
                <w:b/>
                <w:bCs/>
                <w:sz w:val="22"/>
                <w:szCs w:val="22"/>
              </w:rPr>
            </w:pPr>
            <w:r w:rsidRPr="00A62DE3">
              <w:rPr>
                <w:rFonts w:cs="Calibri"/>
                <w:b/>
                <w:bCs/>
                <w:sz w:val="22"/>
                <w:szCs w:val="22"/>
              </w:rPr>
              <w:t> </w:t>
            </w:r>
          </w:p>
        </w:tc>
        <w:tc>
          <w:tcPr>
            <w:tcW w:w="3541" w:type="dxa"/>
            <w:tcBorders>
              <w:top w:val="nil"/>
              <w:left w:val="nil"/>
              <w:bottom w:val="single" w:sz="4" w:space="0" w:color="auto"/>
              <w:right w:val="single" w:sz="4" w:space="0" w:color="auto"/>
            </w:tcBorders>
            <w:shd w:val="clear" w:color="000000" w:fill="C5D9F1"/>
            <w:noWrap/>
            <w:vAlign w:val="bottom"/>
            <w:hideMark/>
          </w:tcPr>
          <w:p w14:paraId="5AEA7AD4" w14:textId="77777777" w:rsidR="002648CE" w:rsidRPr="00A62DE3" w:rsidRDefault="002648CE" w:rsidP="00400038">
            <w:pPr>
              <w:rPr>
                <w:rFonts w:cs="Calibri"/>
                <w:b/>
                <w:bCs/>
                <w:sz w:val="22"/>
                <w:szCs w:val="22"/>
              </w:rPr>
            </w:pPr>
            <w:r w:rsidRPr="00A62DE3">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7076F4C0" w14:textId="77777777" w:rsidR="002648CE" w:rsidRPr="00A62DE3" w:rsidRDefault="002648CE" w:rsidP="00400038">
            <w:pPr>
              <w:rPr>
                <w:rFonts w:cs="Calibri"/>
                <w:b/>
                <w:bCs/>
                <w:sz w:val="22"/>
                <w:szCs w:val="22"/>
              </w:rPr>
            </w:pPr>
            <w:r w:rsidRPr="00A62DE3">
              <w:rPr>
                <w:rFonts w:cs="Calibri"/>
                <w:b/>
                <w:bCs/>
                <w:sz w:val="22"/>
                <w:szCs w:val="22"/>
              </w:rPr>
              <w:t>LO1:</w:t>
            </w:r>
          </w:p>
        </w:tc>
        <w:tc>
          <w:tcPr>
            <w:tcW w:w="2200" w:type="dxa"/>
            <w:tcBorders>
              <w:top w:val="nil"/>
              <w:left w:val="nil"/>
              <w:bottom w:val="single" w:sz="4" w:space="0" w:color="auto"/>
              <w:right w:val="single" w:sz="4" w:space="0" w:color="auto"/>
            </w:tcBorders>
            <w:shd w:val="clear" w:color="000000" w:fill="C5D9F1"/>
            <w:noWrap/>
            <w:vAlign w:val="bottom"/>
            <w:hideMark/>
          </w:tcPr>
          <w:p w14:paraId="1E984C82" w14:textId="77777777" w:rsidR="002648CE" w:rsidRPr="00A62DE3" w:rsidRDefault="002648CE" w:rsidP="00400038">
            <w:pPr>
              <w:rPr>
                <w:rFonts w:cs="Calibri"/>
                <w:b/>
                <w:bCs/>
                <w:sz w:val="22"/>
                <w:szCs w:val="22"/>
              </w:rPr>
            </w:pPr>
            <w:r w:rsidRPr="00A62DE3">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53BBDA49" w14:textId="77777777" w:rsidR="002648CE" w:rsidRPr="00A62DE3" w:rsidRDefault="002648CE" w:rsidP="00400038">
            <w:pPr>
              <w:rPr>
                <w:rFonts w:cs="Calibri"/>
                <w:b/>
                <w:bCs/>
                <w:sz w:val="22"/>
                <w:szCs w:val="22"/>
              </w:rPr>
            </w:pPr>
            <w:r w:rsidRPr="00A62DE3">
              <w:rPr>
                <w:rFonts w:cs="Calibri"/>
                <w:b/>
                <w:bCs/>
                <w:sz w:val="22"/>
                <w:szCs w:val="22"/>
              </w:rPr>
              <w:t>LO3:</w:t>
            </w:r>
          </w:p>
        </w:tc>
      </w:tr>
      <w:tr w:rsidR="002648CE" w:rsidRPr="00A62DE3" w14:paraId="76C8A95B" w14:textId="77777777" w:rsidTr="00400038">
        <w:trPr>
          <w:trHeight w:val="2400"/>
        </w:trPr>
        <w:tc>
          <w:tcPr>
            <w:tcW w:w="1872" w:type="dxa"/>
            <w:tcBorders>
              <w:top w:val="nil"/>
              <w:left w:val="single" w:sz="4" w:space="0" w:color="auto"/>
              <w:bottom w:val="nil"/>
              <w:right w:val="nil"/>
            </w:tcBorders>
            <w:shd w:val="clear" w:color="auto" w:fill="auto"/>
            <w:noWrap/>
            <w:vAlign w:val="bottom"/>
            <w:hideMark/>
          </w:tcPr>
          <w:p w14:paraId="126FA177" w14:textId="77777777" w:rsidR="002648CE" w:rsidRPr="00A62DE3" w:rsidRDefault="002648CE" w:rsidP="00400038">
            <w:pPr>
              <w:rPr>
                <w:rFonts w:cs="Calibri"/>
                <w:sz w:val="22"/>
                <w:szCs w:val="22"/>
              </w:rPr>
            </w:pPr>
            <w:r w:rsidRPr="00A62DE3">
              <w:rPr>
                <w:rFonts w:cs="Calibri"/>
                <w:sz w:val="22"/>
                <w:szCs w:val="22"/>
              </w:rPr>
              <w:t> </w:t>
            </w:r>
          </w:p>
        </w:tc>
        <w:tc>
          <w:tcPr>
            <w:tcW w:w="987" w:type="dxa"/>
            <w:tcBorders>
              <w:top w:val="nil"/>
              <w:left w:val="nil"/>
              <w:bottom w:val="nil"/>
              <w:right w:val="nil"/>
            </w:tcBorders>
            <w:shd w:val="clear" w:color="auto" w:fill="auto"/>
            <w:noWrap/>
            <w:vAlign w:val="bottom"/>
            <w:hideMark/>
          </w:tcPr>
          <w:p w14:paraId="5F91FB4A" w14:textId="77777777" w:rsidR="002648CE" w:rsidRPr="00A62DE3" w:rsidRDefault="002648CE" w:rsidP="00400038">
            <w:pPr>
              <w:rPr>
                <w:rFonts w:cs="Calibri"/>
                <w:sz w:val="22"/>
                <w:szCs w:val="22"/>
              </w:rPr>
            </w:pPr>
          </w:p>
        </w:tc>
        <w:tc>
          <w:tcPr>
            <w:tcW w:w="3541" w:type="dxa"/>
            <w:tcBorders>
              <w:top w:val="nil"/>
              <w:left w:val="nil"/>
              <w:bottom w:val="nil"/>
              <w:right w:val="nil"/>
            </w:tcBorders>
            <w:shd w:val="clear" w:color="auto" w:fill="auto"/>
            <w:noWrap/>
            <w:vAlign w:val="bottom"/>
            <w:hideMark/>
          </w:tcPr>
          <w:p w14:paraId="7E623466" w14:textId="77777777" w:rsidR="002648CE" w:rsidRPr="00A62DE3" w:rsidRDefault="002648CE" w:rsidP="00400038">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18812A30" w14:textId="77777777" w:rsidR="002648CE" w:rsidRPr="00A62DE3" w:rsidRDefault="002648CE" w:rsidP="00400038">
            <w:pPr>
              <w:rPr>
                <w:rFonts w:cs="Calibri"/>
                <w:sz w:val="22"/>
                <w:szCs w:val="22"/>
              </w:rPr>
            </w:pPr>
            <w:r w:rsidRPr="00A62DE3">
              <w:rPr>
                <w:rFonts w:cs="Calibri"/>
                <w:sz w:val="22"/>
                <w:szCs w:val="22"/>
              </w:rPr>
              <w:t>Graduates will demonstrate a degree of biological content knowledge appropriate to their degree level.</w:t>
            </w:r>
          </w:p>
        </w:tc>
        <w:tc>
          <w:tcPr>
            <w:tcW w:w="2200" w:type="dxa"/>
            <w:tcBorders>
              <w:top w:val="nil"/>
              <w:left w:val="nil"/>
              <w:bottom w:val="single" w:sz="4" w:space="0" w:color="auto"/>
              <w:right w:val="single" w:sz="4" w:space="0" w:color="auto"/>
            </w:tcBorders>
            <w:shd w:val="clear" w:color="auto" w:fill="auto"/>
            <w:vAlign w:val="bottom"/>
            <w:hideMark/>
          </w:tcPr>
          <w:p w14:paraId="2E3C341A" w14:textId="77777777" w:rsidR="002648CE" w:rsidRPr="00A62DE3" w:rsidRDefault="002648CE" w:rsidP="00400038">
            <w:pPr>
              <w:rPr>
                <w:rFonts w:cs="Calibri"/>
                <w:sz w:val="22"/>
                <w:szCs w:val="22"/>
              </w:rPr>
            </w:pPr>
            <w:r w:rsidRPr="00A62DE3">
              <w:rPr>
                <w:rFonts w:cs="Calibri"/>
                <w:sz w:val="22"/>
                <w:szCs w:val="22"/>
              </w:rPr>
              <w:t>Graduates will demonstrate the ability to apply scientific methodology and field/ laboratory/ analytical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56A799EB" w14:textId="77777777" w:rsidR="002648CE" w:rsidRPr="00A62DE3" w:rsidRDefault="002648CE" w:rsidP="00400038">
            <w:pPr>
              <w:rPr>
                <w:rFonts w:cs="Calibri"/>
                <w:sz w:val="22"/>
                <w:szCs w:val="22"/>
              </w:rPr>
            </w:pPr>
            <w:r w:rsidRPr="00A62DE3">
              <w:rPr>
                <w:rFonts w:cs="Calibri"/>
                <w:sz w:val="22"/>
                <w:szCs w:val="22"/>
              </w:rPr>
              <w:t>Graduates will demonstrate an understanding of research ethics and responsible conduct of research.</w:t>
            </w:r>
          </w:p>
        </w:tc>
      </w:tr>
      <w:tr w:rsidR="002648CE" w:rsidRPr="00A62DE3" w14:paraId="03894280" w14:textId="77777777" w:rsidTr="00400038">
        <w:trPr>
          <w:trHeight w:val="30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B15F1DC" w14:textId="77777777" w:rsidR="002648CE" w:rsidRPr="00A62DE3" w:rsidRDefault="002648CE" w:rsidP="00400038">
            <w:pPr>
              <w:rPr>
                <w:rFonts w:cs="Calibri"/>
                <w:b/>
                <w:bCs/>
                <w:sz w:val="22"/>
                <w:szCs w:val="22"/>
              </w:rPr>
            </w:pPr>
            <w:r w:rsidRPr="00A62DE3">
              <w:rPr>
                <w:rFonts w:cs="Calibri"/>
                <w:b/>
                <w:bCs/>
                <w:sz w:val="22"/>
                <w:szCs w:val="22"/>
              </w:rPr>
              <w:t>Course Subject</w:t>
            </w:r>
          </w:p>
        </w:tc>
        <w:tc>
          <w:tcPr>
            <w:tcW w:w="987" w:type="dxa"/>
            <w:tcBorders>
              <w:top w:val="single" w:sz="4" w:space="0" w:color="auto"/>
              <w:left w:val="nil"/>
              <w:bottom w:val="single" w:sz="4" w:space="0" w:color="auto"/>
              <w:right w:val="single" w:sz="4" w:space="0" w:color="auto"/>
            </w:tcBorders>
            <w:shd w:val="clear" w:color="000000" w:fill="C5D9F1"/>
            <w:noWrap/>
            <w:vAlign w:val="bottom"/>
            <w:hideMark/>
          </w:tcPr>
          <w:p w14:paraId="63EC4AAE" w14:textId="77777777" w:rsidR="002648CE" w:rsidRPr="00A62DE3" w:rsidRDefault="002648CE" w:rsidP="00400038">
            <w:pPr>
              <w:rPr>
                <w:rFonts w:cs="Calibri"/>
                <w:b/>
                <w:bCs/>
                <w:sz w:val="22"/>
                <w:szCs w:val="22"/>
              </w:rPr>
            </w:pPr>
            <w:r w:rsidRPr="00A62DE3">
              <w:rPr>
                <w:rFonts w:cs="Calibri"/>
                <w:b/>
                <w:bCs/>
                <w:sz w:val="22"/>
                <w:szCs w:val="22"/>
              </w:rPr>
              <w:t>Number</w:t>
            </w:r>
          </w:p>
        </w:tc>
        <w:tc>
          <w:tcPr>
            <w:tcW w:w="3541" w:type="dxa"/>
            <w:tcBorders>
              <w:top w:val="single" w:sz="4" w:space="0" w:color="auto"/>
              <w:left w:val="nil"/>
              <w:bottom w:val="single" w:sz="4" w:space="0" w:color="auto"/>
              <w:right w:val="single" w:sz="4" w:space="0" w:color="auto"/>
            </w:tcBorders>
            <w:shd w:val="clear" w:color="000000" w:fill="C5D9F1"/>
            <w:noWrap/>
            <w:vAlign w:val="bottom"/>
            <w:hideMark/>
          </w:tcPr>
          <w:p w14:paraId="7AF9D32B" w14:textId="77777777" w:rsidR="002648CE" w:rsidRPr="00A62DE3" w:rsidRDefault="002648CE" w:rsidP="00400038">
            <w:pPr>
              <w:rPr>
                <w:rFonts w:cs="Calibri"/>
                <w:b/>
                <w:bCs/>
                <w:sz w:val="22"/>
                <w:szCs w:val="22"/>
              </w:rPr>
            </w:pPr>
            <w:r w:rsidRPr="00A62DE3">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5D271048" w14:textId="77777777" w:rsidR="002648CE" w:rsidRPr="00A62DE3" w:rsidRDefault="002648CE" w:rsidP="00400038">
            <w:pPr>
              <w:rPr>
                <w:rFonts w:cs="Calibri"/>
                <w:color w:val="000000"/>
                <w:sz w:val="22"/>
                <w:szCs w:val="22"/>
              </w:rPr>
            </w:pPr>
            <w:r w:rsidRPr="00A62DE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EA87725" w14:textId="77777777" w:rsidR="002648CE" w:rsidRPr="00A62DE3" w:rsidRDefault="002648CE" w:rsidP="00400038">
            <w:pPr>
              <w:rPr>
                <w:rFonts w:cs="Calibri"/>
                <w:color w:val="000000"/>
                <w:sz w:val="22"/>
                <w:szCs w:val="22"/>
              </w:rPr>
            </w:pPr>
            <w:r w:rsidRPr="00A62DE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FEF89E0" w14:textId="77777777" w:rsidR="002648CE" w:rsidRPr="00A62DE3" w:rsidRDefault="002648CE" w:rsidP="00400038">
            <w:pPr>
              <w:rPr>
                <w:rFonts w:cs="Calibri"/>
                <w:color w:val="000000"/>
                <w:sz w:val="22"/>
                <w:szCs w:val="22"/>
              </w:rPr>
            </w:pPr>
            <w:r w:rsidRPr="00A62DE3">
              <w:rPr>
                <w:rFonts w:cs="Calibri"/>
                <w:color w:val="000000"/>
                <w:sz w:val="22"/>
                <w:szCs w:val="22"/>
              </w:rPr>
              <w:t> </w:t>
            </w:r>
          </w:p>
        </w:tc>
      </w:tr>
      <w:tr w:rsidR="002648CE" w:rsidRPr="00A62DE3" w14:paraId="6F82EC27" w14:textId="77777777" w:rsidTr="00400038">
        <w:trPr>
          <w:trHeight w:val="9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43C8E019" w14:textId="77777777" w:rsidR="002648CE" w:rsidRPr="00A62DE3" w:rsidRDefault="002648CE" w:rsidP="00400038">
            <w:pPr>
              <w:rPr>
                <w:rFonts w:cs="Calibri"/>
                <w:color w:val="000000"/>
                <w:sz w:val="22"/>
                <w:szCs w:val="22"/>
              </w:rPr>
            </w:pPr>
            <w:r w:rsidRPr="00A62DE3">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0C49F062" w14:textId="77777777" w:rsidR="002648CE" w:rsidRPr="00A62DE3" w:rsidRDefault="002648CE" w:rsidP="00400038">
            <w:pPr>
              <w:jc w:val="right"/>
              <w:rPr>
                <w:rFonts w:cs="Calibri"/>
                <w:color w:val="000000"/>
                <w:sz w:val="22"/>
                <w:szCs w:val="22"/>
              </w:rPr>
            </w:pPr>
            <w:r w:rsidRPr="00A62DE3">
              <w:rPr>
                <w:rFonts w:cs="Calibri"/>
                <w:color w:val="000000"/>
                <w:sz w:val="22"/>
                <w:szCs w:val="22"/>
              </w:rPr>
              <w:t>500</w:t>
            </w:r>
          </w:p>
        </w:tc>
        <w:tc>
          <w:tcPr>
            <w:tcW w:w="3541" w:type="dxa"/>
            <w:tcBorders>
              <w:top w:val="nil"/>
              <w:left w:val="nil"/>
              <w:bottom w:val="single" w:sz="4" w:space="0" w:color="auto"/>
              <w:right w:val="single" w:sz="4" w:space="0" w:color="auto"/>
            </w:tcBorders>
            <w:shd w:val="clear" w:color="000000" w:fill="C5D9F1"/>
            <w:vAlign w:val="bottom"/>
            <w:hideMark/>
          </w:tcPr>
          <w:p w14:paraId="0B979627" w14:textId="77777777" w:rsidR="002648CE" w:rsidRPr="00A62DE3" w:rsidRDefault="002648CE" w:rsidP="00400038">
            <w:pPr>
              <w:rPr>
                <w:rFonts w:cs="Calibri"/>
                <w:color w:val="000000"/>
                <w:sz w:val="22"/>
                <w:szCs w:val="22"/>
              </w:rPr>
            </w:pPr>
            <w:r w:rsidRPr="00A62DE3">
              <w:rPr>
                <w:rFonts w:cs="Calibri"/>
                <w:color w:val="000000"/>
                <w:sz w:val="22"/>
                <w:szCs w:val="22"/>
              </w:rPr>
              <w:t>Introduction to Graduate Studies and Research in Biology (First Semester)</w:t>
            </w:r>
          </w:p>
        </w:tc>
        <w:tc>
          <w:tcPr>
            <w:tcW w:w="2360" w:type="dxa"/>
            <w:tcBorders>
              <w:top w:val="nil"/>
              <w:left w:val="nil"/>
              <w:bottom w:val="single" w:sz="4" w:space="0" w:color="auto"/>
              <w:right w:val="single" w:sz="4" w:space="0" w:color="auto"/>
            </w:tcBorders>
            <w:shd w:val="clear" w:color="auto" w:fill="auto"/>
            <w:noWrap/>
            <w:vAlign w:val="bottom"/>
            <w:hideMark/>
          </w:tcPr>
          <w:p w14:paraId="516812A2" w14:textId="77777777" w:rsidR="002648CE" w:rsidRPr="00A62DE3" w:rsidRDefault="002648CE" w:rsidP="00400038">
            <w:pPr>
              <w:rPr>
                <w:rFonts w:cs="Calibri"/>
                <w:color w:val="000000"/>
                <w:sz w:val="22"/>
                <w:szCs w:val="22"/>
              </w:rPr>
            </w:pPr>
            <w:r w:rsidRPr="00A62DE3">
              <w:rPr>
                <w:rFonts w:cs="Calibri"/>
                <w:color w:val="000000"/>
                <w:sz w:val="22"/>
                <w:szCs w:val="22"/>
              </w:rPr>
              <w:t>R,A</w:t>
            </w:r>
          </w:p>
        </w:tc>
        <w:tc>
          <w:tcPr>
            <w:tcW w:w="2200" w:type="dxa"/>
            <w:tcBorders>
              <w:top w:val="nil"/>
              <w:left w:val="nil"/>
              <w:bottom w:val="single" w:sz="4" w:space="0" w:color="auto"/>
              <w:right w:val="single" w:sz="4" w:space="0" w:color="auto"/>
            </w:tcBorders>
            <w:shd w:val="clear" w:color="auto" w:fill="auto"/>
            <w:noWrap/>
            <w:vAlign w:val="bottom"/>
            <w:hideMark/>
          </w:tcPr>
          <w:p w14:paraId="209FC119" w14:textId="77777777" w:rsidR="002648CE" w:rsidRPr="00A62DE3" w:rsidRDefault="002648CE" w:rsidP="00400038">
            <w:pPr>
              <w:rPr>
                <w:rFonts w:cs="Calibri"/>
                <w:color w:val="000000"/>
                <w:sz w:val="22"/>
                <w:szCs w:val="22"/>
              </w:rPr>
            </w:pPr>
            <w:r w:rsidRPr="00A62DE3">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BBF934E" w14:textId="77777777" w:rsidR="002648CE" w:rsidRPr="00A62DE3" w:rsidRDefault="002648CE" w:rsidP="00400038">
            <w:pPr>
              <w:rPr>
                <w:rFonts w:cs="Calibri"/>
                <w:sz w:val="22"/>
                <w:szCs w:val="22"/>
              </w:rPr>
            </w:pPr>
            <w:r w:rsidRPr="00A62DE3">
              <w:rPr>
                <w:rFonts w:cs="Calibri"/>
                <w:sz w:val="22"/>
                <w:szCs w:val="22"/>
              </w:rPr>
              <w:t>R,A</w:t>
            </w:r>
          </w:p>
        </w:tc>
      </w:tr>
      <w:tr w:rsidR="002648CE" w:rsidRPr="00A62DE3" w14:paraId="56E6DA28" w14:textId="77777777" w:rsidTr="00400038">
        <w:trPr>
          <w:trHeight w:val="6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CAA85B0" w14:textId="77777777" w:rsidR="002648CE" w:rsidRPr="00A62DE3" w:rsidRDefault="002648CE" w:rsidP="00400038">
            <w:pPr>
              <w:rPr>
                <w:rFonts w:cs="Calibri"/>
                <w:color w:val="000000"/>
                <w:sz w:val="22"/>
                <w:szCs w:val="22"/>
              </w:rPr>
            </w:pPr>
            <w:r w:rsidRPr="00A62DE3">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04D76B9C" w14:textId="77777777" w:rsidR="002648CE" w:rsidRPr="00A62DE3" w:rsidRDefault="002648CE" w:rsidP="00400038">
            <w:pPr>
              <w:jc w:val="right"/>
              <w:rPr>
                <w:rFonts w:cs="Calibri"/>
                <w:color w:val="000000"/>
                <w:sz w:val="22"/>
                <w:szCs w:val="22"/>
              </w:rPr>
            </w:pPr>
            <w:r w:rsidRPr="00A62DE3">
              <w:rPr>
                <w:rFonts w:cs="Calibri"/>
                <w:color w:val="000000"/>
                <w:sz w:val="22"/>
                <w:szCs w:val="22"/>
              </w:rPr>
              <w:t>4xxG</w:t>
            </w:r>
          </w:p>
        </w:tc>
        <w:tc>
          <w:tcPr>
            <w:tcW w:w="3541" w:type="dxa"/>
            <w:tcBorders>
              <w:top w:val="nil"/>
              <w:left w:val="nil"/>
              <w:bottom w:val="single" w:sz="4" w:space="0" w:color="auto"/>
              <w:right w:val="single" w:sz="4" w:space="0" w:color="auto"/>
            </w:tcBorders>
            <w:shd w:val="clear" w:color="000000" w:fill="C5D9F1"/>
            <w:vAlign w:val="bottom"/>
            <w:hideMark/>
          </w:tcPr>
          <w:p w14:paraId="5747FBC3" w14:textId="77777777" w:rsidR="002648CE" w:rsidRPr="00A62DE3" w:rsidRDefault="002648CE" w:rsidP="00400038">
            <w:pPr>
              <w:rPr>
                <w:rFonts w:cs="Calibri"/>
                <w:color w:val="000000"/>
                <w:sz w:val="22"/>
                <w:szCs w:val="22"/>
              </w:rPr>
            </w:pPr>
            <w:r w:rsidRPr="00A62DE3">
              <w:rPr>
                <w:rFonts w:cs="Calibri"/>
                <w:color w:val="000000"/>
                <w:sz w:val="22"/>
                <w:szCs w:val="22"/>
              </w:rPr>
              <w:t>Elective Courses in Biology (TBD by student's committee)</w:t>
            </w:r>
          </w:p>
        </w:tc>
        <w:tc>
          <w:tcPr>
            <w:tcW w:w="2360" w:type="dxa"/>
            <w:tcBorders>
              <w:top w:val="nil"/>
              <w:left w:val="nil"/>
              <w:bottom w:val="single" w:sz="4" w:space="0" w:color="auto"/>
              <w:right w:val="single" w:sz="4" w:space="0" w:color="auto"/>
            </w:tcBorders>
            <w:shd w:val="clear" w:color="auto" w:fill="auto"/>
            <w:noWrap/>
            <w:vAlign w:val="bottom"/>
            <w:hideMark/>
          </w:tcPr>
          <w:p w14:paraId="7F925B9A" w14:textId="77777777" w:rsidR="002648CE" w:rsidRPr="00A62DE3" w:rsidRDefault="002648CE" w:rsidP="00400038">
            <w:pPr>
              <w:rPr>
                <w:rFonts w:cs="Calibri"/>
                <w:color w:val="000000"/>
                <w:sz w:val="22"/>
                <w:szCs w:val="22"/>
              </w:rPr>
            </w:pPr>
            <w:r w:rsidRPr="00A62DE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2CD11523" w14:textId="77777777" w:rsidR="002648CE" w:rsidRPr="00A62DE3" w:rsidRDefault="002648CE" w:rsidP="00400038">
            <w:pPr>
              <w:rPr>
                <w:rFonts w:cs="Calibri"/>
                <w:color w:val="000000"/>
                <w:sz w:val="22"/>
                <w:szCs w:val="22"/>
              </w:rPr>
            </w:pPr>
            <w:r w:rsidRPr="00A62DE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C24B2A8" w14:textId="77777777" w:rsidR="002648CE" w:rsidRPr="00A62DE3" w:rsidRDefault="002648CE" w:rsidP="00400038">
            <w:pPr>
              <w:rPr>
                <w:rFonts w:cs="Calibri"/>
                <w:b/>
                <w:bCs/>
                <w:sz w:val="22"/>
                <w:szCs w:val="22"/>
              </w:rPr>
            </w:pPr>
            <w:r w:rsidRPr="00A62DE3">
              <w:rPr>
                <w:rFonts w:cs="Calibri"/>
                <w:b/>
                <w:bCs/>
                <w:sz w:val="22"/>
                <w:szCs w:val="22"/>
              </w:rPr>
              <w:t> </w:t>
            </w:r>
          </w:p>
        </w:tc>
      </w:tr>
      <w:tr w:rsidR="002648CE" w:rsidRPr="00A62DE3" w14:paraId="40A6B428" w14:textId="77777777" w:rsidTr="00400038">
        <w:trPr>
          <w:trHeight w:val="63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14C0592" w14:textId="77777777" w:rsidR="002648CE" w:rsidRPr="00A62DE3" w:rsidRDefault="002648CE" w:rsidP="00400038">
            <w:pPr>
              <w:rPr>
                <w:rFonts w:cs="Calibri"/>
                <w:color w:val="000000"/>
                <w:sz w:val="22"/>
                <w:szCs w:val="22"/>
              </w:rPr>
            </w:pPr>
            <w:r w:rsidRPr="00A62DE3">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0C7EB877" w14:textId="77777777" w:rsidR="002648CE" w:rsidRPr="00A62DE3" w:rsidRDefault="002648CE" w:rsidP="00400038">
            <w:pPr>
              <w:jc w:val="right"/>
              <w:rPr>
                <w:rFonts w:cs="Calibri"/>
                <w:color w:val="000000"/>
                <w:sz w:val="22"/>
                <w:szCs w:val="22"/>
              </w:rPr>
            </w:pPr>
            <w:r w:rsidRPr="00A62DE3">
              <w:rPr>
                <w:rFonts w:cs="Calibri"/>
                <w:color w:val="000000"/>
                <w:sz w:val="22"/>
                <w:szCs w:val="22"/>
              </w:rPr>
              <w:t>5xx</w:t>
            </w:r>
          </w:p>
        </w:tc>
        <w:tc>
          <w:tcPr>
            <w:tcW w:w="3541" w:type="dxa"/>
            <w:tcBorders>
              <w:top w:val="nil"/>
              <w:left w:val="nil"/>
              <w:bottom w:val="single" w:sz="4" w:space="0" w:color="auto"/>
              <w:right w:val="single" w:sz="4" w:space="0" w:color="auto"/>
            </w:tcBorders>
            <w:shd w:val="clear" w:color="000000" w:fill="C5D9F1"/>
            <w:vAlign w:val="bottom"/>
            <w:hideMark/>
          </w:tcPr>
          <w:p w14:paraId="74775B9C" w14:textId="77777777" w:rsidR="002648CE" w:rsidRPr="00A62DE3" w:rsidRDefault="002648CE" w:rsidP="00400038">
            <w:pPr>
              <w:rPr>
                <w:rFonts w:cs="Calibri"/>
                <w:color w:val="000000"/>
                <w:sz w:val="22"/>
                <w:szCs w:val="22"/>
              </w:rPr>
            </w:pPr>
            <w:r w:rsidRPr="00A62DE3">
              <w:rPr>
                <w:rFonts w:cs="Calibri"/>
                <w:color w:val="000000"/>
                <w:sz w:val="22"/>
                <w:szCs w:val="22"/>
              </w:rPr>
              <w:t>Elective Courses in Biology (TBD by student's graduate committee)</w:t>
            </w:r>
          </w:p>
        </w:tc>
        <w:tc>
          <w:tcPr>
            <w:tcW w:w="2360" w:type="dxa"/>
            <w:tcBorders>
              <w:top w:val="nil"/>
              <w:left w:val="nil"/>
              <w:bottom w:val="single" w:sz="4" w:space="0" w:color="auto"/>
              <w:right w:val="single" w:sz="4" w:space="0" w:color="auto"/>
            </w:tcBorders>
            <w:shd w:val="clear" w:color="auto" w:fill="auto"/>
            <w:noWrap/>
            <w:vAlign w:val="bottom"/>
            <w:hideMark/>
          </w:tcPr>
          <w:p w14:paraId="22025A39" w14:textId="77777777" w:rsidR="002648CE" w:rsidRPr="00A62DE3" w:rsidRDefault="002648CE" w:rsidP="00400038">
            <w:pPr>
              <w:rPr>
                <w:rFonts w:cs="Calibri"/>
                <w:color w:val="000000"/>
                <w:sz w:val="22"/>
                <w:szCs w:val="22"/>
              </w:rPr>
            </w:pPr>
            <w:r w:rsidRPr="00A62DE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4F4BFB92" w14:textId="77777777" w:rsidR="002648CE" w:rsidRPr="00A62DE3" w:rsidRDefault="002648CE" w:rsidP="00400038">
            <w:pPr>
              <w:rPr>
                <w:rFonts w:cs="Calibri"/>
                <w:color w:val="000000"/>
                <w:sz w:val="22"/>
                <w:szCs w:val="22"/>
              </w:rPr>
            </w:pPr>
            <w:r w:rsidRPr="00A62DE3">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0FEF917" w14:textId="77777777" w:rsidR="002648CE" w:rsidRPr="00A62DE3" w:rsidRDefault="002648CE" w:rsidP="00400038">
            <w:pPr>
              <w:rPr>
                <w:rFonts w:cs="Calibri"/>
                <w:b/>
                <w:bCs/>
                <w:sz w:val="22"/>
                <w:szCs w:val="22"/>
              </w:rPr>
            </w:pPr>
            <w:r w:rsidRPr="00A62DE3">
              <w:rPr>
                <w:rFonts w:cs="Calibri"/>
                <w:b/>
                <w:bCs/>
                <w:sz w:val="22"/>
                <w:szCs w:val="22"/>
              </w:rPr>
              <w:t> </w:t>
            </w:r>
          </w:p>
        </w:tc>
      </w:tr>
      <w:tr w:rsidR="002648CE" w:rsidRPr="00A62DE3" w14:paraId="3394EBF7" w14:textId="77777777" w:rsidTr="00400038">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65A4356" w14:textId="77777777" w:rsidR="002648CE" w:rsidRPr="00A62DE3" w:rsidRDefault="002648CE" w:rsidP="00400038">
            <w:pPr>
              <w:rPr>
                <w:rFonts w:cs="Calibri"/>
                <w:color w:val="000000"/>
                <w:sz w:val="22"/>
                <w:szCs w:val="22"/>
              </w:rPr>
            </w:pPr>
            <w:r w:rsidRPr="00A62DE3">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5FD62E28" w14:textId="77777777" w:rsidR="002648CE" w:rsidRPr="00A62DE3" w:rsidRDefault="002648CE" w:rsidP="00400038">
            <w:pPr>
              <w:jc w:val="right"/>
              <w:rPr>
                <w:rFonts w:cs="Calibri"/>
                <w:color w:val="000000"/>
                <w:sz w:val="22"/>
                <w:szCs w:val="22"/>
              </w:rPr>
            </w:pPr>
            <w:r w:rsidRPr="00A62DE3">
              <w:rPr>
                <w:rFonts w:cs="Calibri"/>
                <w:color w:val="000000"/>
                <w:sz w:val="22"/>
                <w:szCs w:val="22"/>
              </w:rPr>
              <w:t>599</w:t>
            </w:r>
          </w:p>
        </w:tc>
        <w:tc>
          <w:tcPr>
            <w:tcW w:w="3541" w:type="dxa"/>
            <w:tcBorders>
              <w:top w:val="nil"/>
              <w:left w:val="nil"/>
              <w:bottom w:val="single" w:sz="4" w:space="0" w:color="auto"/>
              <w:right w:val="single" w:sz="4" w:space="0" w:color="auto"/>
            </w:tcBorders>
            <w:shd w:val="clear" w:color="000000" w:fill="C5D9F1"/>
            <w:vAlign w:val="bottom"/>
            <w:hideMark/>
          </w:tcPr>
          <w:p w14:paraId="36B58E4C" w14:textId="77777777" w:rsidR="002648CE" w:rsidRPr="00A62DE3" w:rsidRDefault="002648CE" w:rsidP="00400038">
            <w:pPr>
              <w:rPr>
                <w:rFonts w:cs="Calibri"/>
                <w:color w:val="000000"/>
                <w:sz w:val="22"/>
                <w:szCs w:val="22"/>
              </w:rPr>
            </w:pPr>
            <w:r w:rsidRPr="00A62DE3">
              <w:rPr>
                <w:rFonts w:cs="Calibri"/>
                <w:color w:val="000000"/>
                <w:sz w:val="22"/>
                <w:szCs w:val="22"/>
              </w:rPr>
              <w:t>Thesis Research/Writing</w:t>
            </w:r>
          </w:p>
        </w:tc>
        <w:tc>
          <w:tcPr>
            <w:tcW w:w="2360" w:type="dxa"/>
            <w:tcBorders>
              <w:top w:val="nil"/>
              <w:left w:val="nil"/>
              <w:bottom w:val="single" w:sz="4" w:space="0" w:color="auto"/>
              <w:right w:val="single" w:sz="4" w:space="0" w:color="auto"/>
            </w:tcBorders>
            <w:shd w:val="clear" w:color="auto" w:fill="auto"/>
            <w:noWrap/>
            <w:vAlign w:val="bottom"/>
            <w:hideMark/>
          </w:tcPr>
          <w:p w14:paraId="6E20C44F" w14:textId="77777777" w:rsidR="002648CE" w:rsidRPr="00A62DE3" w:rsidRDefault="002648CE" w:rsidP="00400038">
            <w:pPr>
              <w:rPr>
                <w:rFonts w:cs="Calibri"/>
                <w:color w:val="000000"/>
                <w:sz w:val="22"/>
                <w:szCs w:val="22"/>
              </w:rPr>
            </w:pPr>
            <w:r w:rsidRPr="00A62DE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7A180E92" w14:textId="77777777" w:rsidR="002648CE" w:rsidRPr="00A62DE3" w:rsidRDefault="002648CE" w:rsidP="00400038">
            <w:pPr>
              <w:rPr>
                <w:rFonts w:cs="Calibri"/>
                <w:color w:val="000000"/>
                <w:sz w:val="22"/>
                <w:szCs w:val="22"/>
              </w:rPr>
            </w:pPr>
            <w:r w:rsidRPr="00A62DE3">
              <w:rPr>
                <w:rFonts w:cs="Calibri"/>
                <w:color w:val="000000"/>
                <w:sz w:val="22"/>
                <w:szCs w:val="22"/>
              </w:rPr>
              <w:t>M,A</w:t>
            </w:r>
          </w:p>
        </w:tc>
        <w:tc>
          <w:tcPr>
            <w:tcW w:w="2200" w:type="dxa"/>
            <w:tcBorders>
              <w:top w:val="nil"/>
              <w:left w:val="nil"/>
              <w:bottom w:val="single" w:sz="4" w:space="0" w:color="auto"/>
              <w:right w:val="single" w:sz="4" w:space="0" w:color="auto"/>
            </w:tcBorders>
            <w:shd w:val="clear" w:color="auto" w:fill="auto"/>
            <w:noWrap/>
            <w:vAlign w:val="bottom"/>
            <w:hideMark/>
          </w:tcPr>
          <w:p w14:paraId="07F3EB42" w14:textId="77777777" w:rsidR="002648CE" w:rsidRPr="00A62DE3" w:rsidRDefault="002648CE" w:rsidP="00400038">
            <w:pPr>
              <w:rPr>
                <w:rFonts w:cs="Calibri"/>
                <w:sz w:val="22"/>
                <w:szCs w:val="22"/>
              </w:rPr>
            </w:pPr>
            <w:r w:rsidRPr="00A62DE3">
              <w:rPr>
                <w:rFonts w:cs="Calibri"/>
                <w:sz w:val="22"/>
                <w:szCs w:val="22"/>
              </w:rPr>
              <w:t>M</w:t>
            </w:r>
          </w:p>
        </w:tc>
      </w:tr>
      <w:tr w:rsidR="002648CE" w:rsidRPr="00A62DE3" w14:paraId="554756ED" w14:textId="77777777" w:rsidTr="00400038">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32D23EA" w14:textId="77777777" w:rsidR="002648CE" w:rsidRPr="00A62DE3" w:rsidRDefault="002648CE" w:rsidP="00400038">
            <w:pPr>
              <w:rPr>
                <w:rFonts w:cs="Calibri"/>
                <w:color w:val="000000"/>
                <w:sz w:val="22"/>
                <w:szCs w:val="22"/>
              </w:rPr>
            </w:pPr>
            <w:r w:rsidRPr="00A62DE3">
              <w:rPr>
                <w:rFonts w:cs="Calibri"/>
                <w:color w:val="000000"/>
                <w:sz w:val="22"/>
                <w:szCs w:val="22"/>
              </w:rPr>
              <w:lastRenderedPageBreak/>
              <w:t>BIOL</w:t>
            </w:r>
          </w:p>
        </w:tc>
        <w:tc>
          <w:tcPr>
            <w:tcW w:w="987" w:type="dxa"/>
            <w:tcBorders>
              <w:top w:val="nil"/>
              <w:left w:val="nil"/>
              <w:bottom w:val="single" w:sz="4" w:space="0" w:color="auto"/>
              <w:right w:val="single" w:sz="4" w:space="0" w:color="auto"/>
            </w:tcBorders>
            <w:shd w:val="clear" w:color="000000" w:fill="C5D9F1"/>
            <w:noWrap/>
            <w:vAlign w:val="bottom"/>
            <w:hideMark/>
          </w:tcPr>
          <w:p w14:paraId="25C7C943" w14:textId="77777777" w:rsidR="002648CE" w:rsidRPr="00A62DE3" w:rsidRDefault="002648CE" w:rsidP="00400038">
            <w:pPr>
              <w:jc w:val="right"/>
              <w:rPr>
                <w:rFonts w:cs="Calibri"/>
                <w:color w:val="000000"/>
                <w:sz w:val="22"/>
                <w:szCs w:val="22"/>
              </w:rPr>
            </w:pPr>
            <w:r w:rsidRPr="00A62DE3">
              <w:rPr>
                <w:rFonts w:cs="Calibri"/>
                <w:color w:val="000000"/>
                <w:sz w:val="22"/>
                <w:szCs w:val="22"/>
              </w:rPr>
              <w:t>516</w:t>
            </w:r>
          </w:p>
        </w:tc>
        <w:tc>
          <w:tcPr>
            <w:tcW w:w="3541" w:type="dxa"/>
            <w:tcBorders>
              <w:top w:val="nil"/>
              <w:left w:val="nil"/>
              <w:bottom w:val="single" w:sz="4" w:space="0" w:color="auto"/>
              <w:right w:val="single" w:sz="4" w:space="0" w:color="auto"/>
            </w:tcBorders>
            <w:shd w:val="clear" w:color="000000" w:fill="C5D9F1"/>
            <w:vAlign w:val="bottom"/>
            <w:hideMark/>
          </w:tcPr>
          <w:p w14:paraId="7C80CF8D" w14:textId="77777777" w:rsidR="002648CE" w:rsidRPr="00A62DE3" w:rsidRDefault="002648CE" w:rsidP="00400038">
            <w:pPr>
              <w:rPr>
                <w:rFonts w:cs="Calibri"/>
                <w:color w:val="000000"/>
                <w:sz w:val="22"/>
                <w:szCs w:val="22"/>
              </w:rPr>
            </w:pPr>
            <w:r w:rsidRPr="00A62DE3">
              <w:rPr>
                <w:rFonts w:cs="Calibri"/>
                <w:color w:val="000000"/>
                <w:sz w:val="22"/>
                <w:szCs w:val="22"/>
              </w:rPr>
              <w:t>Investigations/Biology</w:t>
            </w:r>
          </w:p>
        </w:tc>
        <w:tc>
          <w:tcPr>
            <w:tcW w:w="2360" w:type="dxa"/>
            <w:tcBorders>
              <w:top w:val="nil"/>
              <w:left w:val="nil"/>
              <w:bottom w:val="single" w:sz="4" w:space="0" w:color="auto"/>
              <w:right w:val="single" w:sz="4" w:space="0" w:color="auto"/>
            </w:tcBorders>
            <w:shd w:val="clear" w:color="auto" w:fill="auto"/>
            <w:noWrap/>
            <w:vAlign w:val="bottom"/>
            <w:hideMark/>
          </w:tcPr>
          <w:p w14:paraId="74A7479C" w14:textId="77777777" w:rsidR="002648CE" w:rsidRPr="00A62DE3" w:rsidRDefault="002648CE" w:rsidP="00400038">
            <w:pPr>
              <w:rPr>
                <w:rFonts w:cs="Calibri"/>
                <w:color w:val="000000"/>
                <w:sz w:val="22"/>
                <w:szCs w:val="22"/>
              </w:rPr>
            </w:pPr>
            <w:r w:rsidRPr="00A62DE3">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50732162" w14:textId="77777777" w:rsidR="002648CE" w:rsidRPr="00A62DE3" w:rsidRDefault="002648CE" w:rsidP="00400038">
            <w:pPr>
              <w:rPr>
                <w:rFonts w:cs="Calibri"/>
                <w:color w:val="000000"/>
                <w:sz w:val="22"/>
                <w:szCs w:val="22"/>
              </w:rPr>
            </w:pPr>
            <w:r w:rsidRPr="00A62DE3">
              <w:rPr>
                <w:rFonts w:cs="Calibri"/>
                <w:color w:val="000000"/>
                <w:sz w:val="22"/>
                <w:szCs w:val="22"/>
              </w:rPr>
              <w:t>M,A</w:t>
            </w:r>
          </w:p>
        </w:tc>
        <w:tc>
          <w:tcPr>
            <w:tcW w:w="2200" w:type="dxa"/>
            <w:tcBorders>
              <w:top w:val="nil"/>
              <w:left w:val="nil"/>
              <w:bottom w:val="single" w:sz="4" w:space="0" w:color="auto"/>
              <w:right w:val="single" w:sz="4" w:space="0" w:color="auto"/>
            </w:tcBorders>
            <w:shd w:val="clear" w:color="auto" w:fill="auto"/>
            <w:noWrap/>
            <w:vAlign w:val="bottom"/>
            <w:hideMark/>
          </w:tcPr>
          <w:p w14:paraId="6BD4943A" w14:textId="77777777" w:rsidR="002648CE" w:rsidRPr="00A62DE3" w:rsidRDefault="002648CE" w:rsidP="00400038">
            <w:pPr>
              <w:rPr>
                <w:rFonts w:cs="Calibri"/>
                <w:sz w:val="22"/>
                <w:szCs w:val="22"/>
              </w:rPr>
            </w:pPr>
            <w:r w:rsidRPr="00A62DE3">
              <w:rPr>
                <w:rFonts w:cs="Calibri"/>
                <w:sz w:val="22"/>
                <w:szCs w:val="22"/>
              </w:rPr>
              <w:t>M</w:t>
            </w:r>
          </w:p>
        </w:tc>
      </w:tr>
    </w:tbl>
    <w:p w14:paraId="2CDEA4A1" w14:textId="77777777" w:rsidR="002648CE" w:rsidRDefault="002648CE" w:rsidP="002648CE"/>
    <w:p w14:paraId="5735E89C" w14:textId="77777777" w:rsidR="003E2CDB" w:rsidRPr="00EF1FE0" w:rsidRDefault="003E2CDB" w:rsidP="003E2CDB">
      <w:pPr>
        <w:rPr>
          <w:rFonts w:asciiTheme="majorHAnsi" w:hAnsiTheme="majorHAnsi" w:cstheme="majorHAnsi"/>
          <w:sz w:val="20"/>
          <w:szCs w:val="20"/>
        </w:rPr>
      </w:pPr>
    </w:p>
    <w:sectPr w:rsidR="003E2CDB" w:rsidRPr="00EF1FE0"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02A47" w14:textId="77777777" w:rsidR="006332AA" w:rsidRDefault="006332AA" w:rsidP="001F2A02">
      <w:r>
        <w:separator/>
      </w:r>
    </w:p>
  </w:endnote>
  <w:endnote w:type="continuationSeparator" w:id="0">
    <w:p w14:paraId="7E6683CC" w14:textId="77777777" w:rsidR="006332AA" w:rsidRDefault="006332A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885478">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005C6" w14:textId="77777777" w:rsidR="006332AA" w:rsidRDefault="006332AA" w:rsidP="001F2A02">
      <w:r>
        <w:separator/>
      </w:r>
    </w:p>
  </w:footnote>
  <w:footnote w:type="continuationSeparator" w:id="0">
    <w:p w14:paraId="0A8A87CB" w14:textId="77777777" w:rsidR="006332AA" w:rsidRDefault="006332A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648CE"/>
    <w:rsid w:val="002C1781"/>
    <w:rsid w:val="002C3913"/>
    <w:rsid w:val="002D5D87"/>
    <w:rsid w:val="002F75F1"/>
    <w:rsid w:val="003425F4"/>
    <w:rsid w:val="00347B30"/>
    <w:rsid w:val="0036061A"/>
    <w:rsid w:val="003A32E4"/>
    <w:rsid w:val="003E0415"/>
    <w:rsid w:val="003E2CDB"/>
    <w:rsid w:val="00402256"/>
    <w:rsid w:val="00406B46"/>
    <w:rsid w:val="00410B0B"/>
    <w:rsid w:val="0044187F"/>
    <w:rsid w:val="00485486"/>
    <w:rsid w:val="004874CE"/>
    <w:rsid w:val="004A360E"/>
    <w:rsid w:val="004B0DA2"/>
    <w:rsid w:val="004C0112"/>
    <w:rsid w:val="004D5BD7"/>
    <w:rsid w:val="004D7D95"/>
    <w:rsid w:val="004E577A"/>
    <w:rsid w:val="00510051"/>
    <w:rsid w:val="005907DF"/>
    <w:rsid w:val="005B3461"/>
    <w:rsid w:val="005C7ECF"/>
    <w:rsid w:val="005D68AF"/>
    <w:rsid w:val="005F0B2E"/>
    <w:rsid w:val="005F273B"/>
    <w:rsid w:val="00606BCF"/>
    <w:rsid w:val="006332AA"/>
    <w:rsid w:val="006354B4"/>
    <w:rsid w:val="00656559"/>
    <w:rsid w:val="00664A15"/>
    <w:rsid w:val="00666A12"/>
    <w:rsid w:val="006D1A9A"/>
    <w:rsid w:val="006E294C"/>
    <w:rsid w:val="0070232E"/>
    <w:rsid w:val="007377F0"/>
    <w:rsid w:val="007531CA"/>
    <w:rsid w:val="0075740F"/>
    <w:rsid w:val="007706BE"/>
    <w:rsid w:val="00810874"/>
    <w:rsid w:val="00885478"/>
    <w:rsid w:val="00885D49"/>
    <w:rsid w:val="00886031"/>
    <w:rsid w:val="00893D93"/>
    <w:rsid w:val="008C543D"/>
    <w:rsid w:val="00906B14"/>
    <w:rsid w:val="009414E6"/>
    <w:rsid w:val="009952EC"/>
    <w:rsid w:val="00A52C0C"/>
    <w:rsid w:val="00A65726"/>
    <w:rsid w:val="00A8015B"/>
    <w:rsid w:val="00AA5FB2"/>
    <w:rsid w:val="00AA7D4B"/>
    <w:rsid w:val="00AE7017"/>
    <w:rsid w:val="00B00701"/>
    <w:rsid w:val="00B3239E"/>
    <w:rsid w:val="00B63581"/>
    <w:rsid w:val="00BA43B7"/>
    <w:rsid w:val="00BC0316"/>
    <w:rsid w:val="00BD0470"/>
    <w:rsid w:val="00C4455B"/>
    <w:rsid w:val="00C81981"/>
    <w:rsid w:val="00D03ECA"/>
    <w:rsid w:val="00D713AB"/>
    <w:rsid w:val="00D86425"/>
    <w:rsid w:val="00DD4EBB"/>
    <w:rsid w:val="00E14865"/>
    <w:rsid w:val="00E73499"/>
    <w:rsid w:val="00E86098"/>
    <w:rsid w:val="00E95BBD"/>
    <w:rsid w:val="00EB65C8"/>
    <w:rsid w:val="00EC1C25"/>
    <w:rsid w:val="00F136C3"/>
    <w:rsid w:val="00F51EDD"/>
    <w:rsid w:val="00F52987"/>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3E2CDB"/>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arl.dick@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Kendra Jones</cp:lastModifiedBy>
  <cp:revision>4</cp:revision>
  <cp:lastPrinted>2023-04-11T19:13:00Z</cp:lastPrinted>
  <dcterms:created xsi:type="dcterms:W3CDTF">2023-04-19T15:00:00Z</dcterms:created>
  <dcterms:modified xsi:type="dcterms:W3CDTF">2023-04-20T13:01:00Z</dcterms:modified>
</cp:coreProperties>
</file>