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425BA669"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Ogden</w:t>
            </w:r>
          </w:p>
        </w:tc>
        <w:tc>
          <w:tcPr>
            <w:tcW w:w="7920" w:type="dxa"/>
          </w:tcPr>
          <w:p w14:paraId="4B219735" w14:textId="1C6BE929"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School of Engineering and Applied Sciences</w:t>
            </w:r>
          </w:p>
        </w:tc>
      </w:tr>
      <w:tr w:rsidR="0017571B" w14:paraId="3FB6829E" w14:textId="77777777" w:rsidTr="00B33C1F">
        <w:tc>
          <w:tcPr>
            <w:tcW w:w="14395" w:type="dxa"/>
            <w:gridSpan w:val="2"/>
          </w:tcPr>
          <w:p w14:paraId="7CC57F6D" w14:textId="42671075"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Computer Information Technology, 555</w:t>
            </w:r>
          </w:p>
        </w:tc>
      </w:tr>
      <w:tr w:rsidR="00141CFC" w14:paraId="56A671A4" w14:textId="77777777" w:rsidTr="00B33C1F">
        <w:tc>
          <w:tcPr>
            <w:tcW w:w="14395" w:type="dxa"/>
            <w:gridSpan w:val="2"/>
          </w:tcPr>
          <w:p w14:paraId="6AD05DAC" w14:textId="259856AA" w:rsidR="00141CFC"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Mark A. Revels, Ph. 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8982406"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751153">
              <w:rPr>
                <w:rFonts w:ascii="Times New Roman" w:hAnsi="Times New Roman"/>
                <w:b/>
                <w:bCs/>
                <w:sz w:val="20"/>
                <w:szCs w:val="20"/>
              </w:rPr>
              <w:t xml:space="preserve"> </w:t>
            </w:r>
            <w:r w:rsidR="00751153">
              <w:t xml:space="preserve"> </w:t>
            </w:r>
            <w:r w:rsidR="00751153" w:rsidRPr="00751153">
              <w:rPr>
                <w:rFonts w:ascii="Times New Roman" w:hAnsi="Times New Roman"/>
                <w:b/>
                <w:bCs/>
                <w:sz w:val="20"/>
                <w:szCs w:val="20"/>
              </w:rPr>
              <w:t>Validation of student mastery of CIT technical domains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92B9CB5" w:rsidR="007706BE" w:rsidRPr="00FF3DCE" w:rsidRDefault="009474D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measures of student learning</w:t>
            </w:r>
            <w:r w:rsidR="00B069F6">
              <w:rPr>
                <w:rFonts w:ascii="Times New Roman" w:hAnsi="Times New Roman"/>
                <w:b/>
                <w:bCs/>
                <w:sz w:val="20"/>
                <w:szCs w:val="20"/>
              </w:rPr>
              <w:t xml:space="preserve"> via assessment artifacts from CIT 300 and AMS 490.</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C085420" w:rsidR="007706BE" w:rsidRPr="00FF3DCE" w:rsidRDefault="009474D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1D46BF">
              <w:rPr>
                <w:rFonts w:ascii="Times New Roman" w:hAnsi="Times New Roman"/>
                <w:b/>
                <w:sz w:val="20"/>
                <w:szCs w:val="20"/>
              </w:rPr>
            </w:r>
            <w:r w:rsidR="001D46BF">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1D46BF">
              <w:rPr>
                <w:rFonts w:ascii="Times New Roman" w:hAnsi="Times New Roman"/>
                <w:b/>
                <w:sz w:val="20"/>
                <w:szCs w:val="20"/>
              </w:rPr>
            </w:r>
            <w:r w:rsidR="001D46BF">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05C6E3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9474D8">
              <w:rPr>
                <w:rFonts w:ascii="Times New Roman" w:hAnsi="Times New Roman"/>
                <w:b/>
                <w:bCs/>
                <w:sz w:val="20"/>
                <w:szCs w:val="20"/>
              </w:rPr>
              <w:t xml:space="preserve"> Examination of student mastery of CIT technical domains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3011E8F" w:rsidR="00B3239E" w:rsidRPr="00FF3DCE" w:rsidRDefault="009474D8" w:rsidP="009474D8">
            <w:pPr>
              <w:widowControl w:val="0"/>
              <w:autoSpaceDE w:val="0"/>
              <w:autoSpaceDN w:val="0"/>
              <w:adjustRightInd w:val="0"/>
              <w:rPr>
                <w:rFonts w:ascii="Times New Roman" w:hAnsi="Times New Roman"/>
                <w:b/>
                <w:sz w:val="20"/>
                <w:szCs w:val="20"/>
              </w:rPr>
            </w:pPr>
            <w:r w:rsidRPr="009474D8">
              <w:rPr>
                <w:rFonts w:ascii="Times New Roman" w:hAnsi="Times New Roman"/>
                <w:b/>
                <w:sz w:val="20"/>
                <w:szCs w:val="20"/>
              </w:rPr>
              <w:t>DIRECT measures of student learning</w:t>
            </w:r>
            <w:r w:rsidR="00B069F6">
              <w:rPr>
                <w:rFonts w:ascii="Times New Roman" w:hAnsi="Times New Roman"/>
                <w:b/>
                <w:sz w:val="20"/>
                <w:szCs w:val="20"/>
              </w:rPr>
              <w:t xml:space="preserve"> </w:t>
            </w:r>
            <w:r w:rsidR="00B069F6" w:rsidRPr="00B069F6">
              <w:rPr>
                <w:rFonts w:ascii="Times New Roman" w:hAnsi="Times New Roman"/>
                <w:b/>
                <w:sz w:val="20"/>
                <w:szCs w:val="20"/>
              </w:rPr>
              <w:t xml:space="preserve">via assessment artifacts from CIT 300 and </w:t>
            </w:r>
            <w:r w:rsidR="00B069F6">
              <w:rPr>
                <w:rFonts w:ascii="Times New Roman" w:hAnsi="Times New Roman"/>
                <w:b/>
                <w:sz w:val="20"/>
                <w:szCs w:val="20"/>
              </w:rPr>
              <w:t>AMS</w:t>
            </w:r>
            <w:r w:rsidR="00B069F6" w:rsidRPr="00B069F6">
              <w:rPr>
                <w:rFonts w:ascii="Times New Roman" w:hAnsi="Times New Roman"/>
                <w:b/>
                <w:sz w:val="20"/>
                <w:szCs w:val="20"/>
              </w:rPr>
              <w:t xml:space="preserve"> 490.</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D6216E9" w:rsidR="00402256" w:rsidRPr="00FF3DCE" w:rsidRDefault="009474D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1D46BF">
              <w:rPr>
                <w:rFonts w:ascii="Times New Roman" w:hAnsi="Times New Roman"/>
                <w:b/>
                <w:sz w:val="20"/>
                <w:szCs w:val="20"/>
              </w:rPr>
            </w:r>
            <w:r w:rsidR="001D46BF">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1D46BF">
              <w:rPr>
                <w:rFonts w:ascii="Times New Roman" w:hAnsi="Times New Roman"/>
                <w:b/>
                <w:sz w:val="20"/>
                <w:szCs w:val="20"/>
              </w:rPr>
            </w:r>
            <w:r w:rsidR="001D46B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3FB4A19F" w:rsidR="0075740F" w:rsidRDefault="009474D8" w:rsidP="0075740F">
            <w:pPr>
              <w:jc w:val="both"/>
              <w:rPr>
                <w:rFonts w:ascii="Times New Roman" w:hAnsi="Times New Roman"/>
                <w:bCs/>
                <w:sz w:val="20"/>
                <w:szCs w:val="20"/>
              </w:rPr>
            </w:pPr>
            <w:r>
              <w:rPr>
                <w:rFonts w:ascii="Times New Roman" w:hAnsi="Times New Roman"/>
                <w:bCs/>
                <w:sz w:val="20"/>
                <w:szCs w:val="20"/>
              </w:rPr>
              <w:t>As previously reported, s</w:t>
            </w:r>
            <w:r w:rsidRPr="009474D8">
              <w:rPr>
                <w:rFonts w:ascii="Times New Roman" w:hAnsi="Times New Roman"/>
                <w:bCs/>
                <w:sz w:val="20"/>
                <w:szCs w:val="20"/>
              </w:rPr>
              <w:t>ome students discount the value of the assessment process and therefore do not take the surveys seriously. One student recently interviewed stated that she was in a hurry and gave random answers on the surveys. While it is not possible to force students to be conscientious, the program will strive to persuade them to be more conscientious by communicating how important the surveys are for program improvement, and that program improvement benefits current as well as past students.</w:t>
            </w:r>
          </w:p>
          <w:p w14:paraId="0FA915B3" w14:textId="64B23729" w:rsidR="009474D8" w:rsidRDefault="009474D8" w:rsidP="0075740F">
            <w:pPr>
              <w:jc w:val="both"/>
              <w:rPr>
                <w:rFonts w:ascii="Times New Roman" w:hAnsi="Times New Roman"/>
                <w:bCs/>
                <w:sz w:val="20"/>
                <w:szCs w:val="20"/>
              </w:rPr>
            </w:pPr>
          </w:p>
          <w:p w14:paraId="23FB1682" w14:textId="0DD30D98" w:rsidR="009474D8" w:rsidRPr="00FF3DCE" w:rsidRDefault="009474D8" w:rsidP="0075740F">
            <w:pPr>
              <w:jc w:val="both"/>
              <w:rPr>
                <w:rFonts w:ascii="Times New Roman" w:hAnsi="Times New Roman"/>
                <w:bCs/>
                <w:sz w:val="20"/>
                <w:szCs w:val="20"/>
              </w:rPr>
            </w:pPr>
            <w:r>
              <w:rPr>
                <w:rFonts w:ascii="Times New Roman" w:hAnsi="Times New Roman"/>
                <w:bCs/>
                <w:sz w:val="20"/>
                <w:szCs w:val="20"/>
              </w:rPr>
              <w:t>In addition, the enhancement of the CIT program with face-to-face instruction has created additional pathways from which ASL data may be collected. As of yet, these are not well managed.</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687E94D" w:rsidR="001160F4" w:rsidRPr="003A32E4" w:rsidRDefault="009474D8"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Validation of student mastery of CIT technical domains.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E8F0251" w:rsidR="00FF3DCE" w:rsidRPr="009474D8" w:rsidRDefault="009474D8" w:rsidP="004A360E">
            <w:pPr>
              <w:rPr>
                <w:rFonts w:ascii="Times New Roman" w:hAnsi="Times New Roman"/>
                <w:color w:val="767171" w:themeColor="background2" w:themeShade="80"/>
                <w:sz w:val="20"/>
              </w:rPr>
            </w:pPr>
            <w:r w:rsidRPr="009474D8">
              <w:rPr>
                <w:rFonts w:ascii="Times New Roman" w:hAnsi="Times New Roman"/>
                <w:sz w:val="20"/>
                <w:szCs w:val="20"/>
              </w:rPr>
              <w:t>DIRECT measure of student learning: All CIT students are given six assessments in the entry course CIT 300, then again in the exit course AMS 490</w:t>
            </w:r>
            <w:r w:rsidR="004539E5">
              <w:rPr>
                <w:rFonts w:ascii="Times New Roman" w:hAnsi="Times New Roman"/>
                <w:sz w:val="20"/>
                <w:szCs w:val="20"/>
              </w:rPr>
              <w:t xml:space="preserve"> (now CIT 490)</w:t>
            </w:r>
            <w:r w:rsidRPr="009474D8">
              <w:rPr>
                <w:rFonts w:ascii="Times New Roman" w:hAnsi="Times New Roman"/>
                <w:sz w:val="20"/>
                <w:szCs w:val="20"/>
              </w:rPr>
              <w:t>. The assessments, which are similar to certification exams, cover the technical domains of database, hardware, networks, programming, security, and technology management. Scores are associated with each student, which allow for pairwise comparison. Even so, because ~75% of CIT students transfer with an AAS in IT, they only take four required courses, of which three represent the technical domains. The rest (seven courses) are elective. Thus, it is difficult to draw specific conclusions about individual domain assessment gain scores since different students take different electives that may or may not support learning in a specific domain. As a result, we also validate student mastery of the CIT technical domains through an aggregate gain score of CIT technical domain assessments.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35064DEB" w:rsidR="00406B46" w:rsidRPr="00FF3DCE" w:rsidRDefault="009474D8" w:rsidP="009474D8">
            <w:pPr>
              <w:widowControl w:val="0"/>
              <w:autoSpaceDE w:val="0"/>
              <w:autoSpaceDN w:val="0"/>
              <w:adjustRightInd w:val="0"/>
              <w:rPr>
                <w:rFonts w:ascii="Times New Roman" w:hAnsi="Times New Roman"/>
                <w:color w:val="767171" w:themeColor="background2" w:themeShade="80"/>
                <w:sz w:val="20"/>
                <w:szCs w:val="20"/>
              </w:rPr>
            </w:pPr>
            <w:r w:rsidRPr="004539E5">
              <w:rPr>
                <w:rFonts w:ascii="Times New Roman" w:hAnsi="Times New Roman"/>
                <w:sz w:val="20"/>
                <w:szCs w:val="20"/>
              </w:rPr>
              <w:t>For success, a minimum aggregate percentage gain score of 30% should be achieved.</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6F32F26" w:rsidR="00C4455B" w:rsidRPr="00406B46" w:rsidRDefault="00287AAE"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An </w:t>
            </w:r>
            <w:r w:rsidR="004B0316">
              <w:rPr>
                <w:rFonts w:ascii="Times New Roman" w:hAnsi="Times New Roman"/>
                <w:sz w:val="20"/>
                <w:szCs w:val="20"/>
              </w:rPr>
              <w:t>average</w:t>
            </w:r>
            <w:r>
              <w:rPr>
                <w:rFonts w:ascii="Times New Roman" w:hAnsi="Times New Roman"/>
                <w:sz w:val="20"/>
                <w:szCs w:val="20"/>
              </w:rPr>
              <w:t xml:space="preserve"> percentage gain score of </w:t>
            </w:r>
            <w:r w:rsidR="004B0316">
              <w:rPr>
                <w:rFonts w:ascii="Times New Roman" w:hAnsi="Times New Roman"/>
                <w:sz w:val="20"/>
                <w:szCs w:val="20"/>
              </w:rPr>
              <w:t xml:space="preserve">73 </w:t>
            </w:r>
            <w:r>
              <w:rPr>
                <w:rFonts w:ascii="Times New Roman" w:hAnsi="Times New Roman"/>
                <w:sz w:val="20"/>
                <w:szCs w:val="20"/>
              </w:rPr>
              <w:t>% was achieved.</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B0F2EED" w:rsidR="00C4455B" w:rsidRPr="0075740F" w:rsidRDefault="004B0316"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As an average, 100</w:t>
            </w:r>
            <w:r w:rsidR="00DB547F" w:rsidRPr="00DB547F">
              <w:rPr>
                <w:rFonts w:ascii="Times New Roman" w:hAnsi="Times New Roman"/>
                <w:sz w:val="20"/>
                <w:szCs w:val="20"/>
              </w:rPr>
              <w:t>% of the program achieved the target</w:t>
            </w:r>
            <w:r w:rsidR="00DB547F">
              <w:rPr>
                <w:rFonts w:ascii="Times New Roman" w:hAnsi="Times New Roman"/>
                <w:color w:val="767171" w:themeColor="background2" w:themeShade="80"/>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C70AD01" w14:textId="70CC913F" w:rsidR="00287AAE" w:rsidRPr="004539E5" w:rsidRDefault="00287AAE" w:rsidP="00287AAE">
            <w:pPr>
              <w:rPr>
                <w:rFonts w:ascii="Times New Roman" w:hAnsi="Times New Roman"/>
                <w:sz w:val="20"/>
                <w:szCs w:val="20"/>
              </w:rPr>
            </w:pPr>
            <w:r w:rsidRPr="004539E5">
              <w:rPr>
                <w:rFonts w:ascii="Times New Roman" w:hAnsi="Times New Roman"/>
                <w:sz w:val="20"/>
                <w:szCs w:val="20"/>
              </w:rPr>
              <w:t>For the period, six CIT domain assessments including database, hardware, networks, programming, security, and technology management were delivered. These scores were then compared to students’ entry assessments in CIT300. Percentage gain scores were calculated for each, and an average derived:</w:t>
            </w:r>
          </w:p>
          <w:p w14:paraId="25DFEBF1" w14:textId="77777777" w:rsidR="00287AAE" w:rsidRPr="004539E5" w:rsidRDefault="00287AAE" w:rsidP="00287AAE">
            <w:pPr>
              <w:rPr>
                <w:rFonts w:ascii="Times New Roman" w:hAnsi="Times New Roman"/>
                <w:sz w:val="20"/>
                <w:szCs w:val="20"/>
              </w:rPr>
            </w:pPr>
          </w:p>
          <w:p w14:paraId="3DB7AC57" w14:textId="19A9E5C1" w:rsidR="00287AAE" w:rsidRPr="004539E5" w:rsidRDefault="00287AAE" w:rsidP="00287AAE">
            <w:pPr>
              <w:rPr>
                <w:rFonts w:ascii="Times New Roman" w:hAnsi="Times New Roman"/>
                <w:sz w:val="20"/>
                <w:szCs w:val="20"/>
              </w:rPr>
            </w:pPr>
            <w:r w:rsidRPr="004539E5">
              <w:rPr>
                <w:rFonts w:ascii="Times New Roman" w:hAnsi="Times New Roman"/>
                <w:sz w:val="20"/>
                <w:szCs w:val="20"/>
              </w:rPr>
              <w:t>Student Count:</w:t>
            </w:r>
            <w:r w:rsidRPr="004539E5">
              <w:rPr>
                <w:rFonts w:ascii="Times New Roman" w:hAnsi="Times New Roman"/>
                <w:sz w:val="20"/>
                <w:szCs w:val="20"/>
              </w:rPr>
              <w:tab/>
            </w:r>
            <w:r w:rsidRPr="004539E5">
              <w:rPr>
                <w:rFonts w:ascii="Times New Roman" w:hAnsi="Times New Roman"/>
                <w:sz w:val="20"/>
                <w:szCs w:val="20"/>
              </w:rPr>
              <w:tab/>
              <w:t>14</w:t>
            </w:r>
          </w:p>
          <w:p w14:paraId="4A5B4FDC" w14:textId="1A6B3353" w:rsidR="00287AAE" w:rsidRPr="004539E5" w:rsidRDefault="00287AAE" w:rsidP="00287AAE">
            <w:pPr>
              <w:rPr>
                <w:rFonts w:ascii="Times New Roman" w:hAnsi="Times New Roman"/>
                <w:sz w:val="20"/>
                <w:szCs w:val="20"/>
              </w:rPr>
            </w:pPr>
            <w:r w:rsidRPr="004539E5">
              <w:rPr>
                <w:rFonts w:ascii="Times New Roman" w:hAnsi="Times New Roman"/>
                <w:sz w:val="20"/>
                <w:szCs w:val="20"/>
              </w:rPr>
              <w:t>Max gain score %:</w:t>
            </w:r>
            <w:r w:rsidRPr="004539E5">
              <w:rPr>
                <w:rFonts w:ascii="Times New Roman" w:hAnsi="Times New Roman"/>
                <w:sz w:val="20"/>
                <w:szCs w:val="20"/>
              </w:rPr>
              <w:tab/>
              <w:t>224</w:t>
            </w:r>
          </w:p>
          <w:p w14:paraId="2C1384FD" w14:textId="1D556343" w:rsidR="00287AAE" w:rsidRPr="004539E5" w:rsidRDefault="00287AAE" w:rsidP="00287AAE">
            <w:pPr>
              <w:rPr>
                <w:rFonts w:ascii="Times New Roman" w:hAnsi="Times New Roman"/>
                <w:sz w:val="20"/>
                <w:szCs w:val="20"/>
              </w:rPr>
            </w:pPr>
            <w:r w:rsidRPr="004539E5">
              <w:rPr>
                <w:rFonts w:ascii="Times New Roman" w:hAnsi="Times New Roman"/>
                <w:sz w:val="20"/>
                <w:szCs w:val="20"/>
              </w:rPr>
              <w:t>Min gain score%:</w:t>
            </w:r>
            <w:r w:rsidRPr="004539E5">
              <w:rPr>
                <w:rFonts w:ascii="Times New Roman" w:hAnsi="Times New Roman"/>
                <w:sz w:val="20"/>
                <w:szCs w:val="20"/>
              </w:rPr>
              <w:tab/>
            </w:r>
            <w:r w:rsidR="004539E5">
              <w:rPr>
                <w:rFonts w:ascii="Times New Roman" w:hAnsi="Times New Roman"/>
                <w:sz w:val="20"/>
                <w:szCs w:val="20"/>
              </w:rPr>
              <w:t xml:space="preserve">              </w:t>
            </w:r>
            <w:r w:rsidRPr="004539E5">
              <w:rPr>
                <w:rFonts w:ascii="Times New Roman" w:hAnsi="Times New Roman"/>
                <w:sz w:val="20"/>
                <w:szCs w:val="20"/>
              </w:rPr>
              <w:t>6</w:t>
            </w:r>
          </w:p>
          <w:p w14:paraId="03E19E21" w14:textId="06A1B69B" w:rsidR="00287AAE" w:rsidRPr="004539E5" w:rsidRDefault="00287AAE" w:rsidP="00287AAE">
            <w:pPr>
              <w:rPr>
                <w:rFonts w:ascii="Times New Roman" w:hAnsi="Times New Roman"/>
                <w:sz w:val="20"/>
                <w:szCs w:val="20"/>
              </w:rPr>
            </w:pPr>
            <w:r w:rsidRPr="004539E5">
              <w:rPr>
                <w:rFonts w:ascii="Times New Roman" w:hAnsi="Times New Roman"/>
                <w:sz w:val="20"/>
                <w:szCs w:val="20"/>
              </w:rPr>
              <w:t>Avg gain score %</w:t>
            </w:r>
            <w:r w:rsidRPr="004539E5">
              <w:rPr>
                <w:rFonts w:ascii="Times New Roman" w:hAnsi="Times New Roman"/>
                <w:sz w:val="20"/>
                <w:szCs w:val="20"/>
              </w:rPr>
              <w:tab/>
            </w:r>
            <w:r w:rsidR="004539E5">
              <w:rPr>
                <w:rFonts w:ascii="Times New Roman" w:hAnsi="Times New Roman"/>
                <w:sz w:val="20"/>
                <w:szCs w:val="20"/>
              </w:rPr>
              <w:t xml:space="preserve">              </w:t>
            </w:r>
            <w:r w:rsidRPr="004539E5">
              <w:rPr>
                <w:rFonts w:ascii="Times New Roman" w:hAnsi="Times New Roman"/>
                <w:sz w:val="20"/>
                <w:szCs w:val="20"/>
              </w:rPr>
              <w:t>73</w:t>
            </w:r>
          </w:p>
          <w:p w14:paraId="097DBA03" w14:textId="39AFBEFF" w:rsidR="00406B46" w:rsidRPr="004539E5" w:rsidRDefault="00287AAE" w:rsidP="00287AAE">
            <w:pPr>
              <w:rPr>
                <w:rFonts w:ascii="Times New Roman" w:hAnsi="Times New Roman"/>
                <w:sz w:val="20"/>
                <w:szCs w:val="20"/>
              </w:rPr>
            </w:pPr>
            <w:r w:rsidRPr="004539E5">
              <w:rPr>
                <w:rFonts w:ascii="Times New Roman" w:hAnsi="Times New Roman"/>
                <w:sz w:val="20"/>
                <w:szCs w:val="20"/>
              </w:rPr>
              <w:t>Std Dev:</w:t>
            </w:r>
            <w:r w:rsidRPr="004539E5">
              <w:rPr>
                <w:rFonts w:ascii="Times New Roman" w:hAnsi="Times New Roman"/>
                <w:sz w:val="20"/>
                <w:szCs w:val="20"/>
              </w:rPr>
              <w:tab/>
            </w:r>
            <w:r w:rsidRPr="004539E5">
              <w:rPr>
                <w:rFonts w:ascii="Times New Roman" w:hAnsi="Times New Roman"/>
                <w:sz w:val="20"/>
                <w:szCs w:val="20"/>
              </w:rPr>
              <w:tab/>
            </w:r>
            <w:r w:rsidR="004539E5">
              <w:rPr>
                <w:rFonts w:ascii="Times New Roman" w:hAnsi="Times New Roman"/>
                <w:sz w:val="20"/>
                <w:szCs w:val="20"/>
              </w:rPr>
              <w:t xml:space="preserve">              </w:t>
            </w:r>
            <w:r w:rsidRPr="004539E5">
              <w:rPr>
                <w:rFonts w:ascii="Times New Roman" w:hAnsi="Times New Roman"/>
                <w:sz w:val="20"/>
                <w:szCs w:val="20"/>
              </w:rPr>
              <w:t>64.9</w:t>
            </w:r>
          </w:p>
          <w:p w14:paraId="1E28B56B" w14:textId="77777777" w:rsidR="00287AAE" w:rsidRPr="004539E5" w:rsidRDefault="00287AAE" w:rsidP="00287AAE">
            <w:pPr>
              <w:rPr>
                <w:rFonts w:ascii="Times New Roman" w:hAnsi="Times New Roman"/>
                <w:sz w:val="20"/>
                <w:szCs w:val="20"/>
              </w:rPr>
            </w:pPr>
          </w:p>
          <w:p w14:paraId="72E2C6F7" w14:textId="6566426D" w:rsidR="00287AAE" w:rsidRPr="004539E5" w:rsidRDefault="00287AAE" w:rsidP="00287AAE">
            <w:pPr>
              <w:rPr>
                <w:rFonts w:ascii="Times New Roman" w:hAnsi="Times New Roman"/>
                <w:sz w:val="20"/>
                <w:szCs w:val="20"/>
              </w:rPr>
            </w:pPr>
            <w:r w:rsidRPr="004539E5">
              <w:rPr>
                <w:rFonts w:ascii="Times New Roman" w:hAnsi="Times New Roman"/>
                <w:sz w:val="20"/>
                <w:szCs w:val="20"/>
              </w:rPr>
              <w:t>It should be noted that the wide deviation in domain gain scores can be attributed to students discounting the value of the exams and thereby providing invalid answers either in the entry class, exit class, or both. In extreme cases, native gain scores were omitted (N=12).</w:t>
            </w:r>
          </w:p>
          <w:p w14:paraId="06BCD006" w14:textId="20DDAA80" w:rsidR="00287AAE" w:rsidRPr="00406B46" w:rsidRDefault="00287AAE" w:rsidP="00287AAE">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E6FB438" w:rsidR="00402256" w:rsidRPr="003A32E4" w:rsidRDefault="004B031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1D46BF">
              <w:rPr>
                <w:rFonts w:ascii="Times New Roman" w:hAnsi="Times New Roman"/>
                <w:b/>
                <w:sz w:val="22"/>
                <w:szCs w:val="22"/>
              </w:rPr>
            </w:r>
            <w:r w:rsidR="001D46BF">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1D46BF">
              <w:rPr>
                <w:rFonts w:ascii="Times New Roman" w:hAnsi="Times New Roman"/>
                <w:b/>
                <w:sz w:val="22"/>
                <w:szCs w:val="22"/>
              </w:rPr>
            </w:r>
            <w:r w:rsidR="001D46BF">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7AA4306C" w:rsidR="00402256" w:rsidRPr="002570BD" w:rsidRDefault="002570BD" w:rsidP="00402256">
            <w:pPr>
              <w:jc w:val="both"/>
              <w:rPr>
                <w:rFonts w:ascii="Times New Roman" w:hAnsi="Times New Roman"/>
                <w:sz w:val="20"/>
                <w:szCs w:val="20"/>
              </w:rPr>
            </w:pPr>
            <w:r>
              <w:rPr>
                <w:rFonts w:ascii="Times New Roman" w:hAnsi="Times New Roman"/>
                <w:sz w:val="20"/>
                <w:szCs w:val="20"/>
              </w:rPr>
              <w:t>S</w:t>
            </w:r>
            <w:r w:rsidRPr="002570BD">
              <w:rPr>
                <w:rFonts w:ascii="Times New Roman" w:hAnsi="Times New Roman"/>
                <w:sz w:val="20"/>
                <w:szCs w:val="20"/>
              </w:rPr>
              <w:t xml:space="preserve">tudents continue to discount the value of the assessment process and therefore do not take the surveys seriously. </w:t>
            </w:r>
            <w:r>
              <w:rPr>
                <w:rFonts w:ascii="Times New Roman" w:hAnsi="Times New Roman"/>
                <w:sz w:val="20"/>
                <w:szCs w:val="20"/>
              </w:rPr>
              <w:t xml:space="preserve">By the end of the fall 2021 semester, </w:t>
            </w:r>
            <w:r w:rsidRPr="002570BD">
              <w:rPr>
                <w:rFonts w:ascii="Times New Roman" w:hAnsi="Times New Roman"/>
                <w:sz w:val="20"/>
                <w:szCs w:val="20"/>
              </w:rPr>
              <w:t xml:space="preserve">CIT 300 and AMS 490 </w:t>
            </w:r>
            <w:r>
              <w:rPr>
                <w:rFonts w:ascii="Times New Roman" w:hAnsi="Times New Roman"/>
                <w:sz w:val="20"/>
                <w:szCs w:val="20"/>
              </w:rPr>
              <w:t>will be</w:t>
            </w:r>
            <w:r w:rsidRPr="002570BD">
              <w:rPr>
                <w:rFonts w:ascii="Times New Roman" w:hAnsi="Times New Roman"/>
                <w:sz w:val="20"/>
                <w:szCs w:val="20"/>
              </w:rPr>
              <w:t xml:space="preserve"> configured such that students cannot proceed</w:t>
            </w:r>
            <w:r>
              <w:rPr>
                <w:rFonts w:ascii="Times New Roman" w:hAnsi="Times New Roman"/>
                <w:sz w:val="20"/>
                <w:szCs w:val="20"/>
              </w:rPr>
              <w:t xml:space="preserve"> with </w:t>
            </w:r>
            <w:r w:rsidRPr="002570BD">
              <w:rPr>
                <w:rFonts w:ascii="Times New Roman" w:hAnsi="Times New Roman"/>
                <w:sz w:val="20"/>
                <w:szCs w:val="20"/>
              </w:rPr>
              <w:t>the course until they complete the assessment surveys.</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B3E2766" w14:textId="5BEFBE6C" w:rsidR="00402256" w:rsidRDefault="002570BD" w:rsidP="002570BD">
            <w:pPr>
              <w:rPr>
                <w:rFonts w:ascii="Times New Roman" w:hAnsi="Times New Roman"/>
                <w:bCs/>
                <w:sz w:val="20"/>
              </w:rPr>
            </w:pPr>
            <w:r>
              <w:rPr>
                <w:rFonts w:ascii="Times New Roman" w:hAnsi="Times New Roman"/>
                <w:bCs/>
                <w:sz w:val="20"/>
              </w:rPr>
              <w:t>Follow for this action is scheduled for spring 2022.</w:t>
            </w:r>
          </w:p>
          <w:p w14:paraId="2C7013F5" w14:textId="2617D474" w:rsidR="002570BD" w:rsidRPr="006E294C" w:rsidRDefault="002570BD" w:rsidP="002570BD">
            <w:pPr>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6A7EE72E" w:rsidR="007531CA" w:rsidRPr="004539E5" w:rsidRDefault="002570BD" w:rsidP="002570BD">
            <w:pPr>
              <w:jc w:val="both"/>
              <w:rPr>
                <w:rFonts w:ascii="Times New Roman" w:hAnsi="Times New Roman"/>
                <w:sz w:val="20"/>
              </w:rPr>
            </w:pPr>
            <w:r w:rsidRPr="004539E5">
              <w:rPr>
                <w:rFonts w:ascii="Times New Roman" w:hAnsi="Times New Roman"/>
                <w:sz w:val="20"/>
              </w:rPr>
              <w:t>All CIT students are assessed in their first semester while taking CIT 300, and in their last semester while taking AMS 490</w:t>
            </w:r>
            <w:r w:rsidR="00410431" w:rsidRPr="004539E5">
              <w:rPr>
                <w:rFonts w:ascii="Times New Roman" w:hAnsi="Times New Roman"/>
                <w:sz w:val="20"/>
              </w:rPr>
              <w:t xml:space="preserve"> (now known as CIT 490).</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1777BD"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1777BD" w:rsidRPr="005D68AF" w:rsidRDefault="001777BD" w:rsidP="001777B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D17B9F4" w:rsidR="001777BD" w:rsidRPr="005D68AF" w:rsidRDefault="001777BD" w:rsidP="001777BD">
            <w:pPr>
              <w:widowControl w:val="0"/>
              <w:autoSpaceDE w:val="0"/>
              <w:autoSpaceDN w:val="0"/>
              <w:adjustRightInd w:val="0"/>
              <w:rPr>
                <w:rFonts w:ascii="Times New Roman" w:hAnsi="Times New Roman"/>
                <w:b/>
                <w:bCs/>
                <w:sz w:val="20"/>
                <w:szCs w:val="20"/>
              </w:rPr>
            </w:pPr>
            <w:r w:rsidRPr="001777BD">
              <w:rPr>
                <w:rFonts w:ascii="Times New Roman" w:hAnsi="Times New Roman"/>
                <w:sz w:val="20"/>
                <w:szCs w:val="20"/>
              </w:rPr>
              <w:t xml:space="preserve">DIRECT measure of student learning: It is difficult to draw specific conclusions about individual CIT domain assessment scores since different students take different electives that may or may not support learning in a specific domain. Even so, a significant change in an individual domain assessment score average could indicate issues in that domain’s curriculum or delivery. As a result, we also validate student mastery of the CIT technical domains through a satisfactory individual CIT technical domain assessment </w:t>
            </w:r>
            <w:proofErr w:type="gramStart"/>
            <w:r w:rsidRPr="001777BD">
              <w:rPr>
                <w:rFonts w:ascii="Times New Roman" w:hAnsi="Times New Roman"/>
                <w:sz w:val="20"/>
                <w:szCs w:val="20"/>
              </w:rPr>
              <w:t>averages</w:t>
            </w:r>
            <w:proofErr w:type="gramEnd"/>
            <w:r w:rsidRPr="001777BD">
              <w:rPr>
                <w:rFonts w:ascii="Times New Roman" w:hAnsi="Times New Roman"/>
                <w:sz w:val="20"/>
                <w:szCs w:val="20"/>
              </w:rPr>
              <w:t>.</w:t>
            </w:r>
          </w:p>
        </w:tc>
      </w:tr>
      <w:tr w:rsidR="001777BD"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1777BD" w:rsidRPr="001160F4" w:rsidRDefault="001777BD" w:rsidP="001777B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5D39B42" w:rsidR="001777BD" w:rsidRPr="001777BD" w:rsidRDefault="001777BD" w:rsidP="001777BD">
            <w:pPr>
              <w:widowControl w:val="0"/>
              <w:autoSpaceDE w:val="0"/>
              <w:autoSpaceDN w:val="0"/>
              <w:adjustRightInd w:val="0"/>
              <w:rPr>
                <w:rFonts w:ascii="Times New Roman" w:hAnsi="Times New Roman"/>
                <w:sz w:val="20"/>
                <w:szCs w:val="20"/>
              </w:rPr>
            </w:pPr>
            <w:r w:rsidRPr="001777BD">
              <w:rPr>
                <w:rFonts w:ascii="Times New Roman" w:hAnsi="Times New Roman"/>
                <w:sz w:val="20"/>
                <w:szCs w:val="20"/>
              </w:rPr>
              <w:t>For success, a minimum average gain score for any specific domain will be greater than 15%.</w:t>
            </w:r>
          </w:p>
          <w:p w14:paraId="306F016A" w14:textId="74CD76D4" w:rsidR="001777BD" w:rsidRPr="00F136C3" w:rsidRDefault="001777BD" w:rsidP="001777BD">
            <w:pPr>
              <w:widowControl w:val="0"/>
              <w:autoSpaceDE w:val="0"/>
              <w:autoSpaceDN w:val="0"/>
              <w:adjustRightInd w:val="0"/>
              <w:rPr>
                <w:rFonts w:ascii="Times New Roman" w:hAnsi="Times New Roman"/>
                <w:color w:val="767171" w:themeColor="background2" w:themeShade="80"/>
                <w:sz w:val="20"/>
                <w:szCs w:val="20"/>
              </w:rPr>
            </w:pPr>
          </w:p>
        </w:tc>
      </w:tr>
      <w:tr w:rsidR="001777BD"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1777BD" w:rsidRDefault="001777BD" w:rsidP="001777B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1777BD" w:rsidRDefault="001777BD" w:rsidP="001777BD">
            <w:pPr>
              <w:widowControl w:val="0"/>
              <w:autoSpaceDE w:val="0"/>
              <w:autoSpaceDN w:val="0"/>
              <w:adjustRightInd w:val="0"/>
              <w:rPr>
                <w:rFonts w:ascii="Times New Roman" w:hAnsi="Times New Roman"/>
                <w:sz w:val="20"/>
                <w:szCs w:val="20"/>
              </w:rPr>
            </w:pPr>
          </w:p>
          <w:p w14:paraId="73BCDD76" w14:textId="77777777" w:rsidR="001777BD" w:rsidRPr="00964DD0" w:rsidRDefault="001777BD" w:rsidP="001777B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63E5A3E" w:rsidR="001777BD" w:rsidRPr="00964DD0" w:rsidRDefault="001777BD" w:rsidP="001777BD">
            <w:pPr>
              <w:widowControl w:val="0"/>
              <w:autoSpaceDE w:val="0"/>
              <w:autoSpaceDN w:val="0"/>
              <w:adjustRightInd w:val="0"/>
              <w:rPr>
                <w:rFonts w:ascii="Times New Roman" w:hAnsi="Times New Roman"/>
                <w:sz w:val="20"/>
                <w:szCs w:val="20"/>
              </w:rPr>
            </w:pPr>
            <w:r>
              <w:rPr>
                <w:rFonts w:ascii="Times New Roman" w:hAnsi="Times New Roman"/>
                <w:sz w:val="20"/>
                <w:szCs w:val="20"/>
              </w:rPr>
              <w:t>The lowest individual domain percentage gain score was</w:t>
            </w:r>
            <w:r w:rsidR="008D68D3">
              <w:rPr>
                <w:rFonts w:ascii="Times New Roman" w:hAnsi="Times New Roman"/>
                <w:sz w:val="20"/>
                <w:szCs w:val="20"/>
              </w:rPr>
              <w:t xml:space="preserve"> 55%</w:t>
            </w:r>
            <w:r>
              <w:rPr>
                <w:rFonts w:ascii="Times New Roman" w:hAnsi="Times New Roman"/>
                <w:sz w:val="20"/>
                <w:szCs w:val="20"/>
              </w:rPr>
              <w:t>, which exceeds target.</w:t>
            </w:r>
          </w:p>
        </w:tc>
        <w:tc>
          <w:tcPr>
            <w:tcW w:w="2880" w:type="dxa"/>
            <w:tcBorders>
              <w:bottom w:val="single" w:sz="4" w:space="0" w:color="auto"/>
            </w:tcBorders>
            <w:shd w:val="clear" w:color="auto" w:fill="auto"/>
            <w:tcMar>
              <w:top w:w="100" w:type="nil"/>
              <w:right w:w="100" w:type="nil"/>
            </w:tcMar>
          </w:tcPr>
          <w:p w14:paraId="32151992" w14:textId="77777777" w:rsidR="001777BD" w:rsidRPr="00C4455B" w:rsidRDefault="001777BD" w:rsidP="001777B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53E2BCC" w:rsidR="001777BD" w:rsidRPr="0075740F" w:rsidRDefault="001777BD" w:rsidP="001777BD">
            <w:pPr>
              <w:widowControl w:val="0"/>
              <w:autoSpaceDE w:val="0"/>
              <w:autoSpaceDN w:val="0"/>
              <w:adjustRightInd w:val="0"/>
              <w:rPr>
                <w:rFonts w:ascii="Times New Roman" w:hAnsi="Times New Roman"/>
                <w:color w:val="767171" w:themeColor="background2" w:themeShade="80"/>
                <w:sz w:val="20"/>
                <w:szCs w:val="20"/>
              </w:rPr>
            </w:pPr>
            <w:r w:rsidRPr="001777BD">
              <w:rPr>
                <w:rFonts w:ascii="Times New Roman" w:hAnsi="Times New Roman"/>
                <w:sz w:val="20"/>
                <w:szCs w:val="20"/>
              </w:rPr>
              <w:t>All domain assessments averaged better than a 15% gain score</w:t>
            </w:r>
          </w:p>
        </w:tc>
      </w:tr>
      <w:tr w:rsidR="001777BD"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1777BD" w:rsidRPr="00EB65C8" w:rsidRDefault="001777BD" w:rsidP="001777B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2EC484" w14:textId="77777777" w:rsidR="001777BD" w:rsidRDefault="006E27B6" w:rsidP="001777BD">
            <w:pPr>
              <w:widowControl w:val="0"/>
              <w:autoSpaceDE w:val="0"/>
              <w:autoSpaceDN w:val="0"/>
              <w:adjustRightInd w:val="0"/>
              <w:rPr>
                <w:rFonts w:ascii="Times New Roman" w:hAnsi="Times New Roman"/>
                <w:sz w:val="20"/>
                <w:szCs w:val="20"/>
              </w:rPr>
            </w:pPr>
            <w:r w:rsidRPr="006E27B6">
              <w:rPr>
                <w:rFonts w:ascii="Times New Roman" w:hAnsi="Times New Roman"/>
                <w:sz w:val="20"/>
                <w:szCs w:val="20"/>
              </w:rPr>
              <w:t xml:space="preserve">For the period, </w:t>
            </w:r>
            <w:r w:rsidR="000A6432">
              <w:rPr>
                <w:rFonts w:ascii="Times New Roman" w:hAnsi="Times New Roman"/>
                <w:sz w:val="20"/>
                <w:szCs w:val="20"/>
              </w:rPr>
              <w:t>14</w:t>
            </w:r>
            <w:r w:rsidRPr="006E27B6">
              <w:rPr>
                <w:rFonts w:ascii="Times New Roman" w:hAnsi="Times New Roman"/>
                <w:sz w:val="20"/>
                <w:szCs w:val="20"/>
              </w:rPr>
              <w:t xml:space="preserve"> students completed AMS490, and all of them completed six domain assessments including database, hardware, networks, programming, security, and technology management. These scores were then compared to the student’s entry assessments in CIT300. Percentage gain scores were calculated for each domain:</w:t>
            </w:r>
          </w:p>
          <w:p w14:paraId="2E36508B" w14:textId="77777777" w:rsidR="008D68D3" w:rsidRDefault="008D68D3" w:rsidP="001777BD">
            <w:pPr>
              <w:widowControl w:val="0"/>
              <w:autoSpaceDE w:val="0"/>
              <w:autoSpaceDN w:val="0"/>
              <w:adjustRightInd w:val="0"/>
              <w:rPr>
                <w:rFonts w:ascii="Times New Roman" w:hAnsi="Times New Roman"/>
                <w:sz w:val="20"/>
                <w:szCs w:val="20"/>
              </w:rPr>
            </w:pPr>
          </w:p>
          <w:tbl>
            <w:tblPr>
              <w:tblW w:w="2652" w:type="dxa"/>
              <w:tblLayout w:type="fixed"/>
              <w:tblLook w:val="04A0" w:firstRow="1" w:lastRow="0" w:firstColumn="1" w:lastColumn="0" w:noHBand="0" w:noVBand="1"/>
            </w:tblPr>
            <w:tblGrid>
              <w:gridCol w:w="1516"/>
              <w:gridCol w:w="236"/>
              <w:gridCol w:w="900"/>
            </w:tblGrid>
            <w:tr w:rsidR="008D68D3" w:rsidRPr="008D68D3" w14:paraId="770177FE"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099408AC" w14:textId="77777777" w:rsidR="008D68D3" w:rsidRPr="008D68D3" w:rsidRDefault="008D68D3" w:rsidP="001D46BF">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Domain Count:</w:t>
                  </w:r>
                </w:p>
              </w:tc>
              <w:tc>
                <w:tcPr>
                  <w:tcW w:w="976" w:type="dxa"/>
                  <w:tcBorders>
                    <w:top w:val="nil"/>
                    <w:left w:val="nil"/>
                    <w:bottom w:val="nil"/>
                    <w:right w:val="nil"/>
                  </w:tcBorders>
                  <w:shd w:val="clear" w:color="auto" w:fill="auto"/>
                  <w:noWrap/>
                  <w:vAlign w:val="bottom"/>
                  <w:hideMark/>
                </w:tcPr>
                <w:p w14:paraId="0F1D6D94" w14:textId="77777777" w:rsidR="008D68D3" w:rsidRPr="008D68D3" w:rsidRDefault="008D68D3" w:rsidP="001D46BF">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6</w:t>
                  </w:r>
                </w:p>
              </w:tc>
            </w:tr>
            <w:tr w:rsidR="008D68D3" w:rsidRPr="008D68D3" w14:paraId="16DDA8BB"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0E653214" w14:textId="77777777" w:rsidR="008D68D3" w:rsidRPr="008D68D3" w:rsidRDefault="008D68D3" w:rsidP="001D46BF">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Max gain score %:</w:t>
                  </w:r>
                </w:p>
              </w:tc>
              <w:tc>
                <w:tcPr>
                  <w:tcW w:w="976" w:type="dxa"/>
                  <w:tcBorders>
                    <w:top w:val="nil"/>
                    <w:left w:val="nil"/>
                    <w:bottom w:val="nil"/>
                    <w:right w:val="nil"/>
                  </w:tcBorders>
                  <w:shd w:val="clear" w:color="auto" w:fill="auto"/>
                  <w:noWrap/>
                  <w:vAlign w:val="bottom"/>
                  <w:hideMark/>
                </w:tcPr>
                <w:p w14:paraId="5B3EE4D5" w14:textId="77777777" w:rsidR="008D68D3" w:rsidRPr="008D68D3" w:rsidRDefault="008D68D3" w:rsidP="001D46BF">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104</w:t>
                  </w:r>
                </w:p>
              </w:tc>
            </w:tr>
            <w:tr w:rsidR="008D68D3" w:rsidRPr="008D68D3" w14:paraId="7C11D3AA"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509ED03F" w14:textId="77777777" w:rsidR="008D68D3" w:rsidRPr="008D68D3" w:rsidRDefault="008D68D3" w:rsidP="001D46BF">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Min gain score%:</w:t>
                  </w:r>
                </w:p>
              </w:tc>
              <w:tc>
                <w:tcPr>
                  <w:tcW w:w="976" w:type="dxa"/>
                  <w:tcBorders>
                    <w:top w:val="nil"/>
                    <w:left w:val="nil"/>
                    <w:bottom w:val="nil"/>
                    <w:right w:val="nil"/>
                  </w:tcBorders>
                  <w:shd w:val="clear" w:color="auto" w:fill="auto"/>
                  <w:noWrap/>
                  <w:vAlign w:val="bottom"/>
                  <w:hideMark/>
                </w:tcPr>
                <w:p w14:paraId="77A7D135" w14:textId="77777777" w:rsidR="008D68D3" w:rsidRPr="008D68D3" w:rsidRDefault="008D68D3" w:rsidP="001D46BF">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55</w:t>
                  </w:r>
                </w:p>
              </w:tc>
            </w:tr>
            <w:tr w:rsidR="008D68D3" w:rsidRPr="008D68D3" w14:paraId="221D2873"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52F212DF" w14:textId="77777777" w:rsidR="008D68D3" w:rsidRPr="008D68D3" w:rsidRDefault="008D68D3" w:rsidP="001D46BF">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Avg gain score %</w:t>
                  </w:r>
                </w:p>
              </w:tc>
              <w:tc>
                <w:tcPr>
                  <w:tcW w:w="976" w:type="dxa"/>
                  <w:tcBorders>
                    <w:top w:val="nil"/>
                    <w:left w:val="nil"/>
                    <w:bottom w:val="nil"/>
                    <w:right w:val="nil"/>
                  </w:tcBorders>
                  <w:shd w:val="clear" w:color="auto" w:fill="auto"/>
                  <w:noWrap/>
                  <w:vAlign w:val="bottom"/>
                  <w:hideMark/>
                </w:tcPr>
                <w:p w14:paraId="2BCAE76E" w14:textId="77777777" w:rsidR="008D68D3" w:rsidRPr="008D68D3" w:rsidRDefault="008D68D3" w:rsidP="001D46BF">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80</w:t>
                  </w:r>
                </w:p>
              </w:tc>
            </w:tr>
            <w:tr w:rsidR="008D68D3" w:rsidRPr="008D68D3" w14:paraId="0D374624" w14:textId="77777777" w:rsidTr="008D68D3">
              <w:trPr>
                <w:trHeight w:val="300"/>
              </w:trPr>
              <w:tc>
                <w:tcPr>
                  <w:tcW w:w="1663" w:type="dxa"/>
                  <w:tcBorders>
                    <w:top w:val="nil"/>
                    <w:left w:val="nil"/>
                    <w:bottom w:val="nil"/>
                    <w:right w:val="nil"/>
                  </w:tcBorders>
                  <w:shd w:val="clear" w:color="auto" w:fill="auto"/>
                  <w:noWrap/>
                  <w:vAlign w:val="bottom"/>
                  <w:hideMark/>
                </w:tcPr>
                <w:p w14:paraId="53A5942D" w14:textId="77777777" w:rsidR="008D68D3" w:rsidRPr="008D68D3" w:rsidRDefault="008D68D3" w:rsidP="001D46BF">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Std Dev:</w:t>
                  </w:r>
                </w:p>
              </w:tc>
              <w:tc>
                <w:tcPr>
                  <w:tcW w:w="13" w:type="dxa"/>
                  <w:tcBorders>
                    <w:top w:val="nil"/>
                    <w:left w:val="nil"/>
                    <w:bottom w:val="nil"/>
                    <w:right w:val="nil"/>
                  </w:tcBorders>
                  <w:shd w:val="clear" w:color="auto" w:fill="auto"/>
                  <w:noWrap/>
                  <w:vAlign w:val="bottom"/>
                  <w:hideMark/>
                </w:tcPr>
                <w:p w14:paraId="1232585E" w14:textId="77777777" w:rsidR="008D68D3" w:rsidRPr="008D68D3" w:rsidRDefault="008D68D3" w:rsidP="001D46BF">
                  <w:pPr>
                    <w:framePr w:hSpace="187" w:wrap="around" w:vAnchor="text" w:hAnchor="margin" w:y="1"/>
                    <w:rPr>
                      <w:rFonts w:ascii="Times New Roman" w:hAnsi="Times New Roman"/>
                      <w:color w:val="000000"/>
                      <w:sz w:val="20"/>
                      <w:szCs w:val="20"/>
                    </w:rPr>
                  </w:pPr>
                </w:p>
              </w:tc>
              <w:tc>
                <w:tcPr>
                  <w:tcW w:w="976" w:type="dxa"/>
                  <w:tcBorders>
                    <w:top w:val="nil"/>
                    <w:left w:val="nil"/>
                    <w:bottom w:val="nil"/>
                    <w:right w:val="nil"/>
                  </w:tcBorders>
                  <w:shd w:val="clear" w:color="auto" w:fill="auto"/>
                  <w:noWrap/>
                  <w:vAlign w:val="bottom"/>
                  <w:hideMark/>
                </w:tcPr>
                <w:p w14:paraId="3074D5B5" w14:textId="77777777" w:rsidR="008D68D3" w:rsidRPr="008D68D3" w:rsidRDefault="008D68D3" w:rsidP="001D46BF">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17</w:t>
                  </w:r>
                </w:p>
              </w:tc>
            </w:tr>
          </w:tbl>
          <w:p w14:paraId="056EF6FB" w14:textId="77777777" w:rsidR="008D68D3" w:rsidRDefault="008D68D3" w:rsidP="001777BD">
            <w:pPr>
              <w:widowControl w:val="0"/>
              <w:autoSpaceDE w:val="0"/>
              <w:autoSpaceDN w:val="0"/>
              <w:adjustRightInd w:val="0"/>
              <w:rPr>
                <w:rFonts w:ascii="Times New Roman" w:hAnsi="Times New Roman"/>
                <w:sz w:val="20"/>
                <w:szCs w:val="20"/>
              </w:rPr>
            </w:pPr>
          </w:p>
          <w:p w14:paraId="70E861C6" w14:textId="74BCAE13" w:rsidR="008D68D3" w:rsidRPr="00964DD0" w:rsidRDefault="008D68D3" w:rsidP="001777BD">
            <w:pPr>
              <w:widowControl w:val="0"/>
              <w:autoSpaceDE w:val="0"/>
              <w:autoSpaceDN w:val="0"/>
              <w:adjustRightInd w:val="0"/>
              <w:rPr>
                <w:rFonts w:ascii="Times New Roman" w:hAnsi="Times New Roman"/>
                <w:sz w:val="20"/>
                <w:szCs w:val="20"/>
              </w:rPr>
            </w:pPr>
          </w:p>
        </w:tc>
      </w:tr>
      <w:tr w:rsidR="001777BD"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1777BD" w:rsidRDefault="001777BD" w:rsidP="001777B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1777BD" w:rsidRPr="003A32E4" w:rsidRDefault="001777BD" w:rsidP="001777B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EE34911" w:rsidR="001777BD" w:rsidRPr="003A32E4" w:rsidRDefault="008D68D3" w:rsidP="001777B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6" w:name="Check9"/>
            <w:r>
              <w:rPr>
                <w:rFonts w:ascii="Times New Roman" w:hAnsi="Times New Roman"/>
                <w:b/>
                <w:sz w:val="22"/>
                <w:szCs w:val="22"/>
              </w:rPr>
              <w:instrText xml:space="preserve"> FORMCHECKBOX </w:instrText>
            </w:r>
            <w:r w:rsidR="001D46BF">
              <w:rPr>
                <w:rFonts w:ascii="Times New Roman" w:hAnsi="Times New Roman"/>
                <w:b/>
                <w:sz w:val="22"/>
                <w:szCs w:val="22"/>
              </w:rPr>
            </w:r>
            <w:r w:rsidR="001D46BF">
              <w:rPr>
                <w:rFonts w:ascii="Times New Roman" w:hAnsi="Times New Roman"/>
                <w:b/>
                <w:sz w:val="22"/>
                <w:szCs w:val="22"/>
              </w:rPr>
              <w:fldChar w:fldCharType="separate"/>
            </w:r>
            <w:r>
              <w:rPr>
                <w:rFonts w:ascii="Times New Roman" w:hAnsi="Times New Roman"/>
                <w:b/>
                <w:sz w:val="22"/>
                <w:szCs w:val="22"/>
              </w:rPr>
              <w:fldChar w:fldCharType="end"/>
            </w:r>
            <w:bookmarkEnd w:id="6"/>
            <w:r w:rsidR="001777BD">
              <w:rPr>
                <w:rFonts w:ascii="Times New Roman" w:hAnsi="Times New Roman"/>
                <w:b/>
                <w:sz w:val="22"/>
                <w:szCs w:val="22"/>
              </w:rPr>
              <w:t xml:space="preserve"> </w:t>
            </w:r>
            <w:r w:rsidR="001777B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1777BD" w:rsidRPr="003A32E4" w:rsidRDefault="001777BD" w:rsidP="001777B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1D46BF">
              <w:rPr>
                <w:rFonts w:ascii="Times New Roman" w:hAnsi="Times New Roman"/>
                <w:b/>
                <w:sz w:val="22"/>
                <w:szCs w:val="22"/>
              </w:rPr>
            </w:r>
            <w:r w:rsidR="001D46BF">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1777BD" w:rsidRPr="00964DD0" w14:paraId="0D3445A0" w14:textId="77777777" w:rsidTr="00060BE5">
        <w:tc>
          <w:tcPr>
            <w:tcW w:w="14395" w:type="dxa"/>
            <w:gridSpan w:val="6"/>
            <w:shd w:val="clear" w:color="auto" w:fill="auto"/>
            <w:tcMar>
              <w:top w:w="100" w:type="nil"/>
              <w:right w:w="100" w:type="nil"/>
            </w:tcMar>
          </w:tcPr>
          <w:p w14:paraId="00566383" w14:textId="77777777" w:rsidR="001777BD" w:rsidRPr="0054609C" w:rsidRDefault="001777BD" w:rsidP="001777B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777BD" w:rsidRPr="00964DD0" w14:paraId="5A144F00" w14:textId="77777777" w:rsidTr="00060BE5">
        <w:trPr>
          <w:trHeight w:val="1340"/>
        </w:trPr>
        <w:tc>
          <w:tcPr>
            <w:tcW w:w="14395" w:type="dxa"/>
            <w:gridSpan w:val="6"/>
            <w:shd w:val="clear" w:color="auto" w:fill="auto"/>
            <w:tcMar>
              <w:top w:w="100" w:type="nil"/>
              <w:right w:w="100" w:type="nil"/>
            </w:tcMar>
          </w:tcPr>
          <w:p w14:paraId="295FC4F9" w14:textId="59A1F0F9" w:rsidR="001777BD" w:rsidRPr="008D68D3" w:rsidRDefault="008D68D3" w:rsidP="001777BD">
            <w:pPr>
              <w:jc w:val="both"/>
              <w:rPr>
                <w:rFonts w:ascii="Times New Roman" w:hAnsi="Times New Roman"/>
                <w:bCs/>
                <w:sz w:val="20"/>
                <w:szCs w:val="20"/>
              </w:rPr>
            </w:pPr>
            <w:r w:rsidRPr="008D68D3">
              <w:rPr>
                <w:rFonts w:ascii="Times New Roman" w:hAnsi="Times New Roman"/>
                <w:bCs/>
                <w:sz w:val="20"/>
                <w:szCs w:val="20"/>
              </w:rPr>
              <w:t>Students continue to discount the value of the assessment process and therefore do not take the surveys seriously. By the end of the fall 2021 semester, CIT 300 and AMS 490 will be configured such that students cannot proceed with the course until they complete the assessment surveys.</w:t>
            </w:r>
          </w:p>
        </w:tc>
      </w:tr>
      <w:tr w:rsidR="001777BD" w:rsidRPr="00964DD0" w14:paraId="023FDFA4" w14:textId="77777777" w:rsidTr="00B33C1F">
        <w:tc>
          <w:tcPr>
            <w:tcW w:w="14395" w:type="dxa"/>
            <w:gridSpan w:val="6"/>
            <w:shd w:val="clear" w:color="auto" w:fill="auto"/>
            <w:tcMar>
              <w:top w:w="100" w:type="nil"/>
              <w:right w:w="100" w:type="nil"/>
            </w:tcMar>
          </w:tcPr>
          <w:p w14:paraId="582799B0" w14:textId="77777777" w:rsidR="001777BD" w:rsidRPr="006E294C" w:rsidRDefault="001777BD" w:rsidP="001777B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777BD" w:rsidRPr="00964DD0" w14:paraId="630F521C" w14:textId="77777777" w:rsidTr="00B33C1F">
        <w:tc>
          <w:tcPr>
            <w:tcW w:w="14395" w:type="dxa"/>
            <w:gridSpan w:val="6"/>
            <w:shd w:val="clear" w:color="auto" w:fill="auto"/>
            <w:tcMar>
              <w:top w:w="100" w:type="nil"/>
              <w:right w:w="100" w:type="nil"/>
            </w:tcMar>
          </w:tcPr>
          <w:p w14:paraId="10BF0258" w14:textId="7CEEA627" w:rsidR="001777BD" w:rsidRDefault="008D68D3" w:rsidP="001777BD">
            <w:pPr>
              <w:jc w:val="both"/>
              <w:rPr>
                <w:rFonts w:ascii="Times New Roman" w:hAnsi="Times New Roman"/>
                <w:color w:val="767171" w:themeColor="background2" w:themeShade="80"/>
                <w:sz w:val="20"/>
              </w:rPr>
            </w:pPr>
            <w:r w:rsidRPr="008D68D3">
              <w:rPr>
                <w:rFonts w:ascii="Times New Roman" w:hAnsi="Times New Roman"/>
                <w:color w:val="767171" w:themeColor="background2" w:themeShade="80"/>
                <w:sz w:val="20"/>
              </w:rPr>
              <w:t>Follow for this action is scheduled for spring 2022.</w:t>
            </w:r>
          </w:p>
          <w:p w14:paraId="72F4D83B" w14:textId="77777777" w:rsidR="001777BD" w:rsidRDefault="001777BD" w:rsidP="001777BD">
            <w:pPr>
              <w:jc w:val="both"/>
              <w:rPr>
                <w:rFonts w:ascii="Times New Roman" w:hAnsi="Times New Roman"/>
                <w:bCs/>
                <w:sz w:val="20"/>
              </w:rPr>
            </w:pPr>
          </w:p>
          <w:p w14:paraId="6A80CC38" w14:textId="77777777" w:rsidR="001777BD" w:rsidRDefault="001777BD" w:rsidP="001777BD">
            <w:pPr>
              <w:jc w:val="both"/>
              <w:rPr>
                <w:rFonts w:ascii="Times New Roman" w:hAnsi="Times New Roman"/>
                <w:bCs/>
                <w:sz w:val="20"/>
              </w:rPr>
            </w:pPr>
          </w:p>
          <w:p w14:paraId="4AF2E385" w14:textId="6A275F0E" w:rsidR="001777BD" w:rsidRPr="006E294C" w:rsidRDefault="001777BD" w:rsidP="001777BD">
            <w:pPr>
              <w:jc w:val="both"/>
              <w:rPr>
                <w:rFonts w:ascii="Times New Roman" w:hAnsi="Times New Roman"/>
                <w:bCs/>
                <w:sz w:val="20"/>
              </w:rPr>
            </w:pPr>
          </w:p>
        </w:tc>
      </w:tr>
      <w:tr w:rsidR="001777BD" w:rsidRPr="00964DD0" w14:paraId="4087FAD4" w14:textId="77777777" w:rsidTr="00B33C1F">
        <w:tc>
          <w:tcPr>
            <w:tcW w:w="14395" w:type="dxa"/>
            <w:gridSpan w:val="6"/>
            <w:shd w:val="clear" w:color="auto" w:fill="auto"/>
            <w:tcMar>
              <w:top w:w="100" w:type="nil"/>
              <w:right w:w="100" w:type="nil"/>
            </w:tcMar>
          </w:tcPr>
          <w:p w14:paraId="1675CEB7" w14:textId="17D6845E" w:rsidR="001777BD" w:rsidRDefault="001777BD" w:rsidP="001777B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1777BD" w:rsidRPr="00964DD0" w14:paraId="5C4BCE90" w14:textId="77777777" w:rsidTr="00B33C1F">
        <w:tc>
          <w:tcPr>
            <w:tcW w:w="14395" w:type="dxa"/>
            <w:gridSpan w:val="6"/>
            <w:shd w:val="clear" w:color="auto" w:fill="auto"/>
            <w:tcMar>
              <w:top w:w="100" w:type="nil"/>
              <w:right w:w="100" w:type="nil"/>
            </w:tcMar>
          </w:tcPr>
          <w:p w14:paraId="2BD66E22" w14:textId="68F00FEB" w:rsidR="001777BD" w:rsidRDefault="008D68D3" w:rsidP="008D68D3">
            <w:pPr>
              <w:jc w:val="both"/>
              <w:rPr>
                <w:rFonts w:ascii="Times New Roman" w:hAnsi="Times New Roman"/>
                <w:color w:val="767171" w:themeColor="background2" w:themeShade="80"/>
                <w:sz w:val="20"/>
              </w:rPr>
            </w:pPr>
            <w:r w:rsidRPr="008D68D3">
              <w:rPr>
                <w:rFonts w:ascii="Times New Roman" w:hAnsi="Times New Roman"/>
                <w:color w:val="767171" w:themeColor="background2" w:themeShade="80"/>
                <w:sz w:val="20"/>
              </w:rPr>
              <w:t>All CIT students are assessed in their first semester while taking CIT 300, and in their last semester while taking AMS 490 (now known as CIT 490).</w:t>
            </w:r>
          </w:p>
        </w:tc>
      </w:tr>
    </w:tbl>
    <w:p w14:paraId="733BFA9B" w14:textId="4D6235C3" w:rsidR="00F136C3" w:rsidRDefault="00F136C3" w:rsidP="00F2019D"/>
    <w:sectPr w:rsidR="00F136C3"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21A1" w14:textId="77777777" w:rsidR="00E80F78" w:rsidRDefault="00E80F78" w:rsidP="001F2A02">
      <w:r>
        <w:separator/>
      </w:r>
    </w:p>
  </w:endnote>
  <w:endnote w:type="continuationSeparator" w:id="0">
    <w:p w14:paraId="2D62138F" w14:textId="77777777" w:rsidR="00E80F78" w:rsidRDefault="00E80F7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F416" w14:textId="77777777" w:rsidR="00E80F78" w:rsidRDefault="00E80F78" w:rsidP="001F2A02">
      <w:r>
        <w:separator/>
      </w:r>
    </w:p>
  </w:footnote>
  <w:footnote w:type="continuationSeparator" w:id="0">
    <w:p w14:paraId="07853714" w14:textId="77777777" w:rsidR="00E80F78" w:rsidRDefault="00E80F78"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5029536-2074-4432-8238-674AF1D308DF}"/>
    <w:docVar w:name="dgnword-eventsink" w:val="311164584"/>
  </w:docVars>
  <w:rsids>
    <w:rsidRoot w:val="00AA5FB2"/>
    <w:rsid w:val="0001791B"/>
    <w:rsid w:val="00046A6C"/>
    <w:rsid w:val="00060BE5"/>
    <w:rsid w:val="00071470"/>
    <w:rsid w:val="000A6432"/>
    <w:rsid w:val="001160F4"/>
    <w:rsid w:val="00141CFC"/>
    <w:rsid w:val="0017571B"/>
    <w:rsid w:val="001777BD"/>
    <w:rsid w:val="001926F3"/>
    <w:rsid w:val="001A7D75"/>
    <w:rsid w:val="001B1F95"/>
    <w:rsid w:val="001D46BF"/>
    <w:rsid w:val="001F2A02"/>
    <w:rsid w:val="00234076"/>
    <w:rsid w:val="00245B3A"/>
    <w:rsid w:val="0024670E"/>
    <w:rsid w:val="002570BD"/>
    <w:rsid w:val="00287AAE"/>
    <w:rsid w:val="002C1781"/>
    <w:rsid w:val="002D5D87"/>
    <w:rsid w:val="002F75F1"/>
    <w:rsid w:val="003425F4"/>
    <w:rsid w:val="0036061A"/>
    <w:rsid w:val="003A32E4"/>
    <w:rsid w:val="003E0415"/>
    <w:rsid w:val="00402256"/>
    <w:rsid w:val="00405C6C"/>
    <w:rsid w:val="00406B46"/>
    <w:rsid w:val="00410431"/>
    <w:rsid w:val="0044187F"/>
    <w:rsid w:val="004539E5"/>
    <w:rsid w:val="00485486"/>
    <w:rsid w:val="004A360E"/>
    <w:rsid w:val="004B0316"/>
    <w:rsid w:val="004B0DA2"/>
    <w:rsid w:val="004C0112"/>
    <w:rsid w:val="004D5BD7"/>
    <w:rsid w:val="004D7D95"/>
    <w:rsid w:val="004E577A"/>
    <w:rsid w:val="005907DF"/>
    <w:rsid w:val="005C7ECF"/>
    <w:rsid w:val="005D68AF"/>
    <w:rsid w:val="005F0B2E"/>
    <w:rsid w:val="00606BCF"/>
    <w:rsid w:val="006354B4"/>
    <w:rsid w:val="00656559"/>
    <w:rsid w:val="00664A15"/>
    <w:rsid w:val="006D1A9A"/>
    <w:rsid w:val="006E27B6"/>
    <w:rsid w:val="006E294C"/>
    <w:rsid w:val="0070232E"/>
    <w:rsid w:val="007374B2"/>
    <w:rsid w:val="007377F0"/>
    <w:rsid w:val="00751153"/>
    <w:rsid w:val="007531CA"/>
    <w:rsid w:val="0075740F"/>
    <w:rsid w:val="007706BE"/>
    <w:rsid w:val="007919F6"/>
    <w:rsid w:val="00886031"/>
    <w:rsid w:val="008C543D"/>
    <w:rsid w:val="008D68D3"/>
    <w:rsid w:val="00906B14"/>
    <w:rsid w:val="009414E6"/>
    <w:rsid w:val="009474D8"/>
    <w:rsid w:val="009952EC"/>
    <w:rsid w:val="00A31886"/>
    <w:rsid w:val="00A8015B"/>
    <w:rsid w:val="00AA5FB2"/>
    <w:rsid w:val="00AE7017"/>
    <w:rsid w:val="00B069F6"/>
    <w:rsid w:val="00B3239E"/>
    <w:rsid w:val="00B63581"/>
    <w:rsid w:val="00B71578"/>
    <w:rsid w:val="00BA43B7"/>
    <w:rsid w:val="00BC0316"/>
    <w:rsid w:val="00C4455B"/>
    <w:rsid w:val="00C71B07"/>
    <w:rsid w:val="00C81981"/>
    <w:rsid w:val="00D03ECA"/>
    <w:rsid w:val="00D077D7"/>
    <w:rsid w:val="00D713AB"/>
    <w:rsid w:val="00D86425"/>
    <w:rsid w:val="00DB547F"/>
    <w:rsid w:val="00DD4EBB"/>
    <w:rsid w:val="00E71D52"/>
    <w:rsid w:val="00E73499"/>
    <w:rsid w:val="00E80F78"/>
    <w:rsid w:val="00E95BBD"/>
    <w:rsid w:val="00EB65C8"/>
    <w:rsid w:val="00EC1C25"/>
    <w:rsid w:val="00F136C3"/>
    <w:rsid w:val="00F2019D"/>
    <w:rsid w:val="00F51EDD"/>
    <w:rsid w:val="00F75844"/>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7374B2"/>
    <w:rPr>
      <w:sz w:val="16"/>
      <w:szCs w:val="16"/>
    </w:rPr>
  </w:style>
  <w:style w:type="paragraph" w:styleId="CommentText">
    <w:name w:val="annotation text"/>
    <w:basedOn w:val="Normal"/>
    <w:link w:val="CommentTextChar"/>
    <w:uiPriority w:val="99"/>
    <w:semiHidden/>
    <w:unhideWhenUsed/>
    <w:rsid w:val="007374B2"/>
    <w:rPr>
      <w:sz w:val="20"/>
      <w:szCs w:val="20"/>
    </w:rPr>
  </w:style>
  <w:style w:type="character" w:customStyle="1" w:styleId="CommentTextChar">
    <w:name w:val="Comment Text Char"/>
    <w:basedOn w:val="DefaultParagraphFont"/>
    <w:link w:val="CommentText"/>
    <w:uiPriority w:val="99"/>
    <w:semiHidden/>
    <w:rsid w:val="007374B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74B2"/>
    <w:rPr>
      <w:b/>
      <w:bCs/>
    </w:rPr>
  </w:style>
  <w:style w:type="character" w:customStyle="1" w:styleId="CommentSubjectChar">
    <w:name w:val="Comment Subject Char"/>
    <w:basedOn w:val="CommentTextChar"/>
    <w:link w:val="CommentSubject"/>
    <w:uiPriority w:val="99"/>
    <w:semiHidden/>
    <w:rsid w:val="007374B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2019-09-30T17:49:00Z</cp:lastPrinted>
  <dcterms:created xsi:type="dcterms:W3CDTF">2021-08-11T15:45:00Z</dcterms:created>
  <dcterms:modified xsi:type="dcterms:W3CDTF">2021-09-13T18:52:00Z</dcterms:modified>
</cp:coreProperties>
</file>