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AC8" w:rsidRPr="005F76F5" w:rsidRDefault="00BC7484" w:rsidP="00ED3AC8">
      <w:pPr>
        <w:jc w:val="right"/>
      </w:pPr>
      <w:r>
        <w:t>-</w:t>
      </w:r>
      <w:bookmarkStart w:id="0" w:name="_GoBack"/>
      <w:bookmarkEnd w:id="0"/>
      <w:r w:rsidR="00ED3AC8" w:rsidRPr="005F76F5">
        <w:t>Proposal Date: February 9, 2016</w:t>
      </w:r>
    </w:p>
    <w:p w:rsidR="00ED3AC8" w:rsidRPr="005F76F5" w:rsidRDefault="00ED3AC8" w:rsidP="00ED3AC8">
      <w:pPr>
        <w:jc w:val="center"/>
      </w:pPr>
    </w:p>
    <w:p w:rsidR="00ED3AC8" w:rsidRPr="005F76F5" w:rsidRDefault="00ED3AC8" w:rsidP="00ED3AC8">
      <w:pPr>
        <w:jc w:val="center"/>
        <w:rPr>
          <w:b/>
        </w:rPr>
      </w:pPr>
      <w:r w:rsidRPr="005F76F5">
        <w:rPr>
          <w:b/>
        </w:rPr>
        <w:t>Gordon Ford College of Business</w:t>
      </w:r>
    </w:p>
    <w:p w:rsidR="00ED3AC8" w:rsidRPr="005F76F5" w:rsidRDefault="00ED3AC8" w:rsidP="00ED3AC8">
      <w:pPr>
        <w:jc w:val="center"/>
        <w:rPr>
          <w:b/>
        </w:rPr>
      </w:pPr>
      <w:r w:rsidRPr="005F76F5">
        <w:rPr>
          <w:b/>
        </w:rPr>
        <w:t>Information Systems Department</w:t>
      </w:r>
    </w:p>
    <w:p w:rsidR="00ED3AC8" w:rsidRPr="005F76F5" w:rsidRDefault="00ED3AC8" w:rsidP="00ED3AC8">
      <w:pPr>
        <w:jc w:val="center"/>
        <w:rPr>
          <w:b/>
        </w:rPr>
      </w:pPr>
      <w:r w:rsidRPr="005F76F5">
        <w:rPr>
          <w:b/>
        </w:rPr>
        <w:t>Proposal to Revise A Program</w:t>
      </w:r>
    </w:p>
    <w:p w:rsidR="00ED3AC8" w:rsidRPr="005F76F5" w:rsidRDefault="00ED3AC8" w:rsidP="00ED3AC8">
      <w:pPr>
        <w:jc w:val="center"/>
        <w:rPr>
          <w:b/>
        </w:rPr>
      </w:pPr>
      <w:r w:rsidRPr="005F76F5">
        <w:rPr>
          <w:b/>
        </w:rPr>
        <w:t>(Action Item)</w:t>
      </w:r>
    </w:p>
    <w:p w:rsidR="00ED3AC8" w:rsidRPr="005F76F5" w:rsidRDefault="00ED3AC8" w:rsidP="00ED3AC8">
      <w:pPr>
        <w:rPr>
          <w:b/>
        </w:rPr>
      </w:pPr>
    </w:p>
    <w:p w:rsidR="00ED3AC8" w:rsidRPr="005F76F5" w:rsidRDefault="00ED3AC8" w:rsidP="00ED3AC8">
      <w:pPr>
        <w:spacing w:line="280" w:lineRule="exact"/>
        <w:rPr>
          <w:sz w:val="22"/>
          <w:szCs w:val="22"/>
        </w:rPr>
      </w:pPr>
      <w:r w:rsidRPr="005F76F5">
        <w:rPr>
          <w:sz w:val="22"/>
          <w:szCs w:val="22"/>
        </w:rPr>
        <w:t xml:space="preserve">Contact Person:  Ray Blankenship, </w:t>
      </w:r>
      <w:hyperlink r:id="rId5" w:history="1">
        <w:r w:rsidRPr="005F76F5">
          <w:rPr>
            <w:color w:val="0563C1" w:themeColor="hyperlink"/>
            <w:sz w:val="22"/>
            <w:szCs w:val="22"/>
            <w:u w:val="single"/>
          </w:rPr>
          <w:t>ray.blankenship@wku.edu</w:t>
        </w:r>
      </w:hyperlink>
      <w:r w:rsidRPr="005F76F5">
        <w:rPr>
          <w:sz w:val="22"/>
          <w:szCs w:val="22"/>
        </w:rPr>
        <w:t>, 270-745-5952</w:t>
      </w:r>
    </w:p>
    <w:p w:rsidR="00ED3AC8" w:rsidRPr="005F76F5" w:rsidRDefault="00ED3AC8" w:rsidP="00ED3AC8">
      <w:pPr>
        <w:spacing w:line="280" w:lineRule="exact"/>
        <w:rPr>
          <w:sz w:val="22"/>
          <w:szCs w:val="22"/>
        </w:rPr>
      </w:pPr>
    </w:p>
    <w:p w:rsidR="00ED3AC8" w:rsidRPr="005F76F5" w:rsidRDefault="00ED3AC8" w:rsidP="00ED3AC8">
      <w:pPr>
        <w:spacing w:line="280" w:lineRule="exact"/>
        <w:rPr>
          <w:b/>
          <w:sz w:val="22"/>
          <w:szCs w:val="22"/>
        </w:rPr>
      </w:pPr>
      <w:r w:rsidRPr="005F76F5">
        <w:rPr>
          <w:b/>
          <w:sz w:val="22"/>
          <w:szCs w:val="22"/>
        </w:rPr>
        <w:t>1.</w:t>
      </w:r>
      <w:r w:rsidRPr="005F76F5">
        <w:rPr>
          <w:b/>
          <w:sz w:val="22"/>
          <w:szCs w:val="22"/>
        </w:rPr>
        <w:tab/>
        <w:t>Identification of program:</w:t>
      </w:r>
    </w:p>
    <w:p w:rsidR="00ED3AC8" w:rsidRPr="005F76F5" w:rsidRDefault="00ED3AC8" w:rsidP="00ED3AC8">
      <w:pPr>
        <w:numPr>
          <w:ilvl w:val="1"/>
          <w:numId w:val="1"/>
        </w:numPr>
        <w:spacing w:line="276" w:lineRule="auto"/>
        <w:ind w:left="1440"/>
        <w:contextualSpacing/>
        <w:rPr>
          <w:rFonts w:eastAsiaTheme="minorHAnsi"/>
        </w:rPr>
      </w:pPr>
      <w:r w:rsidRPr="005F76F5">
        <w:rPr>
          <w:rFonts w:eastAsiaTheme="minorHAnsi"/>
        </w:rPr>
        <w:t>Current program reference number:</w:t>
      </w:r>
      <w:r w:rsidRPr="005F76F5">
        <w:rPr>
          <w:rFonts w:eastAsiaTheme="minorHAnsi"/>
        </w:rPr>
        <w:tab/>
        <w:t>507P (seeking admission)</w:t>
      </w:r>
    </w:p>
    <w:p w:rsidR="00ED3AC8" w:rsidRPr="005F76F5" w:rsidRDefault="00ED3AC8" w:rsidP="00ED3AC8">
      <w:pPr>
        <w:spacing w:line="276" w:lineRule="auto"/>
        <w:ind w:left="5040"/>
        <w:contextualSpacing/>
        <w:rPr>
          <w:rFonts w:eastAsiaTheme="minorHAnsi"/>
        </w:rPr>
      </w:pPr>
      <w:r w:rsidRPr="005F76F5">
        <w:rPr>
          <w:rFonts w:eastAsiaTheme="minorHAnsi"/>
        </w:rPr>
        <w:t>507   (officially admitted)</w:t>
      </w:r>
    </w:p>
    <w:p w:rsidR="00ED3AC8" w:rsidRPr="005F76F5" w:rsidRDefault="00ED3AC8" w:rsidP="00ED3AC8">
      <w:pPr>
        <w:numPr>
          <w:ilvl w:val="1"/>
          <w:numId w:val="1"/>
        </w:numPr>
        <w:spacing w:line="276" w:lineRule="auto"/>
        <w:ind w:left="1440"/>
        <w:contextualSpacing/>
        <w:rPr>
          <w:rFonts w:eastAsiaTheme="minorHAnsi"/>
        </w:rPr>
      </w:pPr>
      <w:r w:rsidRPr="005F76F5">
        <w:rPr>
          <w:rFonts w:eastAsiaTheme="minorHAnsi"/>
        </w:rPr>
        <w:t>Current program title:</w:t>
      </w:r>
      <w:r w:rsidRPr="005F76F5">
        <w:rPr>
          <w:rFonts w:eastAsiaTheme="minorHAnsi"/>
        </w:rPr>
        <w:tab/>
        <w:t xml:space="preserve">Major in Business </w:t>
      </w:r>
      <w:r w:rsidR="00FE13A8">
        <w:rPr>
          <w:rFonts w:eastAsiaTheme="minorHAnsi"/>
        </w:rPr>
        <w:t>Data Analytics</w:t>
      </w:r>
      <w:r w:rsidRPr="005F76F5">
        <w:rPr>
          <w:rFonts w:eastAsiaTheme="minorHAnsi"/>
        </w:rPr>
        <w:t xml:space="preserve"> </w:t>
      </w:r>
    </w:p>
    <w:p w:rsidR="00ED3AC8" w:rsidRPr="005F76F5" w:rsidRDefault="00ED3AC8" w:rsidP="00ED3AC8">
      <w:pPr>
        <w:numPr>
          <w:ilvl w:val="1"/>
          <w:numId w:val="1"/>
        </w:numPr>
        <w:spacing w:line="276" w:lineRule="auto"/>
        <w:ind w:left="1440"/>
        <w:contextualSpacing/>
        <w:rPr>
          <w:rFonts w:eastAsiaTheme="minorHAnsi"/>
        </w:rPr>
      </w:pPr>
      <w:r w:rsidRPr="005F76F5">
        <w:rPr>
          <w:rFonts w:eastAsiaTheme="minorHAnsi"/>
        </w:rPr>
        <w:t>Credit hours:</w:t>
      </w:r>
      <w:r w:rsidRPr="005F76F5">
        <w:rPr>
          <w:rFonts w:eastAsiaTheme="minorHAnsi"/>
        </w:rPr>
        <w:tab/>
        <w:t>72</w:t>
      </w:r>
    </w:p>
    <w:p w:rsidR="00ED3AC8" w:rsidRPr="005F76F5" w:rsidRDefault="00ED3AC8" w:rsidP="00ED3AC8">
      <w:pPr>
        <w:spacing w:line="280" w:lineRule="exact"/>
        <w:rPr>
          <w:sz w:val="22"/>
          <w:szCs w:val="22"/>
        </w:rPr>
      </w:pPr>
    </w:p>
    <w:p w:rsidR="00ED3AC8" w:rsidRPr="005F76F5" w:rsidRDefault="00ED3AC8" w:rsidP="00ED3AC8">
      <w:pPr>
        <w:spacing w:line="280" w:lineRule="exact"/>
        <w:rPr>
          <w:b/>
          <w:sz w:val="22"/>
          <w:szCs w:val="22"/>
        </w:rPr>
      </w:pPr>
      <w:r w:rsidRPr="005F76F5">
        <w:rPr>
          <w:b/>
          <w:sz w:val="22"/>
          <w:szCs w:val="22"/>
        </w:rPr>
        <w:t>2.</w:t>
      </w:r>
      <w:r w:rsidRPr="005F76F5">
        <w:rPr>
          <w:b/>
          <w:sz w:val="22"/>
          <w:szCs w:val="22"/>
        </w:rPr>
        <w:tab/>
        <w:t>Identification of the proposed program changes:</w:t>
      </w:r>
    </w:p>
    <w:p w:rsidR="00AE56AE" w:rsidRPr="006E4F81" w:rsidRDefault="00AE56AE" w:rsidP="00AE56AE">
      <w:pPr>
        <w:spacing w:line="276" w:lineRule="auto"/>
        <w:ind w:left="720"/>
      </w:pPr>
      <w:r w:rsidRPr="006E4F81">
        <w:t>Change the math admission requirement for the program to reflect the new Math 123, Mathematical Applications in Business.  Further, we want students who have credit for calculus or have Math ACT 26+ or Math SAT 610+ to be able to use those for admission to the program.</w:t>
      </w:r>
    </w:p>
    <w:p w:rsidR="00ED3AC8" w:rsidRPr="005F76F5" w:rsidRDefault="00ED3AC8" w:rsidP="00ED3AC8">
      <w:pPr>
        <w:spacing w:line="280" w:lineRule="exact"/>
        <w:rPr>
          <w:b/>
          <w:sz w:val="22"/>
          <w:szCs w:val="22"/>
        </w:rPr>
      </w:pPr>
    </w:p>
    <w:p w:rsidR="00ED3AC8" w:rsidRPr="005F76F5" w:rsidRDefault="00ED3AC8" w:rsidP="00ED3AC8">
      <w:pPr>
        <w:spacing w:line="280" w:lineRule="exact"/>
        <w:rPr>
          <w:b/>
          <w:sz w:val="22"/>
          <w:szCs w:val="22"/>
        </w:rPr>
      </w:pPr>
      <w:r w:rsidRPr="005F76F5">
        <w:rPr>
          <w:b/>
          <w:sz w:val="22"/>
          <w:szCs w:val="22"/>
        </w:rPr>
        <w:t>3.</w:t>
      </w:r>
      <w:r w:rsidRPr="005F76F5">
        <w:rPr>
          <w:b/>
          <w:sz w:val="22"/>
          <w:szCs w:val="22"/>
        </w:rPr>
        <w:tab/>
        <w:t>Detailed program description:</w:t>
      </w:r>
    </w:p>
    <w:p w:rsidR="00ED3AC8" w:rsidRPr="005F76F5" w:rsidRDefault="00ED3AC8" w:rsidP="00ED3AC8">
      <w:pPr>
        <w:spacing w:line="280" w:lineRule="exact"/>
        <w:rPr>
          <w:b/>
          <w:sz w:val="22"/>
          <w:szCs w:val="22"/>
        </w:rPr>
      </w:pPr>
      <w:r w:rsidRPr="005F76F5">
        <w:rPr>
          <w:b/>
          <w:sz w:val="22"/>
          <w:szCs w:val="22"/>
        </w:rPr>
        <w:tab/>
      </w:r>
    </w:p>
    <w:tbl>
      <w:tblPr>
        <w:tblStyle w:val="TableGrid"/>
        <w:tblW w:w="0" w:type="auto"/>
        <w:tblInd w:w="720" w:type="dxa"/>
        <w:tblLook w:val="04A0" w:firstRow="1" w:lastRow="0" w:firstColumn="1" w:lastColumn="0" w:noHBand="0" w:noVBand="1"/>
      </w:tblPr>
      <w:tblGrid>
        <w:gridCol w:w="4315"/>
        <w:gridCol w:w="4315"/>
      </w:tblGrid>
      <w:tr w:rsidR="00ED3AC8" w:rsidRPr="00AE56AE" w:rsidTr="003334DA">
        <w:tc>
          <w:tcPr>
            <w:tcW w:w="0" w:type="auto"/>
          </w:tcPr>
          <w:p w:rsidR="00ED3AC8" w:rsidRPr="00AE56AE" w:rsidRDefault="00ED3AC8" w:rsidP="003334DA">
            <w:pPr>
              <w:spacing w:after="200" w:line="276" w:lineRule="auto"/>
              <w:contextualSpacing/>
              <w:jc w:val="center"/>
              <w:rPr>
                <w:rFonts w:eastAsiaTheme="minorHAnsi"/>
                <w:b/>
              </w:rPr>
            </w:pPr>
            <w:r w:rsidRPr="00AE56AE">
              <w:rPr>
                <w:rFonts w:eastAsiaTheme="minorHAnsi"/>
                <w:b/>
              </w:rPr>
              <w:t>Current Program</w:t>
            </w:r>
          </w:p>
        </w:tc>
        <w:tc>
          <w:tcPr>
            <w:tcW w:w="0" w:type="auto"/>
          </w:tcPr>
          <w:p w:rsidR="00ED3AC8" w:rsidRPr="00AE56AE" w:rsidRDefault="00ED3AC8" w:rsidP="003334DA">
            <w:pPr>
              <w:spacing w:after="200" w:line="276" w:lineRule="auto"/>
              <w:contextualSpacing/>
              <w:jc w:val="center"/>
              <w:rPr>
                <w:rFonts w:eastAsiaTheme="minorHAnsi"/>
                <w:b/>
              </w:rPr>
            </w:pPr>
            <w:r w:rsidRPr="00AE56AE">
              <w:rPr>
                <w:rFonts w:eastAsiaTheme="minorHAnsi"/>
                <w:b/>
              </w:rPr>
              <w:t>Proposed Program</w:t>
            </w:r>
          </w:p>
        </w:tc>
      </w:tr>
      <w:tr w:rsidR="00ED3AC8" w:rsidRPr="00AE56AE" w:rsidTr="003334DA">
        <w:tc>
          <w:tcPr>
            <w:tcW w:w="0" w:type="auto"/>
          </w:tcPr>
          <w:p w:rsidR="00ED3AC8" w:rsidRPr="00AE56AE" w:rsidRDefault="00ED3AC8" w:rsidP="003334DA">
            <w:pPr>
              <w:autoSpaceDE w:val="0"/>
              <w:autoSpaceDN w:val="0"/>
              <w:adjustRightInd w:val="0"/>
              <w:rPr>
                <w:rFonts w:eastAsiaTheme="minorHAnsi"/>
              </w:rPr>
            </w:pPr>
            <w:r w:rsidRPr="00AE56AE">
              <w:rPr>
                <w:rFonts w:eastAsiaTheme="minorHAnsi"/>
                <w:b/>
                <w:color w:val="000000"/>
              </w:rPr>
              <w:t>Catalog  Description – Current</w:t>
            </w:r>
          </w:p>
        </w:tc>
        <w:tc>
          <w:tcPr>
            <w:tcW w:w="0" w:type="auto"/>
          </w:tcPr>
          <w:p w:rsidR="00ED3AC8" w:rsidRPr="00AE56AE" w:rsidRDefault="00ED3AC8" w:rsidP="003334DA">
            <w:pPr>
              <w:autoSpaceDE w:val="0"/>
              <w:autoSpaceDN w:val="0"/>
              <w:adjustRightInd w:val="0"/>
              <w:rPr>
                <w:rFonts w:eastAsiaTheme="minorHAnsi"/>
              </w:rPr>
            </w:pPr>
            <w:r w:rsidRPr="00AE56AE">
              <w:rPr>
                <w:rFonts w:eastAsiaTheme="minorHAnsi"/>
                <w:b/>
                <w:color w:val="000000"/>
              </w:rPr>
              <w:t>Catalog Description - New</w:t>
            </w:r>
          </w:p>
        </w:tc>
      </w:tr>
      <w:tr w:rsidR="00ED3AC8" w:rsidRPr="00AE56AE" w:rsidTr="003334DA">
        <w:tc>
          <w:tcPr>
            <w:tcW w:w="0" w:type="auto"/>
          </w:tcPr>
          <w:p w:rsidR="00AE56AE" w:rsidRPr="00AE56AE" w:rsidRDefault="00AE56AE" w:rsidP="00AE56AE">
            <w:pPr>
              <w:autoSpaceDE w:val="0"/>
              <w:autoSpaceDN w:val="0"/>
              <w:adjustRightInd w:val="0"/>
              <w:rPr>
                <w:rFonts w:eastAsiaTheme="minorHAnsi"/>
                <w:color w:val="000000"/>
              </w:rPr>
            </w:pPr>
            <w:r w:rsidRPr="00AE56AE">
              <w:rPr>
                <w:rFonts w:eastAsiaTheme="minorHAnsi"/>
                <w:color w:val="000000"/>
              </w:rPr>
              <w:t xml:space="preserve">The business data analytics major requires 72 semester hours and is designed to prepare students for professional careers using a data analytics focused approach to control, support, and enhance business operations and functions. Global business is increasingly relying on the acquisition, deployment, and management of information systems and services for use in organizational </w:t>
            </w:r>
            <w:proofErr w:type="gramStart"/>
            <w:r w:rsidRPr="00AE56AE">
              <w:rPr>
                <w:rFonts w:eastAsiaTheme="minorHAnsi"/>
                <w:color w:val="000000"/>
              </w:rPr>
              <w:t>processes which</w:t>
            </w:r>
            <w:proofErr w:type="gramEnd"/>
            <w:r w:rsidRPr="00AE56AE">
              <w:rPr>
                <w:rFonts w:eastAsiaTheme="minorHAnsi"/>
                <w:color w:val="000000"/>
              </w:rPr>
              <w:t xml:space="preserve"> is resulting in an increasing need for information workers. The business data analytics major will provide students with a solid business foundation combined with relevant study of modern technology trends and the impact information systems are having throughout business and society. As demand for computer and information processing services continues to increase, so does the need for hybrid </w:t>
            </w:r>
            <w:r w:rsidRPr="00AE56AE">
              <w:rPr>
                <w:rFonts w:eastAsiaTheme="minorHAnsi"/>
                <w:color w:val="000000"/>
              </w:rPr>
              <w:lastRenderedPageBreak/>
              <w:t xml:space="preserve">business technology roles. This major will help strengthen the knowledge economy in Kentucky and increase the availability of information workers critical to attracting and retaining corporate interests in the state. </w:t>
            </w:r>
          </w:p>
          <w:p w:rsidR="00AE56AE" w:rsidRPr="00AE56AE" w:rsidRDefault="00AE56AE" w:rsidP="00AE56AE">
            <w:pPr>
              <w:autoSpaceDE w:val="0"/>
              <w:autoSpaceDN w:val="0"/>
              <w:adjustRightInd w:val="0"/>
              <w:rPr>
                <w:rFonts w:eastAsiaTheme="minorHAnsi"/>
                <w:color w:val="000000"/>
              </w:rPr>
            </w:pPr>
          </w:p>
          <w:p w:rsidR="00AE56AE" w:rsidRPr="00AE56AE" w:rsidRDefault="00AE56AE" w:rsidP="00AE56AE">
            <w:pPr>
              <w:autoSpaceDE w:val="0"/>
              <w:autoSpaceDN w:val="0"/>
              <w:adjustRightInd w:val="0"/>
              <w:rPr>
                <w:rFonts w:eastAsiaTheme="minorHAnsi"/>
                <w:color w:val="000000"/>
              </w:rPr>
            </w:pPr>
            <w:r w:rsidRPr="00AE56AE">
              <w:rPr>
                <w:rFonts w:eastAsiaTheme="minorHAnsi"/>
                <w:color w:val="000000"/>
              </w:rPr>
              <w:t xml:space="preserve">All students must take the following 45 hours of business core courses: </w:t>
            </w:r>
            <w:r w:rsidRPr="00AE56AE">
              <w:rPr>
                <w:rFonts w:eastAsiaTheme="minorHAnsi"/>
                <w:strike/>
                <w:color w:val="000000"/>
              </w:rPr>
              <w:t>MATH 116</w:t>
            </w:r>
            <w:r w:rsidRPr="00AE56AE">
              <w:rPr>
                <w:rFonts w:eastAsiaTheme="minorHAnsi"/>
                <w:color w:val="000000"/>
              </w:rPr>
              <w:t xml:space="preserve">; ACCT 200, 201; CIS 141; ECON 202, 203, 206; CIS 243; FIN 330; MKT 220; MGT 200, 210, 314, 498 or ENT 496; ECON 306 or MGT 313. </w:t>
            </w:r>
          </w:p>
          <w:p w:rsidR="00AE56AE" w:rsidRPr="00AE56AE" w:rsidRDefault="00AE56AE" w:rsidP="00AE56AE">
            <w:pPr>
              <w:autoSpaceDE w:val="0"/>
              <w:autoSpaceDN w:val="0"/>
              <w:adjustRightInd w:val="0"/>
              <w:rPr>
                <w:rFonts w:eastAsiaTheme="minorHAnsi"/>
                <w:color w:val="000000"/>
              </w:rPr>
            </w:pPr>
          </w:p>
          <w:p w:rsidR="00AE56AE" w:rsidRPr="00AE56AE" w:rsidRDefault="00AE56AE" w:rsidP="00AE56AE">
            <w:pPr>
              <w:autoSpaceDE w:val="0"/>
              <w:autoSpaceDN w:val="0"/>
              <w:adjustRightInd w:val="0"/>
              <w:rPr>
                <w:rFonts w:eastAsiaTheme="minorHAnsi"/>
              </w:rPr>
            </w:pPr>
            <w:r w:rsidRPr="00AE56AE">
              <w:rPr>
                <w:rFonts w:eastAsiaTheme="minorHAnsi"/>
              </w:rPr>
              <w:t xml:space="preserve">To gain admission to the Business Data Analytics Program, students must have: </w:t>
            </w:r>
          </w:p>
          <w:p w:rsidR="00AE56AE" w:rsidRPr="00AE56AE" w:rsidRDefault="00AE56AE" w:rsidP="00AE56AE">
            <w:pPr>
              <w:autoSpaceDE w:val="0"/>
              <w:autoSpaceDN w:val="0"/>
              <w:adjustRightInd w:val="0"/>
              <w:spacing w:after="7"/>
              <w:rPr>
                <w:rFonts w:eastAsiaTheme="minorHAnsi"/>
              </w:rPr>
            </w:pPr>
            <w:r w:rsidRPr="00AE56AE">
              <w:rPr>
                <w:rFonts w:eastAsiaTheme="minorHAnsi"/>
              </w:rPr>
              <w:t xml:space="preserve">1. earned a minimum of 60 hours; </w:t>
            </w:r>
          </w:p>
          <w:p w:rsidR="00AE56AE" w:rsidRPr="00AE56AE" w:rsidRDefault="00AE56AE" w:rsidP="00AE56AE">
            <w:pPr>
              <w:autoSpaceDE w:val="0"/>
              <w:autoSpaceDN w:val="0"/>
              <w:adjustRightInd w:val="0"/>
              <w:spacing w:after="7"/>
              <w:rPr>
                <w:rFonts w:eastAsiaTheme="minorHAnsi"/>
              </w:rPr>
            </w:pPr>
            <w:r w:rsidRPr="00AE56AE">
              <w:rPr>
                <w:rFonts w:eastAsiaTheme="minorHAnsi"/>
              </w:rPr>
              <w:t xml:space="preserve">2. completed ACCT 200 and 201, CIS 141, ECON 202, 203, and 206, </w:t>
            </w:r>
            <w:r w:rsidRPr="00AE56AE">
              <w:rPr>
                <w:rFonts w:eastAsiaTheme="minorHAnsi"/>
                <w:strike/>
              </w:rPr>
              <w:t>MATH 116 or higher</w:t>
            </w:r>
            <w:r w:rsidRPr="00AE56AE">
              <w:rPr>
                <w:rFonts w:eastAsiaTheme="minorHAnsi"/>
              </w:rPr>
              <w:t>, and COMM 145;</w:t>
            </w:r>
          </w:p>
          <w:p w:rsidR="00AE56AE" w:rsidRPr="00AE56AE" w:rsidRDefault="00AE56AE" w:rsidP="00AE56AE">
            <w:pPr>
              <w:autoSpaceDE w:val="0"/>
              <w:autoSpaceDN w:val="0"/>
              <w:adjustRightInd w:val="0"/>
              <w:spacing w:after="7"/>
              <w:rPr>
                <w:rFonts w:eastAsiaTheme="minorHAnsi"/>
              </w:rPr>
            </w:pPr>
            <w:r w:rsidRPr="00AE56AE">
              <w:rPr>
                <w:rFonts w:eastAsiaTheme="minorHAnsi"/>
              </w:rPr>
              <w:t xml:space="preserve">3. earned an overall WKU GPA of 2.5 or above; </w:t>
            </w:r>
          </w:p>
          <w:p w:rsidR="00AE56AE" w:rsidRPr="00AE56AE" w:rsidRDefault="00AE56AE" w:rsidP="00AE56AE">
            <w:pPr>
              <w:autoSpaceDE w:val="0"/>
              <w:autoSpaceDN w:val="0"/>
              <w:adjustRightInd w:val="0"/>
              <w:spacing w:after="7"/>
              <w:rPr>
                <w:rFonts w:eastAsiaTheme="minorHAnsi"/>
              </w:rPr>
            </w:pPr>
            <w:r w:rsidRPr="00AE56AE">
              <w:rPr>
                <w:rFonts w:eastAsiaTheme="minorHAnsi"/>
              </w:rPr>
              <w:t xml:space="preserve">4. achieved a GPA of 2.5 or above in the following six classes:  ACCT 201, CIS 141, ECON 203,  ECON 206, </w:t>
            </w:r>
            <w:r w:rsidRPr="00AE56AE">
              <w:rPr>
                <w:rFonts w:eastAsiaTheme="minorHAnsi"/>
                <w:strike/>
              </w:rPr>
              <w:t>MATH 116</w:t>
            </w:r>
            <w:r w:rsidRPr="00AE56AE">
              <w:rPr>
                <w:rFonts w:eastAsiaTheme="minorHAnsi"/>
              </w:rPr>
              <w:t xml:space="preserve"> or higher, and COMM 145.</w:t>
            </w:r>
          </w:p>
          <w:p w:rsidR="00AE56AE" w:rsidRPr="00AE56AE" w:rsidRDefault="00AE56AE" w:rsidP="00AE56AE">
            <w:pPr>
              <w:autoSpaceDE w:val="0"/>
              <w:autoSpaceDN w:val="0"/>
              <w:adjustRightInd w:val="0"/>
              <w:rPr>
                <w:rFonts w:eastAsiaTheme="minorHAnsi"/>
              </w:rPr>
            </w:pPr>
          </w:p>
          <w:p w:rsidR="00AE56AE" w:rsidRPr="00AE56AE" w:rsidRDefault="00AE56AE" w:rsidP="00AE56AE">
            <w:pPr>
              <w:autoSpaceDE w:val="0"/>
              <w:autoSpaceDN w:val="0"/>
              <w:adjustRightInd w:val="0"/>
              <w:rPr>
                <w:rFonts w:eastAsiaTheme="minorHAnsi"/>
                <w:color w:val="000000"/>
              </w:rPr>
            </w:pPr>
            <w:r w:rsidRPr="00AE56AE">
              <w:rPr>
                <w:rFonts w:eastAsiaTheme="minorHAnsi"/>
              </w:rPr>
              <w:t xml:space="preserve">Students with lower than a 2.5 grade point average that includes 12 hours of upper-division business courses will be allowed to take only those upper-division courses in the Gordon Ford College of Business they are repeating. </w:t>
            </w:r>
            <w:r w:rsidRPr="00AE56AE">
              <w:rPr>
                <w:rFonts w:eastAsiaTheme="minorHAnsi"/>
                <w:iCs/>
              </w:rPr>
              <w:t>Repeating a course will not be considered to violate the enrollment policy restricting upper division courses to 12 hours prior to admission.</w:t>
            </w:r>
          </w:p>
          <w:p w:rsidR="00AE56AE" w:rsidRPr="00AE56AE" w:rsidRDefault="00AE56AE" w:rsidP="00AE56AE">
            <w:pPr>
              <w:autoSpaceDE w:val="0"/>
              <w:autoSpaceDN w:val="0"/>
              <w:adjustRightInd w:val="0"/>
              <w:spacing w:after="7"/>
              <w:rPr>
                <w:rFonts w:eastAsiaTheme="minorHAnsi"/>
              </w:rPr>
            </w:pPr>
          </w:p>
          <w:p w:rsidR="00ED3AC8" w:rsidRPr="00AE56AE" w:rsidRDefault="00AE56AE" w:rsidP="00AE56AE">
            <w:pPr>
              <w:autoSpaceDE w:val="0"/>
              <w:autoSpaceDN w:val="0"/>
              <w:adjustRightInd w:val="0"/>
              <w:spacing w:after="7"/>
              <w:rPr>
                <w:rFonts w:eastAsiaTheme="minorHAnsi"/>
                <w:color w:val="000000"/>
              </w:rPr>
            </w:pPr>
            <w:r w:rsidRPr="00AE56AE">
              <w:rPr>
                <w:rFonts w:eastAsiaTheme="minorHAnsi"/>
                <w:color w:val="000000"/>
              </w:rPr>
              <w:t>Students must take the following 27 hours: Business Data Analytics core courses BI 310, 320, 330, 410, 420, 430 and 9 hours of approved business and technology electives.</w:t>
            </w:r>
          </w:p>
        </w:tc>
        <w:tc>
          <w:tcPr>
            <w:tcW w:w="0" w:type="auto"/>
          </w:tcPr>
          <w:p w:rsidR="00ED3AC8" w:rsidRPr="00AE56AE" w:rsidRDefault="00ED3AC8" w:rsidP="003334DA">
            <w:pPr>
              <w:autoSpaceDE w:val="0"/>
              <w:autoSpaceDN w:val="0"/>
              <w:adjustRightInd w:val="0"/>
              <w:rPr>
                <w:rFonts w:eastAsiaTheme="minorHAnsi"/>
                <w:color w:val="000000"/>
              </w:rPr>
            </w:pPr>
            <w:r w:rsidRPr="00AE56AE">
              <w:rPr>
                <w:rFonts w:eastAsiaTheme="minorHAnsi"/>
                <w:color w:val="000000"/>
              </w:rPr>
              <w:lastRenderedPageBreak/>
              <w:t>The business data analytics major requires 72 semester hours and is designed to prepare students for professional careers using a data analytics focused approach to control, support, and enhance business operations and functions. Global business is increasingly relying on the acquisition, deployment, and management of information systems and services for use in organizational processes</w:t>
            </w:r>
            <w:r w:rsidR="00AE56AE" w:rsidRPr="00AE56AE">
              <w:rPr>
                <w:rFonts w:eastAsiaTheme="minorHAnsi"/>
                <w:b/>
                <w:color w:val="000000"/>
              </w:rPr>
              <w:t>,</w:t>
            </w:r>
            <w:r w:rsidRPr="00AE56AE">
              <w:rPr>
                <w:rFonts w:eastAsiaTheme="minorHAnsi"/>
                <w:color w:val="000000"/>
              </w:rPr>
              <w:t xml:space="preserve"> which is resulting in an increasing need for information workers. The business data analytics major will provide students with a solid business foundation combined with relevant study of modern technology trends and the impact information systems are having throughout business and society. As demand for computer and information processing services continues to increase, so does the need for hybrid </w:t>
            </w:r>
            <w:r w:rsidRPr="00AE56AE">
              <w:rPr>
                <w:rFonts w:eastAsiaTheme="minorHAnsi"/>
                <w:color w:val="000000"/>
              </w:rPr>
              <w:lastRenderedPageBreak/>
              <w:t xml:space="preserve">business technology roles. This major will help strengthen the knowledge economy in Kentucky and increase the availability of information workers critical to attracting and retaining corporate interests in the state. </w:t>
            </w:r>
          </w:p>
          <w:p w:rsidR="00ED3AC8" w:rsidRPr="00AE56AE" w:rsidRDefault="00ED3AC8" w:rsidP="003334DA">
            <w:pPr>
              <w:autoSpaceDE w:val="0"/>
              <w:autoSpaceDN w:val="0"/>
              <w:adjustRightInd w:val="0"/>
              <w:rPr>
                <w:rFonts w:eastAsiaTheme="minorHAnsi"/>
                <w:color w:val="000000"/>
              </w:rPr>
            </w:pPr>
          </w:p>
          <w:p w:rsidR="00ED3AC8" w:rsidRPr="00AE56AE" w:rsidRDefault="00ED3AC8" w:rsidP="003334DA">
            <w:pPr>
              <w:autoSpaceDE w:val="0"/>
              <w:autoSpaceDN w:val="0"/>
              <w:adjustRightInd w:val="0"/>
              <w:rPr>
                <w:rFonts w:eastAsiaTheme="minorHAnsi"/>
                <w:color w:val="000000"/>
              </w:rPr>
            </w:pPr>
            <w:r w:rsidRPr="00AE56AE">
              <w:rPr>
                <w:rFonts w:eastAsiaTheme="minorHAnsi"/>
                <w:color w:val="000000"/>
              </w:rPr>
              <w:t>All students must take the following 45 hours of business core courses:</w:t>
            </w:r>
            <w:r w:rsidR="00AE56AE" w:rsidRPr="006864D4">
              <w:rPr>
                <w:b/>
              </w:rPr>
              <w:t xml:space="preserve"> MATH 123</w:t>
            </w:r>
            <w:r w:rsidR="00AE56AE">
              <w:rPr>
                <w:b/>
              </w:rPr>
              <w:t xml:space="preserve"> or</w:t>
            </w:r>
            <w:r w:rsidR="00AE56AE" w:rsidRPr="006864D4">
              <w:rPr>
                <w:b/>
              </w:rPr>
              <w:t xml:space="preserve"> any calculus class</w:t>
            </w:r>
            <w:r w:rsidR="00AE56AE">
              <w:rPr>
                <w:b/>
              </w:rPr>
              <w:t xml:space="preserve"> or a Math ACT of at least 26 or a Math SAT of at least 610</w:t>
            </w:r>
            <w:r w:rsidRPr="00AE56AE">
              <w:rPr>
                <w:rFonts w:eastAsiaTheme="minorHAnsi"/>
                <w:color w:val="000000"/>
              </w:rPr>
              <w:t xml:space="preserve">; ACCT 200, 201; CIS 141; ECON 202, 203, 206; CIS 243; FIN 330; MKT 220; MGT 200, 210, 314, 498 or ENT 496; ECON 306 or MGT 313. </w:t>
            </w:r>
          </w:p>
          <w:p w:rsidR="00ED3AC8" w:rsidRPr="00AE56AE" w:rsidRDefault="00ED3AC8" w:rsidP="003334DA">
            <w:pPr>
              <w:autoSpaceDE w:val="0"/>
              <w:autoSpaceDN w:val="0"/>
              <w:adjustRightInd w:val="0"/>
              <w:rPr>
                <w:rFonts w:eastAsiaTheme="minorHAnsi"/>
                <w:color w:val="000000"/>
              </w:rPr>
            </w:pPr>
          </w:p>
          <w:p w:rsidR="00ED3AC8" w:rsidRPr="00AE56AE" w:rsidRDefault="00ED3AC8" w:rsidP="003334DA">
            <w:pPr>
              <w:autoSpaceDE w:val="0"/>
              <w:autoSpaceDN w:val="0"/>
              <w:adjustRightInd w:val="0"/>
              <w:rPr>
                <w:rFonts w:eastAsiaTheme="minorHAnsi"/>
              </w:rPr>
            </w:pPr>
            <w:r w:rsidRPr="00AE56AE">
              <w:rPr>
                <w:rFonts w:eastAsiaTheme="minorHAnsi"/>
              </w:rPr>
              <w:t xml:space="preserve">To gain admission to the Business Data Analytics Program, students must have: </w:t>
            </w:r>
          </w:p>
          <w:p w:rsidR="00ED3AC8" w:rsidRPr="00AE56AE" w:rsidRDefault="00ED3AC8" w:rsidP="003334DA">
            <w:pPr>
              <w:autoSpaceDE w:val="0"/>
              <w:autoSpaceDN w:val="0"/>
              <w:adjustRightInd w:val="0"/>
              <w:spacing w:after="7"/>
              <w:rPr>
                <w:rFonts w:eastAsiaTheme="minorHAnsi"/>
              </w:rPr>
            </w:pPr>
            <w:r w:rsidRPr="00AE56AE">
              <w:rPr>
                <w:rFonts w:eastAsiaTheme="minorHAnsi"/>
              </w:rPr>
              <w:t xml:space="preserve">1. earned a minimum of 60 hours; </w:t>
            </w:r>
          </w:p>
          <w:p w:rsidR="00ED3AC8" w:rsidRPr="00AE56AE" w:rsidRDefault="00ED3AC8" w:rsidP="003334DA">
            <w:pPr>
              <w:autoSpaceDE w:val="0"/>
              <w:autoSpaceDN w:val="0"/>
              <w:adjustRightInd w:val="0"/>
              <w:spacing w:after="7"/>
              <w:rPr>
                <w:rFonts w:eastAsiaTheme="minorHAnsi"/>
              </w:rPr>
            </w:pPr>
            <w:r w:rsidRPr="00AE56AE">
              <w:rPr>
                <w:rFonts w:eastAsiaTheme="minorHAnsi"/>
              </w:rPr>
              <w:t xml:space="preserve">2. completed ACCT 200 and 201, CIS 141, ECON 202, 203, and 206, </w:t>
            </w:r>
            <w:r w:rsidR="00AE56AE" w:rsidRPr="006864D4">
              <w:rPr>
                <w:b/>
              </w:rPr>
              <w:t>MATH 123</w:t>
            </w:r>
            <w:r w:rsidR="00AE56AE">
              <w:rPr>
                <w:b/>
              </w:rPr>
              <w:t xml:space="preserve"> or</w:t>
            </w:r>
            <w:r w:rsidR="00AE56AE" w:rsidRPr="006864D4">
              <w:rPr>
                <w:b/>
              </w:rPr>
              <w:t xml:space="preserve"> any calculus class</w:t>
            </w:r>
            <w:r w:rsidR="00AE56AE">
              <w:rPr>
                <w:b/>
              </w:rPr>
              <w:t xml:space="preserve"> or a Math ACT of at least 26 or a Math SAT of at least 610</w:t>
            </w:r>
            <w:r w:rsidRPr="00AE56AE">
              <w:rPr>
                <w:rFonts w:eastAsiaTheme="minorHAnsi"/>
              </w:rPr>
              <w:t>, and COMM 145;</w:t>
            </w:r>
          </w:p>
          <w:p w:rsidR="00ED3AC8" w:rsidRPr="00AE56AE" w:rsidRDefault="00ED3AC8" w:rsidP="003334DA">
            <w:pPr>
              <w:autoSpaceDE w:val="0"/>
              <w:autoSpaceDN w:val="0"/>
              <w:adjustRightInd w:val="0"/>
              <w:spacing w:after="7"/>
              <w:rPr>
                <w:rFonts w:eastAsiaTheme="minorHAnsi"/>
              </w:rPr>
            </w:pPr>
            <w:r w:rsidRPr="00AE56AE">
              <w:rPr>
                <w:rFonts w:eastAsiaTheme="minorHAnsi"/>
              </w:rPr>
              <w:t xml:space="preserve">3. earned an overall WKU GPA of 2.5 or above; </w:t>
            </w:r>
          </w:p>
          <w:p w:rsidR="00ED3AC8" w:rsidRPr="00AE56AE" w:rsidRDefault="00ED3AC8" w:rsidP="003334DA">
            <w:pPr>
              <w:autoSpaceDE w:val="0"/>
              <w:autoSpaceDN w:val="0"/>
              <w:adjustRightInd w:val="0"/>
              <w:spacing w:after="7"/>
              <w:rPr>
                <w:rFonts w:eastAsiaTheme="minorHAnsi"/>
              </w:rPr>
            </w:pPr>
            <w:r w:rsidRPr="00AE56AE">
              <w:rPr>
                <w:rFonts w:eastAsiaTheme="minorHAnsi"/>
              </w:rPr>
              <w:t xml:space="preserve">4. achieved a GPA of 2.5 or above in the following six classes:  ACCT 201, CIS 141, ECON 203,  ECON 206, </w:t>
            </w:r>
            <w:r w:rsidR="00AE56AE" w:rsidRPr="006864D4">
              <w:rPr>
                <w:b/>
              </w:rPr>
              <w:t>MATH 123</w:t>
            </w:r>
            <w:r w:rsidR="00AE56AE">
              <w:rPr>
                <w:b/>
              </w:rPr>
              <w:t xml:space="preserve"> or</w:t>
            </w:r>
            <w:r w:rsidR="00AE56AE" w:rsidRPr="006864D4">
              <w:rPr>
                <w:b/>
              </w:rPr>
              <w:t xml:space="preserve"> any calculus class</w:t>
            </w:r>
            <w:r w:rsidR="00AE56AE">
              <w:rPr>
                <w:b/>
              </w:rPr>
              <w:t xml:space="preserve"> or a Math ACT of at least 26 or a Math SAT of at least 610</w:t>
            </w:r>
            <w:r w:rsidRPr="00AE56AE">
              <w:rPr>
                <w:rFonts w:eastAsiaTheme="minorHAnsi"/>
              </w:rPr>
              <w:t>, and COMM 145.</w:t>
            </w:r>
          </w:p>
          <w:p w:rsidR="00ED3AC8" w:rsidRPr="00AE56AE" w:rsidRDefault="00ED3AC8" w:rsidP="003334DA">
            <w:pPr>
              <w:autoSpaceDE w:val="0"/>
              <w:autoSpaceDN w:val="0"/>
              <w:adjustRightInd w:val="0"/>
              <w:rPr>
                <w:rFonts w:eastAsiaTheme="minorHAnsi"/>
              </w:rPr>
            </w:pPr>
          </w:p>
          <w:p w:rsidR="00ED3AC8" w:rsidRPr="00AE56AE" w:rsidRDefault="00ED3AC8" w:rsidP="003334DA">
            <w:pPr>
              <w:autoSpaceDE w:val="0"/>
              <w:autoSpaceDN w:val="0"/>
              <w:adjustRightInd w:val="0"/>
              <w:rPr>
                <w:rFonts w:eastAsiaTheme="minorHAnsi"/>
                <w:color w:val="000000"/>
              </w:rPr>
            </w:pPr>
            <w:r w:rsidRPr="00AE56AE">
              <w:rPr>
                <w:rFonts w:eastAsiaTheme="minorHAnsi"/>
              </w:rPr>
              <w:t xml:space="preserve">Students with lower than a 2.5 grade point average that includes 12 hours of upper-division business courses will be allowed to take only those upper-division courses in the Gordon Ford College of Business they are repeating. </w:t>
            </w:r>
            <w:r w:rsidRPr="00AE56AE">
              <w:rPr>
                <w:rFonts w:eastAsiaTheme="minorHAnsi"/>
                <w:iCs/>
              </w:rPr>
              <w:t>Repeating a course will not be considered to violate the enrollment policy restricting upper division courses to 12 hours prior to admission.</w:t>
            </w:r>
          </w:p>
          <w:p w:rsidR="00ED3AC8" w:rsidRPr="00AE56AE" w:rsidRDefault="00ED3AC8" w:rsidP="003334DA">
            <w:pPr>
              <w:autoSpaceDE w:val="0"/>
              <w:autoSpaceDN w:val="0"/>
              <w:adjustRightInd w:val="0"/>
              <w:spacing w:after="7"/>
              <w:rPr>
                <w:rFonts w:eastAsiaTheme="minorHAnsi"/>
              </w:rPr>
            </w:pPr>
          </w:p>
          <w:p w:rsidR="00ED3AC8" w:rsidRPr="00AE56AE" w:rsidRDefault="00ED3AC8" w:rsidP="003334DA">
            <w:pPr>
              <w:autoSpaceDE w:val="0"/>
              <w:autoSpaceDN w:val="0"/>
              <w:adjustRightInd w:val="0"/>
              <w:spacing w:after="7"/>
              <w:rPr>
                <w:rFonts w:eastAsiaTheme="minorHAnsi"/>
              </w:rPr>
            </w:pPr>
            <w:r w:rsidRPr="00AE56AE">
              <w:rPr>
                <w:rFonts w:eastAsiaTheme="minorHAnsi"/>
                <w:color w:val="000000"/>
              </w:rPr>
              <w:t xml:space="preserve">Students must take the following 27 hours: Business Data Analytics core </w:t>
            </w:r>
            <w:r w:rsidRPr="00AE56AE">
              <w:rPr>
                <w:rFonts w:eastAsiaTheme="minorHAnsi"/>
                <w:color w:val="000000"/>
              </w:rPr>
              <w:lastRenderedPageBreak/>
              <w:t>courses BI 310, 320, 330, 410, 420, 430 and 9 hours of approved business and technology electives.</w:t>
            </w:r>
          </w:p>
          <w:p w:rsidR="00ED3AC8" w:rsidRPr="00AE56AE" w:rsidRDefault="00ED3AC8" w:rsidP="003334DA">
            <w:pPr>
              <w:autoSpaceDE w:val="0"/>
              <w:autoSpaceDN w:val="0"/>
              <w:adjustRightInd w:val="0"/>
              <w:rPr>
                <w:rFonts w:eastAsiaTheme="minorHAnsi"/>
                <w:color w:val="000000"/>
              </w:rPr>
            </w:pPr>
          </w:p>
        </w:tc>
      </w:tr>
    </w:tbl>
    <w:p w:rsidR="00ED3AC8" w:rsidRPr="005F76F5" w:rsidRDefault="00ED3AC8" w:rsidP="00ED3AC8">
      <w:pPr>
        <w:spacing w:line="280" w:lineRule="exact"/>
        <w:rPr>
          <w:b/>
          <w:sz w:val="22"/>
          <w:szCs w:val="22"/>
        </w:rPr>
      </w:pPr>
    </w:p>
    <w:p w:rsidR="00ED3AC8" w:rsidRPr="005F76F5" w:rsidRDefault="00ED3AC8" w:rsidP="00ED3AC8">
      <w:pPr>
        <w:spacing w:line="280" w:lineRule="exact"/>
        <w:rPr>
          <w:b/>
          <w:sz w:val="22"/>
          <w:szCs w:val="22"/>
        </w:rPr>
      </w:pPr>
      <w:r w:rsidRPr="005F76F5">
        <w:rPr>
          <w:b/>
          <w:sz w:val="22"/>
          <w:szCs w:val="22"/>
        </w:rPr>
        <w:tab/>
      </w:r>
    </w:p>
    <w:p w:rsidR="00ED3AC8" w:rsidRDefault="00ED3AC8" w:rsidP="00ED3AC8">
      <w:pPr>
        <w:spacing w:line="280" w:lineRule="exact"/>
        <w:ind w:left="720" w:hanging="720"/>
        <w:rPr>
          <w:b/>
          <w:sz w:val="22"/>
          <w:szCs w:val="22"/>
        </w:rPr>
      </w:pPr>
      <w:r w:rsidRPr="005F76F5">
        <w:rPr>
          <w:b/>
          <w:sz w:val="22"/>
          <w:szCs w:val="22"/>
        </w:rPr>
        <w:t>4.</w:t>
      </w:r>
      <w:r w:rsidRPr="005F76F5">
        <w:rPr>
          <w:b/>
          <w:sz w:val="22"/>
          <w:szCs w:val="22"/>
        </w:rPr>
        <w:tab/>
        <w:t xml:space="preserve">Rationale for the proposed program change: </w:t>
      </w:r>
    </w:p>
    <w:p w:rsidR="00ED3AC8" w:rsidRPr="005F76F5" w:rsidRDefault="00AE56AE" w:rsidP="00AE56AE">
      <w:pPr>
        <w:pBdr>
          <w:bottom w:val="single" w:sz="12" w:space="1" w:color="auto"/>
        </w:pBdr>
        <w:ind w:left="720"/>
        <w:rPr>
          <w:sz w:val="22"/>
          <w:szCs w:val="22"/>
        </w:rPr>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w:t>
      </w:r>
    </w:p>
    <w:p w:rsidR="00ED3AC8" w:rsidRPr="005F76F5" w:rsidRDefault="00ED3AC8" w:rsidP="00ED3AC8">
      <w:pPr>
        <w:spacing w:line="280" w:lineRule="exact"/>
        <w:rPr>
          <w:b/>
          <w:sz w:val="22"/>
          <w:szCs w:val="22"/>
        </w:rPr>
      </w:pPr>
    </w:p>
    <w:p w:rsidR="00ED3AC8" w:rsidRPr="005F76F5" w:rsidRDefault="00ED3AC8" w:rsidP="00ED3AC8">
      <w:pPr>
        <w:spacing w:line="280" w:lineRule="exact"/>
        <w:rPr>
          <w:b/>
          <w:sz w:val="22"/>
          <w:szCs w:val="22"/>
        </w:rPr>
      </w:pPr>
      <w:r w:rsidRPr="005F76F5">
        <w:rPr>
          <w:b/>
          <w:sz w:val="22"/>
          <w:szCs w:val="22"/>
        </w:rPr>
        <w:t>5.</w:t>
      </w:r>
      <w:r w:rsidRPr="005F76F5">
        <w:rPr>
          <w:b/>
          <w:sz w:val="22"/>
          <w:szCs w:val="22"/>
        </w:rPr>
        <w:tab/>
        <w:t>Proposed term for implementation and special provisions (if applicable):</w:t>
      </w:r>
    </w:p>
    <w:p w:rsidR="00ED3AC8" w:rsidRPr="005F76F5" w:rsidRDefault="00ED3AC8" w:rsidP="00ED3AC8">
      <w:pPr>
        <w:spacing w:line="280" w:lineRule="exact"/>
        <w:rPr>
          <w:sz w:val="22"/>
          <w:szCs w:val="22"/>
        </w:rPr>
      </w:pPr>
      <w:r w:rsidRPr="005F76F5">
        <w:rPr>
          <w:b/>
          <w:sz w:val="22"/>
          <w:szCs w:val="22"/>
        </w:rPr>
        <w:tab/>
      </w:r>
      <w:r w:rsidRPr="005F76F5">
        <w:rPr>
          <w:sz w:val="22"/>
          <w:szCs w:val="22"/>
        </w:rPr>
        <w:t>Fall 201</w:t>
      </w:r>
      <w:r w:rsidR="00AE56AE">
        <w:rPr>
          <w:sz w:val="22"/>
          <w:szCs w:val="22"/>
        </w:rPr>
        <w:t>8</w:t>
      </w:r>
    </w:p>
    <w:p w:rsidR="00ED3AC8" w:rsidRPr="005F76F5" w:rsidRDefault="00ED3AC8" w:rsidP="00ED3AC8">
      <w:pPr>
        <w:spacing w:line="280" w:lineRule="exact"/>
        <w:rPr>
          <w:b/>
          <w:sz w:val="22"/>
          <w:szCs w:val="22"/>
        </w:rPr>
      </w:pPr>
      <w:r w:rsidRPr="005F76F5">
        <w:rPr>
          <w:b/>
          <w:sz w:val="22"/>
          <w:szCs w:val="22"/>
        </w:rPr>
        <w:t>6.</w:t>
      </w:r>
      <w:r w:rsidRPr="005F76F5">
        <w:rPr>
          <w:b/>
          <w:sz w:val="22"/>
          <w:szCs w:val="22"/>
        </w:rPr>
        <w:tab/>
        <w:t>Dates of prior committee approvals:</w:t>
      </w:r>
    </w:p>
    <w:p w:rsidR="00ED3AC8" w:rsidRPr="005F76F5" w:rsidRDefault="00ED3AC8" w:rsidP="00ED3AC8">
      <w:pPr>
        <w:rPr>
          <w:b/>
          <w:sz w:val="22"/>
          <w:szCs w:val="22"/>
        </w:rPr>
      </w:pPr>
      <w:r w:rsidRPr="005F76F5">
        <w:rPr>
          <w:b/>
          <w:sz w:val="22"/>
          <w:szCs w:val="22"/>
        </w:rPr>
        <w:tab/>
      </w:r>
    </w:p>
    <w:tbl>
      <w:tblPr>
        <w:tblStyle w:val="TableGrid"/>
        <w:tblW w:w="0" w:type="auto"/>
        <w:tblInd w:w="630" w:type="dxa"/>
        <w:tblCellMar>
          <w:left w:w="0" w:type="dxa"/>
          <w:right w:w="115" w:type="dxa"/>
        </w:tblCellMar>
        <w:tblLook w:val="04A0" w:firstRow="1" w:lastRow="0" w:firstColumn="1" w:lastColumn="0" w:noHBand="0" w:noVBand="1"/>
      </w:tblPr>
      <w:tblGrid>
        <w:gridCol w:w="5385"/>
        <w:gridCol w:w="2740"/>
      </w:tblGrid>
      <w:tr w:rsidR="00ED3AC8" w:rsidRPr="005F76F5" w:rsidTr="003334DA">
        <w:trPr>
          <w:trHeight w:val="432"/>
        </w:trPr>
        <w:tc>
          <w:tcPr>
            <w:tcW w:w="5385" w:type="dxa"/>
            <w:tcBorders>
              <w:top w:val="nil"/>
              <w:left w:val="nil"/>
              <w:bottom w:val="nil"/>
              <w:right w:val="nil"/>
            </w:tcBorders>
            <w:vAlign w:val="bottom"/>
          </w:tcPr>
          <w:p w:rsidR="00ED3AC8" w:rsidRPr="005F76F5" w:rsidRDefault="00AE56AE" w:rsidP="003334DA">
            <w:pPr>
              <w:rPr>
                <w:sz w:val="22"/>
                <w:szCs w:val="22"/>
              </w:rPr>
            </w:pPr>
            <w:r>
              <w:rPr>
                <w:sz w:val="22"/>
                <w:szCs w:val="22"/>
              </w:rPr>
              <w:t>Department of</w:t>
            </w:r>
            <w:r w:rsidR="00ED3AC8" w:rsidRPr="005F76F5">
              <w:rPr>
                <w:sz w:val="22"/>
                <w:szCs w:val="22"/>
              </w:rPr>
              <w:t xml:space="preserve">  </w:t>
            </w:r>
            <w:r w:rsidR="00ED3AC8" w:rsidRPr="005F76F5">
              <w:rPr>
                <w:sz w:val="22"/>
                <w:szCs w:val="22"/>
                <w:u w:val="single"/>
              </w:rPr>
              <w:t>Information Systems</w:t>
            </w:r>
          </w:p>
        </w:tc>
        <w:tc>
          <w:tcPr>
            <w:tcW w:w="2740" w:type="dxa"/>
            <w:tcBorders>
              <w:top w:val="nil"/>
              <w:left w:val="nil"/>
              <w:bottom w:val="single" w:sz="4" w:space="0" w:color="auto"/>
              <w:right w:val="nil"/>
            </w:tcBorders>
            <w:vAlign w:val="bottom"/>
          </w:tcPr>
          <w:p w:rsidR="00ED3AC8" w:rsidRPr="005F76F5" w:rsidRDefault="00FE13A8" w:rsidP="003334DA">
            <w:pPr>
              <w:rPr>
                <w:sz w:val="22"/>
                <w:szCs w:val="22"/>
                <w:u w:val="single"/>
              </w:rPr>
            </w:pPr>
            <w:r>
              <w:rPr>
                <w:sz w:val="22"/>
                <w:szCs w:val="22"/>
                <w:u w:val="single"/>
              </w:rPr>
              <w:t>August 18, 2017</w:t>
            </w:r>
          </w:p>
        </w:tc>
      </w:tr>
      <w:tr w:rsidR="00ED3AC8" w:rsidRPr="005F76F5" w:rsidTr="003334DA">
        <w:trPr>
          <w:trHeight w:val="432"/>
        </w:trPr>
        <w:tc>
          <w:tcPr>
            <w:tcW w:w="5385" w:type="dxa"/>
            <w:tcBorders>
              <w:top w:val="nil"/>
              <w:left w:val="nil"/>
              <w:bottom w:val="nil"/>
              <w:right w:val="nil"/>
            </w:tcBorders>
            <w:vAlign w:val="bottom"/>
          </w:tcPr>
          <w:p w:rsidR="00ED3AC8" w:rsidRPr="005F76F5" w:rsidRDefault="00ED3AC8" w:rsidP="003334DA">
            <w:pPr>
              <w:rPr>
                <w:sz w:val="22"/>
                <w:szCs w:val="22"/>
              </w:rPr>
            </w:pPr>
            <w:r w:rsidRPr="005F76F5">
              <w:rPr>
                <w:sz w:val="22"/>
                <w:szCs w:val="22"/>
              </w:rPr>
              <w:t xml:space="preserve">Gordon Ford College Curriculum Committee </w:t>
            </w:r>
          </w:p>
        </w:tc>
        <w:tc>
          <w:tcPr>
            <w:tcW w:w="2740" w:type="dxa"/>
            <w:tcBorders>
              <w:top w:val="single" w:sz="4" w:space="0" w:color="auto"/>
              <w:left w:val="nil"/>
              <w:bottom w:val="single" w:sz="4" w:space="0" w:color="auto"/>
              <w:right w:val="nil"/>
            </w:tcBorders>
            <w:vAlign w:val="bottom"/>
          </w:tcPr>
          <w:p w:rsidR="00ED3AC8" w:rsidRPr="005F76F5" w:rsidRDefault="00ED3AC8" w:rsidP="003334DA">
            <w:pPr>
              <w:rPr>
                <w:sz w:val="22"/>
                <w:szCs w:val="22"/>
                <w:u w:val="single"/>
              </w:rPr>
            </w:pPr>
          </w:p>
        </w:tc>
      </w:tr>
      <w:tr w:rsidR="00ED3AC8" w:rsidRPr="005F76F5" w:rsidTr="003334DA">
        <w:trPr>
          <w:trHeight w:val="432"/>
        </w:trPr>
        <w:tc>
          <w:tcPr>
            <w:tcW w:w="5385" w:type="dxa"/>
            <w:tcBorders>
              <w:top w:val="nil"/>
              <w:left w:val="nil"/>
              <w:bottom w:val="nil"/>
              <w:right w:val="nil"/>
            </w:tcBorders>
            <w:vAlign w:val="bottom"/>
          </w:tcPr>
          <w:p w:rsidR="00ED3AC8" w:rsidRPr="005F76F5" w:rsidRDefault="00ED3AC8" w:rsidP="003334DA">
            <w:pPr>
              <w:rPr>
                <w:sz w:val="22"/>
                <w:szCs w:val="22"/>
              </w:rPr>
            </w:pPr>
            <w:r w:rsidRPr="005F76F5">
              <w:rPr>
                <w:sz w:val="22"/>
                <w:szCs w:val="22"/>
              </w:rPr>
              <w:t xml:space="preserve">Undergraduate Curriculum Committee </w:t>
            </w:r>
          </w:p>
        </w:tc>
        <w:tc>
          <w:tcPr>
            <w:tcW w:w="2740" w:type="dxa"/>
            <w:tcBorders>
              <w:top w:val="single" w:sz="4" w:space="0" w:color="auto"/>
              <w:left w:val="nil"/>
              <w:bottom w:val="single" w:sz="4" w:space="0" w:color="auto"/>
              <w:right w:val="nil"/>
            </w:tcBorders>
            <w:vAlign w:val="bottom"/>
          </w:tcPr>
          <w:p w:rsidR="00ED3AC8" w:rsidRPr="005F76F5" w:rsidRDefault="00ED3AC8" w:rsidP="003334DA">
            <w:pPr>
              <w:rPr>
                <w:b/>
                <w:sz w:val="22"/>
                <w:szCs w:val="22"/>
                <w:u w:val="single"/>
              </w:rPr>
            </w:pPr>
          </w:p>
        </w:tc>
      </w:tr>
      <w:tr w:rsidR="00ED3AC8" w:rsidRPr="005F76F5" w:rsidTr="003334DA">
        <w:trPr>
          <w:trHeight w:val="432"/>
        </w:trPr>
        <w:tc>
          <w:tcPr>
            <w:tcW w:w="5385" w:type="dxa"/>
            <w:tcBorders>
              <w:top w:val="nil"/>
              <w:left w:val="nil"/>
              <w:bottom w:val="nil"/>
              <w:right w:val="nil"/>
            </w:tcBorders>
            <w:vAlign w:val="bottom"/>
          </w:tcPr>
          <w:p w:rsidR="00ED3AC8" w:rsidRPr="005F76F5" w:rsidRDefault="00ED3AC8" w:rsidP="003334DA">
            <w:pPr>
              <w:rPr>
                <w:sz w:val="22"/>
                <w:szCs w:val="22"/>
              </w:rPr>
            </w:pPr>
            <w:r w:rsidRPr="005F76F5">
              <w:rPr>
                <w:sz w:val="22"/>
                <w:szCs w:val="22"/>
              </w:rPr>
              <w:t>University Senate</w:t>
            </w:r>
          </w:p>
        </w:tc>
        <w:tc>
          <w:tcPr>
            <w:tcW w:w="2740" w:type="dxa"/>
            <w:tcBorders>
              <w:top w:val="single" w:sz="4" w:space="0" w:color="auto"/>
              <w:left w:val="nil"/>
              <w:bottom w:val="single" w:sz="4" w:space="0" w:color="auto"/>
              <w:right w:val="nil"/>
            </w:tcBorders>
            <w:vAlign w:val="bottom"/>
          </w:tcPr>
          <w:p w:rsidR="00ED3AC8" w:rsidRPr="005F76F5" w:rsidRDefault="00ED3AC8" w:rsidP="003334DA">
            <w:pPr>
              <w:rPr>
                <w:b/>
                <w:sz w:val="22"/>
                <w:szCs w:val="22"/>
                <w:u w:val="single"/>
              </w:rPr>
            </w:pPr>
          </w:p>
        </w:tc>
      </w:tr>
    </w:tbl>
    <w:p w:rsidR="00ED3AC8" w:rsidRDefault="00ED3AC8" w:rsidP="00ED3AC8"/>
    <w:p w:rsidR="00660B6E" w:rsidRDefault="00660B6E"/>
    <w:sectPr w:rsidR="00660B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13F99"/>
    <w:multiLevelType w:val="hybridMultilevel"/>
    <w:tmpl w:val="30267F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539621F"/>
    <w:multiLevelType w:val="multilevel"/>
    <w:tmpl w:val="F4FAE200"/>
    <w:lvl w:ilvl="0">
      <w:start w:val="1"/>
      <w:numFmt w:val="decimal"/>
      <w:lvlText w:val="%1"/>
      <w:lvlJc w:val="left"/>
      <w:pPr>
        <w:ind w:left="2160" w:hanging="720"/>
      </w:pPr>
      <w:rPr>
        <w:rFonts w:hint="default"/>
      </w:rPr>
    </w:lvl>
    <w:lvl w:ilvl="1">
      <w:start w:val="1"/>
      <w:numFmt w:val="decimal"/>
      <w:lvlText w:val="%1.%2"/>
      <w:lvlJc w:val="left"/>
      <w:pPr>
        <w:ind w:left="360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9720" w:hanging="108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2960" w:hanging="1440"/>
      </w:pPr>
      <w:rPr>
        <w:rFonts w:hint="default"/>
      </w:rPr>
    </w:lvl>
    <w:lvl w:ilvl="8">
      <w:start w:val="1"/>
      <w:numFmt w:val="decimal"/>
      <w:lvlText w:val="%1.%2.%3.%4.%5.%6.%7.%8.%9"/>
      <w:lvlJc w:val="left"/>
      <w:pPr>
        <w:ind w:left="147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AC8"/>
    <w:rsid w:val="004475A4"/>
    <w:rsid w:val="00660B6E"/>
    <w:rsid w:val="00AE56AE"/>
    <w:rsid w:val="00BC7484"/>
    <w:rsid w:val="00ED3AC8"/>
    <w:rsid w:val="00FE1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95E18"/>
  <w15:docId w15:val="{2DBEA72B-C225-4DDE-A908-566F4C9A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A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y.blankenship@wk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2</cp:revision>
  <dcterms:created xsi:type="dcterms:W3CDTF">2017-09-18T16:03:00Z</dcterms:created>
  <dcterms:modified xsi:type="dcterms:W3CDTF">2017-09-18T16:03:00Z</dcterms:modified>
</cp:coreProperties>
</file>