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46A" w:rsidRDefault="0006146A" w:rsidP="0006146A">
      <w:pPr>
        <w:jc w:val="right"/>
      </w:pPr>
      <w:bookmarkStart w:id="0" w:name="_GoBack"/>
      <w:bookmarkEnd w:id="0"/>
      <w:r>
        <w:t>Proposal Date:</w:t>
      </w:r>
      <w:r w:rsidR="00DD5A2E">
        <w:t xml:space="preserve"> January </w:t>
      </w:r>
      <w:r w:rsidR="00DF61B0">
        <w:t>9</w:t>
      </w:r>
      <w:r w:rsidR="00DD5A2E">
        <w:t>, 2017</w:t>
      </w:r>
    </w:p>
    <w:p w:rsidR="0006146A" w:rsidRDefault="0006146A" w:rsidP="0006146A">
      <w:pPr>
        <w:jc w:val="center"/>
      </w:pPr>
    </w:p>
    <w:p w:rsidR="0006146A" w:rsidRDefault="00DD5A2E" w:rsidP="0006146A">
      <w:pPr>
        <w:jc w:val="center"/>
        <w:rPr>
          <w:b/>
        </w:rPr>
      </w:pPr>
      <w:r>
        <w:rPr>
          <w:b/>
        </w:rPr>
        <w:t>Gordon Ford College of Business</w:t>
      </w:r>
    </w:p>
    <w:p w:rsidR="0006146A" w:rsidRDefault="00DD5A2E" w:rsidP="0006146A">
      <w:pPr>
        <w:jc w:val="center"/>
        <w:rPr>
          <w:b/>
        </w:rPr>
      </w:pPr>
      <w:r>
        <w:rPr>
          <w:b/>
        </w:rPr>
        <w:t>Finance Department</w:t>
      </w:r>
    </w:p>
    <w:p w:rsidR="0006146A" w:rsidRDefault="0006146A" w:rsidP="0006146A">
      <w:pPr>
        <w:jc w:val="center"/>
        <w:rPr>
          <w:b/>
        </w:rPr>
      </w:pPr>
      <w:r>
        <w:rPr>
          <w:b/>
        </w:rPr>
        <w:t>Proposal to Revise Course Prerequisites/Corequisites</w:t>
      </w:r>
    </w:p>
    <w:p w:rsidR="0006146A" w:rsidRDefault="0006146A" w:rsidP="0006146A">
      <w:pPr>
        <w:jc w:val="center"/>
        <w:rPr>
          <w:b/>
        </w:rPr>
      </w:pPr>
      <w:r>
        <w:rPr>
          <w:b/>
        </w:rPr>
        <w:t>(Consent Item)</w:t>
      </w:r>
    </w:p>
    <w:p w:rsidR="0006146A" w:rsidRDefault="0006146A" w:rsidP="0006146A">
      <w:pPr>
        <w:rPr>
          <w:b/>
        </w:rPr>
      </w:pPr>
    </w:p>
    <w:p w:rsidR="00DD5A2E" w:rsidRPr="006321B8" w:rsidRDefault="00DD5A2E" w:rsidP="00DD5A2E">
      <w:pPr>
        <w:spacing w:line="280" w:lineRule="exact"/>
        <w:rPr>
          <w:sz w:val="22"/>
          <w:szCs w:val="22"/>
        </w:rPr>
      </w:pPr>
      <w:r w:rsidRPr="006321B8">
        <w:rPr>
          <w:sz w:val="22"/>
          <w:szCs w:val="22"/>
        </w:rPr>
        <w:t xml:space="preserve">Contact Person:  Indudeep Chhachhi, </w:t>
      </w:r>
      <w:hyperlink r:id="rId7" w:history="1">
        <w:r w:rsidRPr="006321B8">
          <w:rPr>
            <w:rStyle w:val="Hyperlink"/>
            <w:sz w:val="22"/>
            <w:szCs w:val="22"/>
          </w:rPr>
          <w:t>indudeep.chhachhi@wku.edu</w:t>
        </w:r>
      </w:hyperlink>
      <w:r w:rsidRPr="006321B8">
        <w:rPr>
          <w:sz w:val="22"/>
          <w:szCs w:val="22"/>
        </w:rPr>
        <w:t>, 745-2928</w:t>
      </w:r>
    </w:p>
    <w:p w:rsidR="0006146A" w:rsidRPr="0006146A" w:rsidRDefault="0006146A" w:rsidP="0006146A">
      <w:pPr>
        <w:spacing w:line="280" w:lineRule="exact"/>
        <w:rPr>
          <w:sz w:val="22"/>
          <w:szCs w:val="22"/>
        </w:rPr>
      </w:pPr>
    </w:p>
    <w:p w:rsidR="0006146A" w:rsidRPr="0006146A" w:rsidRDefault="0006146A" w:rsidP="0006146A">
      <w:pPr>
        <w:spacing w:line="280" w:lineRule="exact"/>
        <w:rPr>
          <w:b/>
          <w:sz w:val="22"/>
          <w:szCs w:val="22"/>
        </w:rPr>
      </w:pPr>
      <w:r w:rsidRPr="0006146A">
        <w:rPr>
          <w:b/>
          <w:sz w:val="22"/>
          <w:szCs w:val="22"/>
        </w:rPr>
        <w:t>1.</w:t>
      </w:r>
      <w:r w:rsidRPr="0006146A">
        <w:rPr>
          <w:b/>
          <w:sz w:val="22"/>
          <w:szCs w:val="22"/>
        </w:rPr>
        <w:tab/>
        <w:t>Identification of course:</w:t>
      </w:r>
    </w:p>
    <w:p w:rsidR="0006146A" w:rsidRPr="0006146A" w:rsidRDefault="0006146A" w:rsidP="0006146A">
      <w:pPr>
        <w:numPr>
          <w:ilvl w:val="1"/>
          <w:numId w:val="6"/>
        </w:numPr>
        <w:spacing w:line="280" w:lineRule="exact"/>
        <w:rPr>
          <w:sz w:val="22"/>
          <w:szCs w:val="22"/>
        </w:rPr>
      </w:pPr>
      <w:r w:rsidRPr="0006146A">
        <w:rPr>
          <w:sz w:val="22"/>
          <w:szCs w:val="22"/>
        </w:rPr>
        <w:t xml:space="preserve">Course prefix (subject area) and number:  </w:t>
      </w:r>
      <w:r w:rsidR="00053112">
        <w:rPr>
          <w:sz w:val="22"/>
          <w:szCs w:val="22"/>
        </w:rPr>
        <w:t>FIN 350</w:t>
      </w:r>
    </w:p>
    <w:p w:rsidR="0006146A" w:rsidRPr="0006146A" w:rsidRDefault="0006146A" w:rsidP="0006146A">
      <w:pPr>
        <w:numPr>
          <w:ilvl w:val="1"/>
          <w:numId w:val="6"/>
        </w:numPr>
        <w:spacing w:line="280" w:lineRule="exact"/>
        <w:rPr>
          <w:sz w:val="22"/>
          <w:szCs w:val="22"/>
        </w:rPr>
      </w:pPr>
      <w:r w:rsidRPr="0006146A">
        <w:rPr>
          <w:sz w:val="22"/>
          <w:szCs w:val="22"/>
        </w:rPr>
        <w:t>Course title:</w:t>
      </w:r>
      <w:r w:rsidR="00053112">
        <w:rPr>
          <w:sz w:val="22"/>
          <w:szCs w:val="22"/>
        </w:rPr>
        <w:t xml:space="preserve">  Risk Management and Insurance</w:t>
      </w:r>
    </w:p>
    <w:p w:rsidR="0006146A" w:rsidRPr="0006146A" w:rsidRDefault="0006146A" w:rsidP="0006146A">
      <w:pPr>
        <w:tabs>
          <w:tab w:val="left" w:pos="360"/>
        </w:tabs>
        <w:spacing w:line="280" w:lineRule="exact"/>
        <w:rPr>
          <w:sz w:val="22"/>
          <w:szCs w:val="22"/>
        </w:rPr>
      </w:pPr>
    </w:p>
    <w:p w:rsidR="0006146A" w:rsidRPr="0006146A" w:rsidRDefault="0006146A" w:rsidP="0006146A">
      <w:pPr>
        <w:spacing w:line="280" w:lineRule="exact"/>
        <w:rPr>
          <w:b/>
          <w:sz w:val="22"/>
          <w:szCs w:val="22"/>
        </w:rPr>
      </w:pPr>
      <w:r w:rsidRPr="0006146A">
        <w:rPr>
          <w:b/>
          <w:sz w:val="22"/>
          <w:szCs w:val="22"/>
        </w:rPr>
        <w:t>2.</w:t>
      </w:r>
      <w:r w:rsidRPr="0006146A">
        <w:rPr>
          <w:b/>
          <w:sz w:val="22"/>
          <w:szCs w:val="22"/>
        </w:rPr>
        <w:tab/>
        <w:t>Current prerequisites/corequisites/special requirements:</w:t>
      </w:r>
      <w:r w:rsidR="00E470B0">
        <w:rPr>
          <w:b/>
          <w:sz w:val="22"/>
          <w:szCs w:val="22"/>
        </w:rPr>
        <w:t xml:space="preserve">  </w:t>
      </w:r>
      <w:r w:rsidR="00E470B0" w:rsidRPr="00E470B0">
        <w:rPr>
          <w:sz w:val="22"/>
          <w:szCs w:val="22"/>
        </w:rPr>
        <w:t>FIN 330</w:t>
      </w:r>
    </w:p>
    <w:p w:rsidR="0006146A" w:rsidRPr="0006146A" w:rsidRDefault="0006146A" w:rsidP="0006146A">
      <w:pPr>
        <w:spacing w:line="280" w:lineRule="exact"/>
        <w:rPr>
          <w:b/>
          <w:sz w:val="22"/>
          <w:szCs w:val="22"/>
        </w:rPr>
      </w:pPr>
    </w:p>
    <w:p w:rsidR="0006146A" w:rsidRPr="0006146A" w:rsidRDefault="0006146A" w:rsidP="0006146A">
      <w:pPr>
        <w:spacing w:line="280" w:lineRule="exact"/>
        <w:rPr>
          <w:b/>
          <w:sz w:val="22"/>
          <w:szCs w:val="22"/>
        </w:rPr>
      </w:pPr>
      <w:r w:rsidRPr="0006146A">
        <w:rPr>
          <w:b/>
          <w:sz w:val="22"/>
          <w:szCs w:val="22"/>
        </w:rPr>
        <w:t>3.</w:t>
      </w:r>
      <w:r w:rsidRPr="0006146A">
        <w:rPr>
          <w:b/>
          <w:sz w:val="22"/>
          <w:szCs w:val="22"/>
        </w:rPr>
        <w:tab/>
        <w:t>Proposed prerequisites/corequisites/special requirements:</w:t>
      </w:r>
      <w:r w:rsidR="00E470B0">
        <w:rPr>
          <w:b/>
          <w:sz w:val="22"/>
          <w:szCs w:val="22"/>
        </w:rPr>
        <w:t xml:space="preserve">  </w:t>
      </w:r>
      <w:r w:rsidR="00E470B0" w:rsidRPr="00E470B0">
        <w:rPr>
          <w:sz w:val="22"/>
          <w:szCs w:val="22"/>
        </w:rPr>
        <w:t>None</w:t>
      </w:r>
    </w:p>
    <w:p w:rsidR="0006146A" w:rsidRPr="0006146A" w:rsidRDefault="0006146A" w:rsidP="0006146A">
      <w:pPr>
        <w:spacing w:line="280" w:lineRule="exact"/>
        <w:rPr>
          <w:b/>
          <w:sz w:val="22"/>
          <w:szCs w:val="22"/>
        </w:rPr>
      </w:pPr>
    </w:p>
    <w:p w:rsidR="0006146A" w:rsidRPr="00E470B0" w:rsidRDefault="0006146A" w:rsidP="0006146A">
      <w:pPr>
        <w:spacing w:line="280" w:lineRule="exact"/>
        <w:rPr>
          <w:sz w:val="22"/>
          <w:szCs w:val="22"/>
        </w:rPr>
      </w:pPr>
      <w:r w:rsidRPr="0006146A">
        <w:rPr>
          <w:b/>
          <w:sz w:val="22"/>
          <w:szCs w:val="22"/>
        </w:rPr>
        <w:t>4.</w:t>
      </w:r>
      <w:r w:rsidRPr="0006146A">
        <w:rPr>
          <w:b/>
          <w:sz w:val="22"/>
          <w:szCs w:val="22"/>
        </w:rPr>
        <w:tab/>
        <w:t>Rationale for the revision of prerequisites/corequisites/special requirements:</w:t>
      </w:r>
      <w:r w:rsidR="00E470B0">
        <w:rPr>
          <w:sz w:val="22"/>
          <w:szCs w:val="22"/>
        </w:rPr>
        <w:t xml:space="preserve">  FIN </w:t>
      </w:r>
      <w:r w:rsidR="00053112">
        <w:rPr>
          <w:sz w:val="22"/>
          <w:szCs w:val="22"/>
        </w:rPr>
        <w:t>350 covers principles involving risk, property/casualty insurance, liability insurance, personal life insurance, and alternatives to insurance. Application includes</w:t>
      </w:r>
      <w:r w:rsidR="00B42D5F">
        <w:rPr>
          <w:sz w:val="22"/>
          <w:szCs w:val="22"/>
        </w:rPr>
        <w:t xml:space="preserve"> a life insurance needs analysis. </w:t>
      </w:r>
      <w:r w:rsidR="00CE35AF">
        <w:rPr>
          <w:sz w:val="22"/>
          <w:szCs w:val="22"/>
        </w:rPr>
        <w:t>It is not essential that the concepts in FIN 330, Principles of Managerial Finance, focuses on corporate finance topics such as time value of money and other calculations relating to the valuation of various projects or companies, be a prerequisite for this course</w:t>
      </w:r>
      <w:r w:rsidR="008A07C1">
        <w:rPr>
          <w:sz w:val="22"/>
          <w:szCs w:val="22"/>
        </w:rPr>
        <w:t>.</w:t>
      </w:r>
    </w:p>
    <w:p w:rsidR="0006146A" w:rsidRPr="0006146A" w:rsidRDefault="0006146A" w:rsidP="0006146A">
      <w:pPr>
        <w:spacing w:line="280" w:lineRule="exact"/>
        <w:rPr>
          <w:b/>
          <w:sz w:val="22"/>
          <w:szCs w:val="22"/>
        </w:rPr>
      </w:pPr>
    </w:p>
    <w:p w:rsidR="0006146A" w:rsidRPr="008A07C1" w:rsidRDefault="0006146A" w:rsidP="0006146A">
      <w:pPr>
        <w:spacing w:line="280" w:lineRule="exact"/>
        <w:rPr>
          <w:sz w:val="22"/>
          <w:szCs w:val="22"/>
        </w:rPr>
      </w:pPr>
      <w:r w:rsidRPr="0006146A">
        <w:rPr>
          <w:b/>
          <w:sz w:val="22"/>
          <w:szCs w:val="22"/>
        </w:rPr>
        <w:t>5.</w:t>
      </w:r>
      <w:r w:rsidRPr="0006146A">
        <w:rPr>
          <w:b/>
          <w:sz w:val="22"/>
          <w:szCs w:val="22"/>
        </w:rPr>
        <w:tab/>
        <w:t>Effect on completion of major/minor sequence:</w:t>
      </w:r>
      <w:r w:rsidR="008A07C1">
        <w:rPr>
          <w:b/>
          <w:sz w:val="22"/>
          <w:szCs w:val="22"/>
        </w:rPr>
        <w:t xml:space="preserve">  </w:t>
      </w:r>
      <w:r w:rsidR="00B42D5F">
        <w:rPr>
          <w:sz w:val="22"/>
          <w:szCs w:val="22"/>
        </w:rPr>
        <w:t>Will assist students enrolled in the B.S. Finance (Financial Planning Track) degree program, or the Financial Planning Certificate, to complete the required curriculum in a shorter period of time.</w:t>
      </w:r>
    </w:p>
    <w:p w:rsidR="0006146A" w:rsidRPr="0006146A" w:rsidRDefault="0006146A" w:rsidP="0006146A">
      <w:pPr>
        <w:spacing w:line="280" w:lineRule="exact"/>
        <w:rPr>
          <w:b/>
          <w:sz w:val="22"/>
          <w:szCs w:val="22"/>
        </w:rPr>
      </w:pPr>
    </w:p>
    <w:p w:rsidR="0006146A" w:rsidRPr="0006146A" w:rsidRDefault="0006146A" w:rsidP="0006146A">
      <w:pPr>
        <w:spacing w:line="280" w:lineRule="exact"/>
        <w:rPr>
          <w:b/>
          <w:sz w:val="22"/>
          <w:szCs w:val="22"/>
        </w:rPr>
      </w:pPr>
      <w:r w:rsidRPr="0006146A">
        <w:rPr>
          <w:b/>
          <w:sz w:val="22"/>
          <w:szCs w:val="22"/>
        </w:rPr>
        <w:t>6.</w:t>
      </w:r>
      <w:r w:rsidRPr="0006146A">
        <w:rPr>
          <w:b/>
          <w:sz w:val="22"/>
          <w:szCs w:val="22"/>
        </w:rPr>
        <w:tab/>
        <w:t>Proposed term for implementation:</w:t>
      </w:r>
      <w:r w:rsidR="008A07C1">
        <w:rPr>
          <w:b/>
          <w:sz w:val="22"/>
          <w:szCs w:val="22"/>
        </w:rPr>
        <w:t xml:space="preserve">  </w:t>
      </w:r>
      <w:r w:rsidR="008A07C1" w:rsidRPr="008A07C1">
        <w:rPr>
          <w:sz w:val="22"/>
          <w:szCs w:val="22"/>
        </w:rPr>
        <w:t>Fall 2017.</w:t>
      </w:r>
    </w:p>
    <w:p w:rsidR="0006146A" w:rsidRPr="0006146A" w:rsidRDefault="0006146A" w:rsidP="0006146A">
      <w:pPr>
        <w:spacing w:line="280" w:lineRule="exact"/>
        <w:rPr>
          <w:b/>
          <w:sz w:val="22"/>
          <w:szCs w:val="22"/>
        </w:rPr>
      </w:pPr>
    </w:p>
    <w:p w:rsidR="004340A1" w:rsidRDefault="0006146A" w:rsidP="00DD5A2E">
      <w:pPr>
        <w:spacing w:line="280" w:lineRule="exact"/>
      </w:pPr>
      <w:r w:rsidRPr="0006146A">
        <w:rPr>
          <w:b/>
          <w:sz w:val="22"/>
          <w:szCs w:val="22"/>
        </w:rPr>
        <w:t>7.</w:t>
      </w:r>
      <w:r w:rsidRPr="0006146A">
        <w:rPr>
          <w:b/>
          <w:sz w:val="22"/>
          <w:szCs w:val="22"/>
        </w:rPr>
        <w:tab/>
        <w:t>Dates of prior committee approvals:</w:t>
      </w:r>
      <w:r>
        <w:rPr>
          <w:b/>
          <w:sz w:val="22"/>
          <w:szCs w:val="22"/>
        </w:rPr>
        <w:br/>
      </w:r>
    </w:p>
    <w:tbl>
      <w:tblPr>
        <w:tblStyle w:val="TableGrid"/>
        <w:tblW w:w="0" w:type="auto"/>
        <w:tblInd w:w="630" w:type="dxa"/>
        <w:tblCellMar>
          <w:left w:w="0" w:type="dxa"/>
          <w:right w:w="115" w:type="dxa"/>
        </w:tblCellMar>
        <w:tblLook w:val="04A0" w:firstRow="1" w:lastRow="0" w:firstColumn="1" w:lastColumn="0" w:noHBand="0" w:noVBand="1"/>
      </w:tblPr>
      <w:tblGrid>
        <w:gridCol w:w="5385"/>
        <w:gridCol w:w="2740"/>
      </w:tblGrid>
      <w:tr w:rsidR="00DD5A2E" w:rsidRPr="006321B8" w:rsidTr="009604EB">
        <w:trPr>
          <w:trHeight w:val="432"/>
        </w:trPr>
        <w:tc>
          <w:tcPr>
            <w:tcW w:w="5385" w:type="dxa"/>
            <w:tcBorders>
              <w:top w:val="nil"/>
              <w:left w:val="nil"/>
              <w:bottom w:val="nil"/>
              <w:right w:val="nil"/>
            </w:tcBorders>
            <w:vAlign w:val="bottom"/>
          </w:tcPr>
          <w:p w:rsidR="00DD5A2E" w:rsidRPr="006321B8" w:rsidRDefault="00DD5A2E" w:rsidP="009604EB">
            <w:pPr>
              <w:rPr>
                <w:sz w:val="22"/>
                <w:szCs w:val="22"/>
              </w:rPr>
            </w:pPr>
            <w:r w:rsidRPr="006321B8">
              <w:rPr>
                <w:sz w:val="22"/>
                <w:szCs w:val="22"/>
              </w:rPr>
              <w:t>Department/ Unit                 Finance</w:t>
            </w:r>
            <w:r w:rsidRPr="006321B8">
              <w:rPr>
                <w:sz w:val="22"/>
                <w:szCs w:val="22"/>
                <w:u w:val="single"/>
              </w:rPr>
              <w:t xml:space="preserve">   </w:t>
            </w:r>
            <w:r w:rsidRPr="006321B8">
              <w:rPr>
                <w:sz w:val="22"/>
                <w:szCs w:val="22"/>
              </w:rPr>
              <w:t xml:space="preserve">                   </w:t>
            </w:r>
          </w:p>
        </w:tc>
        <w:tc>
          <w:tcPr>
            <w:tcW w:w="2740" w:type="dxa"/>
            <w:tcBorders>
              <w:top w:val="nil"/>
              <w:left w:val="nil"/>
              <w:bottom w:val="single" w:sz="4" w:space="0" w:color="auto"/>
              <w:right w:val="nil"/>
            </w:tcBorders>
            <w:vAlign w:val="bottom"/>
          </w:tcPr>
          <w:p w:rsidR="00DD5A2E" w:rsidRPr="00B876DF" w:rsidRDefault="00DD5A2E" w:rsidP="00DF61B0">
            <w:pPr>
              <w:rPr>
                <w:sz w:val="22"/>
                <w:szCs w:val="22"/>
              </w:rPr>
            </w:pPr>
            <w:r>
              <w:rPr>
                <w:sz w:val="22"/>
                <w:szCs w:val="22"/>
              </w:rPr>
              <w:t xml:space="preserve">January </w:t>
            </w:r>
            <w:r w:rsidR="00DF61B0">
              <w:rPr>
                <w:sz w:val="22"/>
                <w:szCs w:val="22"/>
              </w:rPr>
              <w:t>9</w:t>
            </w:r>
            <w:r>
              <w:rPr>
                <w:sz w:val="22"/>
                <w:szCs w:val="22"/>
              </w:rPr>
              <w:t>, 2017</w:t>
            </w:r>
          </w:p>
        </w:tc>
      </w:tr>
      <w:tr w:rsidR="00DD5A2E" w:rsidRPr="006321B8" w:rsidTr="009604EB">
        <w:trPr>
          <w:trHeight w:val="432"/>
        </w:trPr>
        <w:tc>
          <w:tcPr>
            <w:tcW w:w="5385" w:type="dxa"/>
            <w:tcBorders>
              <w:top w:val="nil"/>
              <w:left w:val="nil"/>
              <w:bottom w:val="nil"/>
              <w:right w:val="nil"/>
            </w:tcBorders>
            <w:vAlign w:val="bottom"/>
          </w:tcPr>
          <w:p w:rsidR="00DD5A2E" w:rsidRPr="006321B8" w:rsidRDefault="00DD5A2E" w:rsidP="009604EB">
            <w:pPr>
              <w:rPr>
                <w:sz w:val="22"/>
                <w:szCs w:val="22"/>
              </w:rPr>
            </w:pPr>
            <w:r w:rsidRPr="006321B8">
              <w:rPr>
                <w:sz w:val="22"/>
                <w:szCs w:val="22"/>
              </w:rPr>
              <w:t xml:space="preserve">Gordon Ford College of Business Undergraduate Curriculum Committee </w:t>
            </w:r>
          </w:p>
        </w:tc>
        <w:tc>
          <w:tcPr>
            <w:tcW w:w="2740" w:type="dxa"/>
            <w:tcBorders>
              <w:top w:val="single" w:sz="4" w:space="0" w:color="auto"/>
              <w:left w:val="nil"/>
              <w:bottom w:val="single" w:sz="4" w:space="0" w:color="auto"/>
              <w:right w:val="nil"/>
            </w:tcBorders>
            <w:vAlign w:val="bottom"/>
          </w:tcPr>
          <w:p w:rsidR="00DD5A2E" w:rsidRPr="006321B8" w:rsidRDefault="00DD5A2E" w:rsidP="009604EB">
            <w:pPr>
              <w:rPr>
                <w:b/>
                <w:sz w:val="22"/>
                <w:szCs w:val="22"/>
                <w:u w:val="single"/>
              </w:rPr>
            </w:pPr>
          </w:p>
        </w:tc>
      </w:tr>
      <w:tr w:rsidR="00DD5A2E" w:rsidRPr="006321B8" w:rsidTr="009604EB">
        <w:trPr>
          <w:trHeight w:val="432"/>
        </w:trPr>
        <w:tc>
          <w:tcPr>
            <w:tcW w:w="5385" w:type="dxa"/>
            <w:tcBorders>
              <w:top w:val="nil"/>
              <w:left w:val="nil"/>
              <w:bottom w:val="nil"/>
              <w:right w:val="nil"/>
            </w:tcBorders>
            <w:vAlign w:val="bottom"/>
          </w:tcPr>
          <w:p w:rsidR="00DD5A2E" w:rsidRPr="006321B8" w:rsidRDefault="00DD5A2E" w:rsidP="009604EB">
            <w:pPr>
              <w:rPr>
                <w:sz w:val="22"/>
                <w:szCs w:val="22"/>
              </w:rPr>
            </w:pPr>
            <w:r w:rsidRPr="006321B8">
              <w:rPr>
                <w:sz w:val="22"/>
                <w:szCs w:val="22"/>
              </w:rPr>
              <w:t xml:space="preserve">Undergraduate Curriculum Committee </w:t>
            </w:r>
          </w:p>
        </w:tc>
        <w:tc>
          <w:tcPr>
            <w:tcW w:w="2740" w:type="dxa"/>
            <w:tcBorders>
              <w:top w:val="single" w:sz="4" w:space="0" w:color="auto"/>
              <w:left w:val="nil"/>
              <w:bottom w:val="single" w:sz="4" w:space="0" w:color="auto"/>
              <w:right w:val="nil"/>
            </w:tcBorders>
            <w:vAlign w:val="bottom"/>
          </w:tcPr>
          <w:p w:rsidR="00DD5A2E" w:rsidRPr="006321B8" w:rsidRDefault="00DD5A2E" w:rsidP="009604EB">
            <w:pPr>
              <w:rPr>
                <w:b/>
                <w:sz w:val="22"/>
                <w:szCs w:val="22"/>
                <w:u w:val="single"/>
              </w:rPr>
            </w:pPr>
          </w:p>
        </w:tc>
      </w:tr>
      <w:tr w:rsidR="00DD5A2E" w:rsidRPr="006321B8" w:rsidTr="009604EB">
        <w:trPr>
          <w:trHeight w:val="432"/>
        </w:trPr>
        <w:tc>
          <w:tcPr>
            <w:tcW w:w="5385" w:type="dxa"/>
            <w:tcBorders>
              <w:top w:val="nil"/>
              <w:left w:val="nil"/>
              <w:bottom w:val="nil"/>
              <w:right w:val="nil"/>
            </w:tcBorders>
            <w:vAlign w:val="bottom"/>
          </w:tcPr>
          <w:p w:rsidR="00DD5A2E" w:rsidRPr="006321B8" w:rsidRDefault="00DD5A2E" w:rsidP="009604EB">
            <w:pPr>
              <w:rPr>
                <w:sz w:val="22"/>
                <w:szCs w:val="22"/>
              </w:rPr>
            </w:pPr>
            <w:r w:rsidRPr="006321B8">
              <w:rPr>
                <w:sz w:val="22"/>
                <w:szCs w:val="22"/>
              </w:rPr>
              <w:t>University Senate</w:t>
            </w:r>
          </w:p>
        </w:tc>
        <w:tc>
          <w:tcPr>
            <w:tcW w:w="2740" w:type="dxa"/>
            <w:tcBorders>
              <w:top w:val="single" w:sz="4" w:space="0" w:color="auto"/>
              <w:left w:val="nil"/>
              <w:bottom w:val="single" w:sz="4" w:space="0" w:color="auto"/>
              <w:right w:val="nil"/>
            </w:tcBorders>
            <w:vAlign w:val="bottom"/>
          </w:tcPr>
          <w:p w:rsidR="00DD5A2E" w:rsidRPr="006321B8" w:rsidRDefault="00DD5A2E" w:rsidP="009604EB">
            <w:pPr>
              <w:rPr>
                <w:b/>
                <w:sz w:val="22"/>
                <w:szCs w:val="22"/>
                <w:u w:val="single"/>
              </w:rPr>
            </w:pPr>
          </w:p>
        </w:tc>
      </w:tr>
    </w:tbl>
    <w:p w:rsidR="00DD5A2E" w:rsidRDefault="00DD5A2E" w:rsidP="00DD5A2E">
      <w:pPr>
        <w:spacing w:line="280" w:lineRule="exact"/>
      </w:pPr>
    </w:p>
    <w:p w:rsidR="004340A1" w:rsidRDefault="004340A1"/>
    <w:p w:rsidR="004340A1" w:rsidRDefault="004340A1">
      <w:pPr>
        <w:pStyle w:val="NormalWeb"/>
      </w:pPr>
      <w:r>
        <w:t> </w:t>
      </w:r>
    </w:p>
    <w:p w:rsidR="004340A1" w:rsidRDefault="004340A1">
      <w:pPr>
        <w:pStyle w:val="NormalWeb"/>
      </w:pPr>
      <w:r>
        <w:t> </w:t>
      </w:r>
    </w:p>
    <w:sectPr w:rsidR="004340A1" w:rsidSect="00461F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6E2" w:rsidRDefault="003376E2" w:rsidP="0006146A">
      <w:r>
        <w:separator/>
      </w:r>
    </w:p>
  </w:endnote>
  <w:endnote w:type="continuationSeparator" w:id="0">
    <w:p w:rsidR="003376E2" w:rsidRDefault="003376E2" w:rsidP="0006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1B0" w:rsidRDefault="00DF61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12" w:rsidRPr="0006146A" w:rsidRDefault="00053112" w:rsidP="0006146A">
    <w:pPr>
      <w:pStyle w:val="Footer"/>
      <w:jc w:val="right"/>
      <w:rPr>
        <w:sz w:val="18"/>
        <w:szCs w:val="18"/>
      </w:rPr>
    </w:pPr>
    <w:r w:rsidRPr="0006146A">
      <w:rPr>
        <w:sz w:val="18"/>
        <w:szCs w:val="18"/>
      </w:rPr>
      <w:t xml:space="preserve">Format effective </w:t>
    </w:r>
    <w:r>
      <w:rPr>
        <w:sz w:val="18"/>
        <w:szCs w:val="18"/>
      </w:rPr>
      <w:t xml:space="preserve">May </w:t>
    </w:r>
    <w:r w:rsidRPr="0006146A">
      <w:rPr>
        <w:sz w:val="18"/>
        <w:szCs w:val="18"/>
      </w:rPr>
      <w:t>2013</w:t>
    </w:r>
  </w:p>
  <w:p w:rsidR="00053112" w:rsidRDefault="000531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1B0" w:rsidRDefault="00DF6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6E2" w:rsidRDefault="003376E2" w:rsidP="0006146A">
      <w:r>
        <w:separator/>
      </w:r>
    </w:p>
  </w:footnote>
  <w:footnote w:type="continuationSeparator" w:id="0">
    <w:p w:rsidR="003376E2" w:rsidRDefault="003376E2" w:rsidP="00061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1B0" w:rsidRDefault="00DF6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1B0" w:rsidRDefault="00DF6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1B0" w:rsidRDefault="00DF6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262A4EFD"/>
    <w:multiLevelType w:val="multilevel"/>
    <w:tmpl w:val="25048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1F41F1"/>
    <w:multiLevelType w:val="multilevel"/>
    <w:tmpl w:val="F71475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B979F8"/>
    <w:multiLevelType w:val="multilevel"/>
    <w:tmpl w:val="C9288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B915108"/>
    <w:multiLevelType w:val="multilevel"/>
    <w:tmpl w:val="A8F67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2C0B32"/>
    <w:multiLevelType w:val="hybridMultilevel"/>
    <w:tmpl w:val="38A0E1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65BA704D"/>
    <w:multiLevelType w:val="multilevel"/>
    <w:tmpl w:val="F648F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15"/>
    <w:rsid w:val="00053112"/>
    <w:rsid w:val="0006146A"/>
    <w:rsid w:val="000B3AAD"/>
    <w:rsid w:val="000D62F8"/>
    <w:rsid w:val="000E42A2"/>
    <w:rsid w:val="001C0F49"/>
    <w:rsid w:val="003376E2"/>
    <w:rsid w:val="004340A1"/>
    <w:rsid w:val="00461F1C"/>
    <w:rsid w:val="004B7D7F"/>
    <w:rsid w:val="00512F9F"/>
    <w:rsid w:val="00517B6C"/>
    <w:rsid w:val="005A3EBD"/>
    <w:rsid w:val="00663DEE"/>
    <w:rsid w:val="00670A5B"/>
    <w:rsid w:val="006C5EEF"/>
    <w:rsid w:val="007A7B3E"/>
    <w:rsid w:val="007C661D"/>
    <w:rsid w:val="007F5E1A"/>
    <w:rsid w:val="00822628"/>
    <w:rsid w:val="00852257"/>
    <w:rsid w:val="008A07C1"/>
    <w:rsid w:val="008D63D0"/>
    <w:rsid w:val="009039EE"/>
    <w:rsid w:val="00904AC8"/>
    <w:rsid w:val="00987F6C"/>
    <w:rsid w:val="00A92115"/>
    <w:rsid w:val="00B42D5F"/>
    <w:rsid w:val="00B665E3"/>
    <w:rsid w:val="00BC6B2D"/>
    <w:rsid w:val="00CD6E08"/>
    <w:rsid w:val="00CE35AF"/>
    <w:rsid w:val="00D172A2"/>
    <w:rsid w:val="00D62735"/>
    <w:rsid w:val="00D87143"/>
    <w:rsid w:val="00DD5A2E"/>
    <w:rsid w:val="00DF61B0"/>
    <w:rsid w:val="00E14B48"/>
    <w:rsid w:val="00E470B0"/>
    <w:rsid w:val="00E67BF0"/>
    <w:rsid w:val="00E77642"/>
    <w:rsid w:val="00F70B86"/>
    <w:rsid w:val="00FC2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6C60FBD-647D-4D67-9FE7-34F0D4EB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 w:type="paragraph" w:styleId="BalloonText">
    <w:name w:val="Balloon Text"/>
    <w:basedOn w:val="Normal"/>
    <w:link w:val="BalloonTextChar"/>
    <w:rsid w:val="00987F6C"/>
    <w:rPr>
      <w:rFonts w:ascii="Tahoma" w:hAnsi="Tahoma" w:cs="Tahoma"/>
      <w:sz w:val="16"/>
      <w:szCs w:val="16"/>
    </w:rPr>
  </w:style>
  <w:style w:type="character" w:customStyle="1" w:styleId="BalloonTextChar">
    <w:name w:val="Balloon Text Char"/>
    <w:basedOn w:val="DefaultParagraphFont"/>
    <w:link w:val="BalloonText"/>
    <w:rsid w:val="00987F6C"/>
    <w:rPr>
      <w:rFonts w:ascii="Tahoma" w:hAnsi="Tahoma" w:cs="Tahoma"/>
      <w:sz w:val="16"/>
      <w:szCs w:val="16"/>
    </w:rPr>
  </w:style>
  <w:style w:type="table" w:styleId="TableGrid">
    <w:name w:val="Table Grid"/>
    <w:basedOn w:val="TableNormal"/>
    <w:uiPriority w:val="59"/>
    <w:rsid w:val="0006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6146A"/>
    <w:pPr>
      <w:tabs>
        <w:tab w:val="center" w:pos="4680"/>
        <w:tab w:val="right" w:pos="9360"/>
      </w:tabs>
    </w:pPr>
  </w:style>
  <w:style w:type="character" w:customStyle="1" w:styleId="HeaderChar">
    <w:name w:val="Header Char"/>
    <w:basedOn w:val="DefaultParagraphFont"/>
    <w:link w:val="Header"/>
    <w:rsid w:val="0006146A"/>
    <w:rPr>
      <w:sz w:val="24"/>
      <w:szCs w:val="24"/>
    </w:rPr>
  </w:style>
  <w:style w:type="paragraph" w:styleId="Footer">
    <w:name w:val="footer"/>
    <w:basedOn w:val="Normal"/>
    <w:link w:val="FooterChar"/>
    <w:uiPriority w:val="99"/>
    <w:rsid w:val="0006146A"/>
    <w:pPr>
      <w:tabs>
        <w:tab w:val="center" w:pos="4680"/>
        <w:tab w:val="right" w:pos="9360"/>
      </w:tabs>
    </w:pPr>
  </w:style>
  <w:style w:type="character" w:customStyle="1" w:styleId="FooterChar">
    <w:name w:val="Footer Char"/>
    <w:basedOn w:val="DefaultParagraphFont"/>
    <w:link w:val="Footer"/>
    <w:uiPriority w:val="99"/>
    <w:rsid w:val="0006146A"/>
    <w:rPr>
      <w:sz w:val="24"/>
      <w:szCs w:val="24"/>
    </w:rPr>
  </w:style>
  <w:style w:type="character" w:styleId="Hyperlink">
    <w:name w:val="Hyperlink"/>
    <w:basedOn w:val="DefaultParagraphFont"/>
    <w:rsid w:val="00DD5A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14431">
      <w:marLeft w:val="0"/>
      <w:marRight w:val="0"/>
      <w:marTop w:val="0"/>
      <w:marBottom w:val="0"/>
      <w:divBdr>
        <w:top w:val="none" w:sz="0" w:space="0" w:color="auto"/>
        <w:left w:val="none" w:sz="0" w:space="0" w:color="auto"/>
        <w:bottom w:val="none" w:sz="0" w:space="0" w:color="auto"/>
        <w:right w:val="none" w:sz="0" w:space="0" w:color="auto"/>
      </w:divBdr>
    </w:div>
  </w:divs>
  <w:encoding w:val="iso-8859-1"/>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dudeep.chhachhi@wku.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General Guidelines for Proposals to Revise Course Prerequisites/Corequisites/Special Requirements</vt:lpstr>
    </vt:vector>
  </TitlesOfParts>
  <Company>Western Kentucky University</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Guidelines for Proposals to Revise Course Prerequisites/Corequisites/Special Requirements</dc:title>
  <dc:creator>Bowling Green Community College</dc:creator>
  <cp:lastModifiedBy>Sparks, Nicola</cp:lastModifiedBy>
  <cp:revision>2</cp:revision>
  <cp:lastPrinted>2011-02-28T17:15:00Z</cp:lastPrinted>
  <dcterms:created xsi:type="dcterms:W3CDTF">2017-01-11T17:03:00Z</dcterms:created>
  <dcterms:modified xsi:type="dcterms:W3CDTF">2017-01-11T17:03:00Z</dcterms:modified>
</cp:coreProperties>
</file>